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numPr>
          <w:ilvl w:val="0"/>
          <w:numId w:val="0"/>
        </w:numPr>
        <w:jc w:val="center"/>
        <w:rPr>
          <w:rFonts w:ascii="微软雅黑" w:hAnsi="微软雅黑" w:eastAsia="微软雅黑" w:cs="微软雅黑"/>
          <w:i w:val="0"/>
          <w:iCs w:val="0"/>
          <w:caps w:val="0"/>
          <w:color w:val="333333"/>
          <w:spacing w:val="0"/>
          <w:sz w:val="36"/>
          <w:szCs w:val="36"/>
          <w:shd w:val="clear" w:fill="FFFFFF"/>
        </w:rPr>
      </w:pPr>
      <w:r>
        <w:rPr>
          <w:rFonts w:ascii="微软雅黑" w:hAnsi="微软雅黑" w:eastAsia="微软雅黑" w:cs="微软雅黑"/>
          <w:i w:val="0"/>
          <w:iCs w:val="0"/>
          <w:caps w:val="0"/>
          <w:color w:val="333333"/>
          <w:spacing w:val="0"/>
          <w:sz w:val="36"/>
          <w:szCs w:val="36"/>
          <w:shd w:val="clear" w:fill="FFFFFF"/>
        </w:rPr>
        <w:t>重庆市綦江旅游度假区建设管理委员会</w:t>
      </w:r>
    </w:p>
    <w:p>
      <w:pPr>
        <w:numPr>
          <w:ilvl w:val="0"/>
          <w:numId w:val="0"/>
        </w:numPr>
        <w:jc w:val="center"/>
        <w:rPr>
          <w:rFonts w:ascii="微软雅黑" w:hAnsi="微软雅黑" w:eastAsia="微软雅黑" w:cs="微软雅黑"/>
          <w:i w:val="0"/>
          <w:iCs w:val="0"/>
          <w:caps w:val="0"/>
          <w:color w:val="333333"/>
          <w:spacing w:val="0"/>
          <w:sz w:val="36"/>
          <w:szCs w:val="36"/>
          <w:shd w:val="clear" w:fill="FFFFFF"/>
        </w:rPr>
      </w:pPr>
      <w:r>
        <w:rPr>
          <w:rFonts w:ascii="微软雅黑" w:hAnsi="微软雅黑" w:eastAsia="微软雅黑" w:cs="微软雅黑"/>
          <w:i w:val="0"/>
          <w:iCs w:val="0"/>
          <w:caps w:val="0"/>
          <w:color w:val="333333"/>
          <w:spacing w:val="0"/>
          <w:sz w:val="36"/>
          <w:szCs w:val="36"/>
          <w:shd w:val="clear" w:fill="FFFFFF"/>
        </w:rPr>
        <w:t>2022年部门预算情况说明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516" w:right="0" w:firstLine="0"/>
        <w:rPr>
          <w:rFonts w:ascii="方正黑体_GBK" w:hAnsi="方正黑体_GBK" w:eastAsia="方正黑体_GBK" w:cs="方正黑体_GBK"/>
          <w:i w:val="0"/>
          <w:iCs w:val="0"/>
          <w:caps w:val="0"/>
          <w:color w:val="333333"/>
          <w:spacing w:val="0"/>
          <w:sz w:val="25"/>
          <w:szCs w:val="25"/>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516" w:right="0" w:firstLine="0"/>
        <w:rPr>
          <w:rFonts w:ascii="微软雅黑" w:hAnsi="微软雅黑" w:eastAsia="微软雅黑" w:cs="微软雅黑"/>
          <w:i w:val="0"/>
          <w:iCs w:val="0"/>
          <w:caps w:val="0"/>
          <w:color w:val="333333"/>
          <w:spacing w:val="0"/>
          <w:sz w:val="19"/>
          <w:szCs w:val="19"/>
        </w:rPr>
      </w:pPr>
      <w:r>
        <w:rPr>
          <w:rFonts w:ascii="方正黑体_GBK" w:hAnsi="方正黑体_GBK" w:eastAsia="方正黑体_GBK" w:cs="方正黑体_GBK"/>
          <w:i w:val="0"/>
          <w:iCs w:val="0"/>
          <w:caps w:val="0"/>
          <w:color w:val="333333"/>
          <w:spacing w:val="0"/>
          <w:sz w:val="25"/>
          <w:szCs w:val="25"/>
          <w:bdr w:val="none" w:color="auto" w:sz="0" w:space="0"/>
          <w:shd w:val="clear" w:fill="FFFFFF"/>
        </w:rPr>
        <w:t> </w:t>
      </w:r>
      <w:r>
        <w:rPr>
          <w:rFonts w:hint="eastAsia" w:ascii="方正黑体_GBK" w:hAnsi="方正黑体_GBK" w:eastAsia="方正黑体_GBK" w:cs="方正黑体_GBK"/>
          <w:i w:val="0"/>
          <w:iCs w:val="0"/>
          <w:caps w:val="0"/>
          <w:color w:val="333333"/>
          <w:spacing w:val="0"/>
          <w:sz w:val="25"/>
          <w:szCs w:val="25"/>
          <w:bdr w:val="none" w:color="auto" w:sz="0" w:space="0"/>
          <w:shd w:val="clear" w:fill="FFFFFF"/>
        </w:rPr>
        <w:t>一、单位基本情况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0"/>
        <w:rPr>
          <w:rFonts w:hint="eastAsia" w:ascii="微软雅黑" w:hAnsi="微软雅黑" w:eastAsia="微软雅黑" w:cs="微软雅黑"/>
          <w:i w:val="0"/>
          <w:iCs w:val="0"/>
          <w:caps w:val="0"/>
          <w:color w:val="333333"/>
          <w:spacing w:val="0"/>
          <w:sz w:val="19"/>
          <w:szCs w:val="19"/>
        </w:rPr>
      </w:pPr>
      <w:r>
        <w:rPr>
          <w:rFonts w:ascii="方正仿宋_GBK" w:hAnsi="方正仿宋_GBK" w:eastAsia="方正仿宋_GBK" w:cs="方正仿宋_GBK"/>
          <w:i w:val="0"/>
          <w:iCs w:val="0"/>
          <w:caps w:val="0"/>
          <w:color w:val="333333"/>
          <w:spacing w:val="0"/>
          <w:sz w:val="25"/>
          <w:szCs w:val="25"/>
          <w:bdr w:val="none" w:color="auto" w:sz="0" w:space="0"/>
          <w:shd w:val="clear" w:fill="FFFFFF"/>
        </w:rPr>
        <w:t>       </w:t>
      </w:r>
      <w:r>
        <w:rPr>
          <w:rFonts w:ascii="方正楷体_GBK" w:hAnsi="方正楷体_GBK" w:eastAsia="方正楷体_GBK" w:cs="方正楷体_GBK"/>
          <w:i w:val="0"/>
          <w:iCs w:val="0"/>
          <w:caps w:val="0"/>
          <w:color w:val="333333"/>
          <w:spacing w:val="0"/>
          <w:sz w:val="25"/>
          <w:szCs w:val="25"/>
          <w:bdr w:val="none" w:color="auto" w:sz="0" w:space="0"/>
          <w:shd w:val="clear" w:fill="FFFFFF"/>
        </w:rPr>
        <w:t>（一）职能职责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516" w:right="0" w:firstLine="516"/>
        <w:rPr>
          <w:rFonts w:hint="eastAsia" w:ascii="微软雅黑" w:hAnsi="微软雅黑" w:eastAsia="微软雅黑" w:cs="微软雅黑"/>
          <w:i w:val="0"/>
          <w:iCs w:val="0"/>
          <w:caps w:val="0"/>
          <w:color w:val="333333"/>
          <w:spacing w:val="0"/>
          <w:sz w:val="19"/>
          <w:szCs w:val="19"/>
        </w:rPr>
      </w:pPr>
      <w:r>
        <w:rPr>
          <w:rFonts w:ascii="仿宋_GB2312" w:hAnsi="微软雅黑" w:eastAsia="仿宋_GB2312" w:cs="仿宋_GB2312"/>
          <w:i w:val="0"/>
          <w:iCs w:val="0"/>
          <w:caps w:val="0"/>
          <w:color w:val="333333"/>
          <w:spacing w:val="0"/>
          <w:sz w:val="25"/>
          <w:szCs w:val="25"/>
          <w:bdr w:val="none" w:color="auto" w:sz="0" w:space="0"/>
          <w:shd w:val="clear" w:fill="FFFFFF"/>
        </w:rPr>
        <w:t>根据重庆市綦江区机构编制委员会办公室綦编办</w:t>
      </w:r>
      <w:r>
        <w:rPr>
          <w:rFonts w:hint="default" w:ascii="仿宋_GB2312" w:hAnsi="微软雅黑" w:eastAsia="仿宋_GB2312" w:cs="仿宋_GB2312"/>
          <w:i w:val="0"/>
          <w:iCs w:val="0"/>
          <w:caps w:val="0"/>
          <w:color w:val="333333"/>
          <w:spacing w:val="0"/>
          <w:sz w:val="25"/>
          <w:szCs w:val="25"/>
          <w:bdr w:val="none" w:color="auto" w:sz="0" w:space="0"/>
          <w:shd w:val="clear" w:fill="FFFFFF"/>
        </w:rPr>
        <w:t>〔2018〕100号文件关于綦江旅游度假区管委会内设机构（试行）的通知，旅游度假区管委会主要职责、内设机构职责、人员编制、领导职数等具体机构编制事项的重新核定工作，待党政机构改革时按机构改革“三定”工作的相关要求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516"/>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    </w:t>
      </w:r>
      <w:r>
        <w:rPr>
          <w:rFonts w:hint="eastAsia" w:ascii="方正楷体_GBK" w:hAnsi="方正楷体_GBK" w:eastAsia="方正楷体_GBK" w:cs="方正楷体_GBK"/>
          <w:i w:val="0"/>
          <w:iCs w:val="0"/>
          <w:caps w:val="0"/>
          <w:color w:val="333333"/>
          <w:spacing w:val="0"/>
          <w:sz w:val="25"/>
          <w:szCs w:val="25"/>
          <w:bdr w:val="none" w:color="auto" w:sz="0" w:space="0"/>
          <w:shd w:val="clear" w:fill="FFFFFF"/>
        </w:rPr>
        <w:t>（二）单位构成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384" w:right="0" w:firstLine="516"/>
        <w:rPr>
          <w:rFonts w:hint="eastAsia" w:ascii="微软雅黑" w:hAnsi="微软雅黑" w:eastAsia="微软雅黑" w:cs="微软雅黑"/>
          <w:i w:val="0"/>
          <w:iCs w:val="0"/>
          <w:caps w:val="0"/>
          <w:color w:val="333333"/>
          <w:spacing w:val="0"/>
          <w:sz w:val="19"/>
          <w:szCs w:val="19"/>
        </w:rPr>
      </w:pPr>
      <w:r>
        <w:rPr>
          <w:rFonts w:hint="default" w:ascii="仿宋_GB2312" w:hAnsi="微软雅黑" w:eastAsia="仿宋_GB2312" w:cs="仿宋_GB2312"/>
          <w:i w:val="0"/>
          <w:iCs w:val="0"/>
          <w:caps w:val="0"/>
          <w:color w:val="333333"/>
          <w:spacing w:val="0"/>
          <w:sz w:val="25"/>
          <w:szCs w:val="25"/>
          <w:bdr w:val="none" w:color="auto" w:sz="0" w:space="0"/>
          <w:shd w:val="clear" w:fill="FFFFFF"/>
        </w:rPr>
        <w:t>  按照綦编〔2018〕100号文件设立本部门，内设机构暂定10个，分别是综合科、党群工作科、财务科、规划发展科、征地拆迁科、景区建设管理科、水务建设管理科、信访投诉科、安全管理环境保护部、招商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516"/>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   </w:t>
      </w:r>
      <w:r>
        <w:rPr>
          <w:rFonts w:hint="eastAsia" w:ascii="方正楷体_GBK" w:hAnsi="方正楷体_GBK" w:eastAsia="方正楷体_GBK" w:cs="方正楷体_GBK"/>
          <w:i w:val="0"/>
          <w:iCs w:val="0"/>
          <w:caps w:val="0"/>
          <w:color w:val="333333"/>
          <w:spacing w:val="0"/>
          <w:sz w:val="25"/>
          <w:szCs w:val="25"/>
          <w:bdr w:val="none" w:color="auto" w:sz="0" w:space="0"/>
          <w:shd w:val="clear" w:fill="FFFFFF"/>
        </w:rPr>
        <w:t>（三）机构改革相关情况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0"/>
        <w:rPr>
          <w:rFonts w:hint="eastAsia" w:ascii="微软雅黑" w:hAnsi="微软雅黑" w:eastAsia="微软雅黑" w:cs="微软雅黑"/>
          <w:i w:val="0"/>
          <w:iCs w:val="0"/>
          <w:caps w:val="0"/>
          <w:color w:val="333333"/>
          <w:spacing w:val="0"/>
          <w:sz w:val="19"/>
          <w:szCs w:val="19"/>
        </w:rPr>
      </w:pPr>
      <w:r>
        <w:rPr>
          <w:rFonts w:hint="default" w:ascii="仿宋_GB2312" w:hAnsi="微软雅黑" w:eastAsia="仿宋_GB2312" w:cs="仿宋_GB2312"/>
          <w:i w:val="0"/>
          <w:iCs w:val="0"/>
          <w:caps w:val="0"/>
          <w:color w:val="333333"/>
          <w:spacing w:val="0"/>
          <w:sz w:val="25"/>
          <w:szCs w:val="25"/>
          <w:bdr w:val="none" w:color="auto" w:sz="0" w:space="0"/>
          <w:shd w:val="clear" w:fill="FFFFFF"/>
        </w:rPr>
        <w:t>        本单位不涉及本轮机构改革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516" w:right="0" w:firstLine="0"/>
        <w:rPr>
          <w:rFonts w:hint="eastAsia" w:ascii="微软雅黑" w:hAnsi="微软雅黑" w:eastAsia="微软雅黑" w:cs="微软雅黑"/>
          <w:i w:val="0"/>
          <w:iCs w:val="0"/>
          <w:caps w:val="0"/>
          <w:color w:val="333333"/>
          <w:spacing w:val="0"/>
          <w:sz w:val="19"/>
          <w:szCs w:val="19"/>
        </w:rPr>
      </w:pPr>
      <w:r>
        <w:rPr>
          <w:rFonts w:hint="eastAsia" w:ascii="方正黑体_GBK" w:hAnsi="方正黑体_GBK" w:eastAsia="方正黑体_GBK" w:cs="方正黑体_GBK"/>
          <w:i w:val="0"/>
          <w:iCs w:val="0"/>
          <w:caps w:val="0"/>
          <w:color w:val="333333"/>
          <w:spacing w:val="0"/>
          <w:sz w:val="25"/>
          <w:szCs w:val="25"/>
          <w:bdr w:val="none" w:color="auto" w:sz="0" w:space="0"/>
          <w:shd w:val="clear" w:fill="FFFFFF"/>
        </w:rPr>
        <w:t>    二、部门收支总体情况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516"/>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（一）收入预算：</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2022</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年年初预算数 804.87万元，其中：一般公共预算拨款804.87</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万元，政府性基金预算拨款</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0万元，国有资本经营预算收入</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0 万元，事业收入</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0 万元，事业单位经营收入0</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万元，其他收入0</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万。收入较</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2021</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年增加193.75</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万元，主要是殡仪馆改制财政补助资金、人员调整等经费拨款增加</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193.75 万元。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516"/>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（二）支出预算：</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2022</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年年初预算数 804.87万元，其中：一般公共服务支出预算</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706.16 万元，教育支出预算</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0 万元，社会保障和就业支出预算49.96</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万元，卫生健康支出预算23.77</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万元，住房保障支出预算24.98</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万元。支出预算较</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2021</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年增加193.75</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万元，主要是基本支出预算增加4.92 万元，项目支出预算增加188.83 万元。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516" w:right="0" w:firstLine="0"/>
        <w:rPr>
          <w:rFonts w:hint="eastAsia" w:ascii="微软雅黑" w:hAnsi="微软雅黑" w:eastAsia="微软雅黑" w:cs="微软雅黑"/>
          <w:i w:val="0"/>
          <w:iCs w:val="0"/>
          <w:caps w:val="0"/>
          <w:color w:val="333333"/>
          <w:spacing w:val="0"/>
          <w:sz w:val="19"/>
          <w:szCs w:val="19"/>
        </w:rPr>
      </w:pPr>
      <w:r>
        <w:rPr>
          <w:rFonts w:hint="eastAsia" w:ascii="方正黑体_GBK" w:hAnsi="方正黑体_GBK" w:eastAsia="方正黑体_GBK" w:cs="方正黑体_GBK"/>
          <w:i w:val="0"/>
          <w:iCs w:val="0"/>
          <w:caps w:val="0"/>
          <w:color w:val="333333"/>
          <w:spacing w:val="0"/>
          <w:sz w:val="25"/>
          <w:szCs w:val="25"/>
          <w:bdr w:val="none" w:color="auto" w:sz="0" w:space="0"/>
          <w:shd w:val="clear" w:fill="FFFFFF"/>
        </w:rPr>
        <w:t> 三、部门预算情况说明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516"/>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 </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2022</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年一般公共预算财政拨款收入 804.87</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万元，一般公共预算财政拨款支出</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804.87 万元，比</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2021</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年增加193.75 万元。其中：基本支出</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540.44 万元，比</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2021</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年增加4.92 万元，主要原因是人员调整增加等，主要用于保障在职人员工资福利及社会保险缴费，离休人员离休费，退休人员补助等，保障部门正常运转的各项商品服务支出；项目支出</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 </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266.43万元，比</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2021</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年增加188.83 万元，主要原因是殡仪馆改制财政补助资金等，主要用于殡仪馆改制等重点工作。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516"/>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 </w:t>
      </w:r>
      <w:r>
        <w:rPr>
          <w:rFonts w:hint="default" w:ascii="Times New Roman" w:hAnsi="Times New Roman" w:eastAsia="微软雅黑" w:cs="Times New Roman"/>
          <w:i w:val="0"/>
          <w:iCs w:val="0"/>
          <w:caps w:val="0"/>
          <w:color w:val="333333"/>
          <w:spacing w:val="0"/>
          <w:sz w:val="25"/>
          <w:szCs w:val="25"/>
          <w:bdr w:val="none" w:color="auto" w:sz="0" w:space="0"/>
          <w:shd w:val="clear" w:fill="FFFFFF"/>
        </w:rPr>
        <w:t>2022</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年政府性基金预算收入0 万元，政府性基金预算支出0 万元，与上年持平。旅游度假区管委会2022年无使用政府性基金预算拨款安排的支出。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516" w:right="0" w:firstLine="0"/>
        <w:rPr>
          <w:rFonts w:hint="eastAsia" w:ascii="微软雅黑" w:hAnsi="微软雅黑" w:eastAsia="微软雅黑" w:cs="微软雅黑"/>
          <w:i w:val="0"/>
          <w:iCs w:val="0"/>
          <w:caps w:val="0"/>
          <w:color w:val="333333"/>
          <w:spacing w:val="0"/>
          <w:sz w:val="19"/>
          <w:szCs w:val="19"/>
        </w:rPr>
      </w:pPr>
      <w:r>
        <w:rPr>
          <w:rFonts w:hint="eastAsia" w:ascii="方正黑体_GBK" w:hAnsi="方正黑体_GBK" w:eastAsia="方正黑体_GBK" w:cs="方正黑体_GBK"/>
          <w:i w:val="0"/>
          <w:iCs w:val="0"/>
          <w:caps w:val="0"/>
          <w:color w:val="333333"/>
          <w:spacing w:val="0"/>
          <w:sz w:val="25"/>
          <w:szCs w:val="25"/>
          <w:bdr w:val="none" w:color="auto" w:sz="0" w:space="0"/>
          <w:shd w:val="clear" w:fill="FFFFFF"/>
        </w:rPr>
        <w:t> 四、“三公”经费情况说明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480"/>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 2022年“三公”经费预算 22.5 万元，比2021年减少1.5 万元。其中：因公出国（境）费用0 万元，与2021年持平；公务接待费 19 万元，比2020年减少1.5  万元，主要原因是严格执行管理规定，节约开支；公务用车运行维护费3.5 万元，与2021年持平；公务用车购置费0 万元，与2021年持平。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0"/>
        <w:rPr>
          <w:rFonts w:hint="eastAsia" w:ascii="微软雅黑" w:hAnsi="微软雅黑" w:eastAsia="微软雅黑" w:cs="微软雅黑"/>
          <w:i w:val="0"/>
          <w:iCs w:val="0"/>
          <w:caps w:val="0"/>
          <w:color w:val="333333"/>
          <w:spacing w:val="0"/>
          <w:sz w:val="19"/>
          <w:szCs w:val="19"/>
        </w:rPr>
      </w:pPr>
      <w:r>
        <w:rPr>
          <w:rFonts w:hint="eastAsia" w:ascii="方正黑体_GBK" w:hAnsi="方正黑体_GBK" w:eastAsia="方正黑体_GBK" w:cs="方正黑体_GBK"/>
          <w:i w:val="0"/>
          <w:iCs w:val="0"/>
          <w:caps w:val="0"/>
          <w:color w:val="333333"/>
          <w:spacing w:val="0"/>
          <w:sz w:val="25"/>
          <w:szCs w:val="25"/>
          <w:bdr w:val="none" w:color="auto" w:sz="0" w:space="0"/>
          <w:shd w:val="clear" w:fill="FFFFFF"/>
        </w:rPr>
        <w:t>     五、其他重要事项的情况说明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0"/>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    （一） 我单位不在机关运行经费统计范围之内。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516"/>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（二） 政府采购情况。所属各预算单位政府采购预算总额 0 万元：政府采购货物预算 0 万元、政府采购工程预算 0 万元、政府采购服务预算 0 万元；其中一般公共预算拨款政府采购 0 万元：政府采购货物预算 0 万元、政府采购工程预算 0 万元、政府采购服务预算 0 万元。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516"/>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（三）绩效目标设置情况。2022年项目支出均实行了绩效目标管理，涉及一般公共预算当年财政拨款 238.83 万元。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516"/>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（四）国有资产占有使用情况。截止2021年</w:t>
      </w:r>
      <w:r>
        <w:rPr>
          <w:rFonts w:hint="default" w:ascii="Times New Roman" w:hAnsi="Times New Roman" w:eastAsia="方正仿宋_GBK" w:cs="Times New Roman"/>
          <w:i w:val="0"/>
          <w:iCs w:val="0"/>
          <w:caps w:val="0"/>
          <w:color w:val="333333"/>
          <w:spacing w:val="0"/>
          <w:sz w:val="25"/>
          <w:szCs w:val="25"/>
          <w:bdr w:val="none" w:color="auto" w:sz="0" w:space="0"/>
          <w:shd w:val="clear" w:fill="FFFFFF"/>
        </w:rPr>
        <w:t>12</w:t>
      </w: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月，所属各预算单位共有车辆 1辆，其中应急保障用车1辆。2022年一般公共预算安排购置车辆 0辆。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516" w:right="0" w:firstLine="0"/>
        <w:rPr>
          <w:rFonts w:hint="eastAsia" w:ascii="微软雅黑" w:hAnsi="微软雅黑" w:eastAsia="微软雅黑" w:cs="微软雅黑"/>
          <w:i w:val="0"/>
          <w:iCs w:val="0"/>
          <w:caps w:val="0"/>
          <w:color w:val="333333"/>
          <w:spacing w:val="0"/>
          <w:sz w:val="19"/>
          <w:szCs w:val="19"/>
        </w:rPr>
      </w:pPr>
      <w:r>
        <w:rPr>
          <w:rFonts w:hint="eastAsia" w:ascii="方正黑体_GBK" w:hAnsi="方正黑体_GBK" w:eastAsia="方正黑体_GBK" w:cs="方正黑体_GBK"/>
          <w:i w:val="0"/>
          <w:iCs w:val="0"/>
          <w:caps w:val="0"/>
          <w:color w:val="333333"/>
          <w:spacing w:val="0"/>
          <w:sz w:val="25"/>
          <w:szCs w:val="25"/>
          <w:bdr w:val="none" w:color="auto" w:sz="0" w:space="0"/>
          <w:shd w:val="clear" w:fill="FFFFFF"/>
        </w:rPr>
        <w:t> 六、专业性名词解释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516"/>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（一）财政拨款收入：指本年度从本级财政部门取得的财政拨款，包括一般公共预算财政拨款和政府性基金预算财政拨款。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516"/>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（二）其他收入：指单位取得的除“财政拨款收入”、“事业收入”、“经营收入”等以外的收入。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516"/>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（三）基本支出：指为保障机构正常运转、完成日常工作任务而发生的人员经费和公用经费。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line="480" w:lineRule="atLeast"/>
        <w:ind w:left="0" w:right="0" w:firstLine="516"/>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（四）项目支出：指在基本支出之外为完成特定行政任务和事业发展目标所发生的支出。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516"/>
        <w:rPr>
          <w:rFonts w:hint="eastAsia" w:ascii="微软雅黑" w:hAnsi="微软雅黑" w:eastAsia="微软雅黑" w:cs="微软雅黑"/>
          <w:i w:val="0"/>
          <w:iCs w:val="0"/>
          <w:caps w:val="0"/>
          <w:color w:val="333333"/>
          <w:spacing w:val="0"/>
          <w:sz w:val="19"/>
          <w:szCs w:val="19"/>
        </w:rPr>
      </w:pPr>
      <w:r>
        <w:rPr>
          <w:rFonts w:hint="eastAsia" w:ascii="方正仿宋_GBK" w:hAnsi="方正仿宋_GBK" w:eastAsia="方正仿宋_GBK" w:cs="方正仿宋_GBK"/>
          <w:i w:val="0"/>
          <w:iCs w:val="0"/>
          <w:caps w:val="0"/>
          <w:color w:val="333333"/>
          <w:spacing w:val="0"/>
          <w:sz w:val="25"/>
          <w:szCs w:val="25"/>
          <w:bdr w:val="none" w:color="auto" w:sz="0" w:space="0"/>
          <w:shd w:val="clear" w:fill="FFFFFF"/>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right="0"/>
        <w:rPr>
          <w:rFonts w:hint="eastAsia" w:ascii="微软雅黑" w:hAnsi="微软雅黑" w:eastAsia="微软雅黑" w:cs="微软雅黑"/>
          <w:i w:val="0"/>
          <w:iCs w:val="0"/>
          <w:caps w:val="0"/>
          <w:color w:val="333333"/>
          <w:spacing w:val="0"/>
          <w:sz w:val="19"/>
          <w:szCs w:val="19"/>
        </w:rPr>
      </w:pPr>
      <w:r>
        <w:rPr>
          <w:rStyle w:val="8"/>
          <w:rFonts w:hint="eastAsia" w:ascii="方正仿宋_GBK" w:hAnsi="方正仿宋_GBK" w:eastAsia="方正仿宋_GBK" w:cs="方正仿宋_GBK"/>
          <w:i w:val="0"/>
          <w:iCs w:val="0"/>
          <w:caps w:val="0"/>
          <w:color w:val="333333"/>
          <w:spacing w:val="0"/>
          <w:sz w:val="25"/>
          <w:szCs w:val="25"/>
          <w:bdr w:val="none" w:color="auto" w:sz="0" w:space="0"/>
          <w:shd w:val="clear" w:fill="FFFFFF"/>
        </w:rPr>
        <w:t>部门预算公开联系人： 黎均桥   联系方式： 023-48880137</w:t>
      </w:r>
      <w:bookmarkStart w:id="0" w:name="_GoBack"/>
      <w:bookmarkEnd w:id="0"/>
    </w:p>
    <w:p>
      <w:pPr>
        <w:rPr>
          <w:rFonts w:hint="eastAsia" w:asciiTheme="minorEastAsia" w:hAnsiTheme="minorEastAsia" w:eastAsiaTheme="minorEastAsia" w:cstheme="minorEastAsia"/>
          <w:sz w:val="28"/>
          <w:szCs w:val="28"/>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4MDM5Nzc2ZTZkYmYyYjU3YjUwMzlmOWNiNGEwODEifQ=="/>
  </w:docVars>
  <w:rsids>
    <w:rsidRoot w:val="4F594A71"/>
    <w:rsid w:val="04F66CD4"/>
    <w:rsid w:val="0B601D10"/>
    <w:rsid w:val="0F360530"/>
    <w:rsid w:val="12213FB1"/>
    <w:rsid w:val="15613A76"/>
    <w:rsid w:val="19F24C13"/>
    <w:rsid w:val="1C89008B"/>
    <w:rsid w:val="246F11FA"/>
    <w:rsid w:val="25D86E41"/>
    <w:rsid w:val="28235013"/>
    <w:rsid w:val="2A840AC9"/>
    <w:rsid w:val="2B773BF9"/>
    <w:rsid w:val="3BE17682"/>
    <w:rsid w:val="49AE5423"/>
    <w:rsid w:val="4BEE07FD"/>
    <w:rsid w:val="4F594A71"/>
    <w:rsid w:val="4F896911"/>
    <w:rsid w:val="602816AC"/>
    <w:rsid w:val="67F506C7"/>
    <w:rsid w:val="69E05EBF"/>
    <w:rsid w:val="6B3F5E0C"/>
    <w:rsid w:val="6C2B0D0B"/>
    <w:rsid w:val="6CF56EA6"/>
    <w:rsid w:val="6FA74105"/>
    <w:rsid w:val="6FD5028A"/>
    <w:rsid w:val="73ED3126"/>
    <w:rsid w:val="787C3E3A"/>
    <w:rsid w:val="794A4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imes New Roman"/>
      <w:kern w:val="2"/>
      <w:sz w:val="32"/>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1641</Words>
  <Characters>1898</Characters>
  <Lines>0</Lines>
  <Paragraphs>0</Paragraphs>
  <TotalTime>7</TotalTime>
  <ScaleCrop>false</ScaleCrop>
  <LinksUpToDate>false</LinksUpToDate>
  <CharactersWithSpaces>1927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2019-11-25T03:48:00Z</dcterms:created>
  <dc:creator>HP-480G4001</dc:creator>
  <cp:lastModifiedBy>重庆@孙行者</cp:lastModifiedBy>
  <dcterms:modified xsi:type="dcterms:W3CDTF">2022-11-08T01:29:03Z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CD4F4806480D40D9B932674C76DAA40D</vt:lpwstr>
  </property>
</Properties>
</file>