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0" w:beforeAutospacing="0" w:after="0" w:afterAutospacing="0" w:line="600" w:lineRule="atLeast"/>
        <w:ind w:left="0" w:right="0"/>
        <w:jc w:val="center"/>
      </w:pPr>
      <w:bookmarkStart w:id="0" w:name="_GoBack"/>
      <w:r>
        <w:rPr>
          <w:rFonts w:ascii="方正小标宋_GBK" w:hAnsi="方正小标宋_GBK" w:eastAsia="方正小标宋_GBK" w:cs="方正小标宋_GBK"/>
          <w:sz w:val="43"/>
          <w:szCs w:val="43"/>
        </w:rPr>
        <w:t>重庆市綦江区城市管理局</w:t>
      </w:r>
      <w:r>
        <w:rPr>
          <w:rFonts w:hint="eastAsia" w:ascii="方正小标宋_GBK" w:hAnsi="方正小标宋_GBK" w:eastAsia="方正小标宋_GBK" w:cs="方正小标宋_GBK"/>
          <w:sz w:val="43"/>
          <w:szCs w:val="43"/>
        </w:rPr>
        <w:t>关于</w:t>
      </w:r>
    </w:p>
    <w:p>
      <w:pPr>
        <w:pStyle w:val="2"/>
        <w:keepNext w:val="0"/>
        <w:keepLines w:val="0"/>
        <w:widowControl/>
        <w:suppressLineNumbers w:val="0"/>
        <w:spacing w:before="0" w:beforeAutospacing="0" w:after="0" w:afterAutospacing="0" w:line="600" w:lineRule="atLeast"/>
        <w:ind w:left="0" w:right="0"/>
        <w:jc w:val="center"/>
      </w:pPr>
      <w:r>
        <w:rPr>
          <w:rFonts w:hint="eastAsia" w:ascii="方正小标宋_GBK" w:hAnsi="方正小标宋_GBK" w:eastAsia="方正小标宋_GBK" w:cs="方正小标宋_GBK"/>
          <w:sz w:val="43"/>
          <w:szCs w:val="43"/>
        </w:rPr>
        <w:t>迎接党的二十大胜利召开立即开展城市运行安全大排查大整治大执法百日行动的通知</w:t>
      </w:r>
    </w:p>
    <w:bookmarkEnd w:id="0"/>
    <w:p>
      <w:pPr>
        <w:pStyle w:val="2"/>
        <w:keepNext w:val="0"/>
        <w:keepLines w:val="0"/>
        <w:widowControl/>
        <w:suppressLineNumbers w:val="0"/>
        <w:spacing w:before="0" w:beforeAutospacing="0" w:after="0" w:afterAutospacing="0" w:line="660" w:lineRule="atLeast"/>
        <w:ind w:left="0" w:right="0"/>
        <w:jc w:val="center"/>
      </w:pPr>
      <w:r>
        <w:rPr>
          <w:rFonts w:hint="eastAsia" w:ascii="方正小标宋_GBK" w:hAnsi="方正小标宋_GBK" w:eastAsia="方正小标宋_GBK" w:cs="方正小标宋_GBK"/>
          <w:sz w:val="43"/>
          <w:szCs w:val="43"/>
        </w:rPr>
        <w:t> </w:t>
      </w:r>
    </w:p>
    <w:p>
      <w:pPr>
        <w:pStyle w:val="2"/>
        <w:keepNext w:val="0"/>
        <w:keepLines w:val="0"/>
        <w:widowControl/>
        <w:suppressLineNumbers w:val="0"/>
        <w:spacing w:before="0" w:beforeAutospacing="0" w:after="0" w:afterAutospacing="0" w:line="570" w:lineRule="atLeast"/>
        <w:ind w:left="0" w:right="0"/>
      </w:pPr>
      <w:r>
        <w:rPr>
          <w:rFonts w:ascii="方正仿宋_GBK" w:hAnsi="方正仿宋_GBK" w:eastAsia="方正仿宋_GBK" w:cs="方正仿宋_GBK"/>
          <w:sz w:val="31"/>
          <w:szCs w:val="31"/>
        </w:rPr>
        <w:t>局属各科室、单位，</w:t>
      </w:r>
      <w:r>
        <w:rPr>
          <w:rFonts w:hint="eastAsia" w:ascii="方正仿宋_GBK" w:hAnsi="方正仿宋_GBK" w:eastAsia="方正仿宋_GBK" w:cs="方正仿宋_GBK"/>
          <w:sz w:val="31"/>
          <w:szCs w:val="31"/>
        </w:rPr>
        <w:t>各行业监管企业：</w:t>
      </w:r>
    </w:p>
    <w:p>
      <w:pPr>
        <w:pStyle w:val="2"/>
        <w:keepNext w:val="0"/>
        <w:keepLines w:val="0"/>
        <w:widowControl/>
        <w:suppressLineNumbers w:val="0"/>
        <w:spacing w:before="0" w:beforeAutospacing="0" w:after="0" w:afterAutospacing="0" w:line="570" w:lineRule="atLeast"/>
        <w:ind w:left="0" w:right="0" w:firstLine="645"/>
      </w:pPr>
      <w:r>
        <w:rPr>
          <w:rFonts w:hint="eastAsia" w:ascii="方正仿宋_GBK" w:hAnsi="方正仿宋_GBK" w:eastAsia="方正仿宋_GBK" w:cs="方正仿宋_GBK"/>
          <w:sz w:val="31"/>
          <w:szCs w:val="31"/>
        </w:rPr>
        <w:t>为全面落实全市党的二十大维稳安保专项行动部署，深化安全生产大检查、开展百日大整治专项行动，进一步夯实安全生产与自然灾害防治基础，迎接党的二十大胜利召开，按照《关于深化安全大检查开展百日大整治的通知》渝安委〔2022〕12号文件要求，结合城市运行安全实际，经研究决定开展城市运行安全大排查大整治大执法百日行动，现将有关工作部署通知如下：</w:t>
      </w:r>
    </w:p>
    <w:p>
      <w:pPr>
        <w:pStyle w:val="2"/>
        <w:keepNext w:val="0"/>
        <w:keepLines w:val="0"/>
        <w:widowControl/>
        <w:suppressLineNumbers w:val="0"/>
        <w:spacing w:before="0" w:beforeAutospacing="0" w:after="0" w:afterAutospacing="0" w:line="570" w:lineRule="atLeast"/>
        <w:ind w:left="0" w:right="0" w:firstLine="645"/>
      </w:pPr>
      <w:r>
        <w:rPr>
          <w:rFonts w:ascii="方正黑体_GBK" w:hAnsi="方正黑体_GBK" w:eastAsia="方正黑体_GBK" w:cs="方正黑体_GBK"/>
          <w:sz w:val="31"/>
          <w:szCs w:val="31"/>
        </w:rPr>
        <w:t>一、思路目标</w:t>
      </w:r>
    </w:p>
    <w:p>
      <w:pPr>
        <w:pStyle w:val="2"/>
        <w:keepNext w:val="0"/>
        <w:keepLines w:val="0"/>
        <w:widowControl/>
        <w:suppressLineNumbers w:val="0"/>
        <w:spacing w:before="0" w:beforeAutospacing="0" w:after="0" w:afterAutospacing="0" w:line="570" w:lineRule="atLeast"/>
        <w:ind w:left="0" w:right="0" w:firstLine="645"/>
      </w:pPr>
      <w:r>
        <w:rPr>
          <w:rFonts w:hint="eastAsia" w:ascii="方正仿宋_GBK" w:hAnsi="方正仿宋_GBK" w:eastAsia="方正仿宋_GBK" w:cs="方正仿宋_GBK"/>
          <w:sz w:val="31"/>
          <w:szCs w:val="31"/>
        </w:rPr>
        <w:t>深入贯彻习近平总书记关于安全生产和防灾减灾救灾系列重要指示批示精神，牢固树立安全发展理念，深刻汲取松藻煤矿“9·27”、吊水洞煤矿“12·4”事故教训，认真落实7月20日和7月29日全市安全稳定工作会议精神，严格按照市委办公厅市政府办公厅《关于扎实抓好安全生产工作的通知》（渝委办〔2022〕10号）、市安委会市减灾委《关于进一步强化安全生产责任切实落实国务院安委会加强安全生产工作“十五条硬措施”的通知》（渝安委〔2022〕9号）、市安委办市减灾办《关于开展全市安全生产大检查工作的通知》（渝安办〔2022〕26号）要求，在前期自查自改的基础上，以</w:t>
      </w:r>
      <w:r>
        <w:rPr>
          <w:rFonts w:hint="eastAsia" w:ascii="方正仿宋_GBK" w:hAnsi="方正仿宋_GBK" w:eastAsia="方正仿宋_GBK" w:cs="方正仿宋_GBK"/>
          <w:sz w:val="31"/>
          <w:szCs w:val="31"/>
          <w:shd w:val="clear" w:fill="FFFFFF"/>
        </w:rPr>
        <w:t>“控大事故、防大灾害”</w:t>
      </w:r>
      <w:r>
        <w:rPr>
          <w:rFonts w:hint="eastAsia" w:ascii="方正仿宋_GBK" w:hAnsi="方正仿宋_GBK" w:eastAsia="方正仿宋_GBK" w:cs="方正仿宋_GBK"/>
          <w:sz w:val="31"/>
          <w:szCs w:val="31"/>
        </w:rPr>
        <w:t>为目标，对照开展安全生产大检查落实 “十五条硬措施”专项行动任务分工及操作要点的49项重点任务，以党政领导履职、部门监管执法、主体责任落实为重点，以“事要解决”为标准，集中时段、集中力量、集中措施，开展百日大整治，为党的二十大胜利召开奠定坚实的安全生产与自然灾害防治工作基础。</w:t>
      </w:r>
    </w:p>
    <w:p>
      <w:pPr>
        <w:pStyle w:val="2"/>
        <w:keepNext w:val="0"/>
        <w:keepLines w:val="0"/>
        <w:widowControl/>
        <w:suppressLineNumbers w:val="0"/>
        <w:spacing w:before="0" w:beforeAutospacing="0" w:after="0" w:afterAutospacing="0" w:line="570" w:lineRule="atLeast"/>
        <w:ind w:left="0" w:right="0" w:firstLine="645"/>
      </w:pPr>
      <w:r>
        <w:rPr>
          <w:rFonts w:hint="eastAsia" w:ascii="方正黑体_GBK" w:hAnsi="方正黑体_GBK" w:eastAsia="方正黑体_GBK" w:cs="方正黑体_GBK"/>
          <w:sz w:val="31"/>
          <w:szCs w:val="31"/>
        </w:rPr>
        <w:t>二、排查整治任务</w:t>
      </w:r>
    </w:p>
    <w:p>
      <w:pPr>
        <w:pStyle w:val="2"/>
        <w:keepNext w:val="0"/>
        <w:keepLines w:val="0"/>
        <w:widowControl/>
        <w:suppressLineNumbers w:val="0"/>
        <w:spacing w:before="0" w:beforeAutospacing="0" w:after="0" w:afterAutospacing="0" w:line="570" w:lineRule="atLeast"/>
        <w:ind w:left="0" w:right="0" w:firstLine="645"/>
        <w:jc w:val="both"/>
      </w:pPr>
      <w:r>
        <w:rPr>
          <w:rFonts w:ascii="方正楷体_GBK" w:hAnsi="方正楷体_GBK" w:eastAsia="方正楷体_GBK" w:cs="方正楷体_GBK"/>
          <w:sz w:val="31"/>
          <w:szCs w:val="31"/>
        </w:rPr>
        <w:t>（一）市政结构设施方面。</w:t>
      </w:r>
      <w:r>
        <w:rPr>
          <w:rFonts w:hint="eastAsia" w:ascii="方正仿宋_GBK" w:hAnsi="方正仿宋_GBK" w:eastAsia="方正仿宋_GBK" w:cs="方正仿宋_GBK"/>
          <w:sz w:val="31"/>
          <w:szCs w:val="31"/>
        </w:rPr>
        <w:t>要强化市政设施日常巡查、隐患排查和管养维护，重点加强城市桥隧涵和城市地下空间安全管理，排查治理桥隧涵和道路塌陷隐患。要加强城市照明灯饰设施安全巡查，防范漏电触电、倒杆断线，抓好高空、夜间等危险作业的安全监管。要加强照明箱变以及与石油天然气管道、排水管网相邻、相近的地下照明管线巡查、监测，防止电线短路引发的燃烧、爆炸或者人员伤亡等安全事故。（责任科室</w:t>
      </w:r>
      <w:r>
        <w:rPr>
          <w:rFonts w:hint="default" w:ascii="Times New Roman" w:hAnsi="Times New Roman" w:eastAsia="方正仿宋_GBK" w:cs="Times New Roman"/>
          <w:sz w:val="31"/>
          <w:szCs w:val="31"/>
        </w:rPr>
        <w:t>/</w:t>
      </w:r>
      <w:r>
        <w:rPr>
          <w:rFonts w:hint="eastAsia" w:ascii="方正仿宋_GBK" w:hAnsi="方正仿宋_GBK" w:eastAsia="方正仿宋_GBK" w:cs="方正仿宋_GBK"/>
          <w:sz w:val="31"/>
          <w:szCs w:val="31"/>
        </w:rPr>
        <w:t>单位：市政所）</w:t>
      </w:r>
    </w:p>
    <w:p>
      <w:pPr>
        <w:pStyle w:val="2"/>
        <w:keepNext w:val="0"/>
        <w:keepLines w:val="0"/>
        <w:widowControl/>
        <w:suppressLineNumbers w:val="0"/>
        <w:spacing w:before="0" w:beforeAutospacing="0" w:after="0" w:afterAutospacing="0" w:line="570" w:lineRule="atLeast"/>
        <w:ind w:left="0" w:right="0" w:firstLine="645"/>
        <w:jc w:val="both"/>
      </w:pPr>
      <w:r>
        <w:rPr>
          <w:rFonts w:hint="eastAsia" w:ascii="方正楷体_GBK" w:hAnsi="方正楷体_GBK" w:eastAsia="方正楷体_GBK" w:cs="方正楷体_GBK"/>
          <w:sz w:val="31"/>
          <w:szCs w:val="31"/>
        </w:rPr>
        <w:t>（二）城市供水设施方面。</w:t>
      </w:r>
      <w:r>
        <w:rPr>
          <w:rFonts w:hint="eastAsia" w:ascii="方正仿宋_GBK" w:hAnsi="方正仿宋_GBK" w:eastAsia="方正仿宋_GBK" w:cs="方正仿宋_GBK"/>
          <w:sz w:val="31"/>
          <w:szCs w:val="31"/>
        </w:rPr>
        <w:t>要强化业务指导工作力度，加强对城市供水企业的行业监管力度，进一步督促供水企业加强对城市供水管网及附属设施安全管理，落实企业安全生产主体责任，强化重点部位安防监控，强化供水水质检测监测，落实备用水源、高温应急供水等管理制度，确保城市供水安全。（责任科室</w:t>
      </w:r>
      <w:r>
        <w:rPr>
          <w:rFonts w:hint="default" w:ascii="Times New Roman" w:hAnsi="Times New Roman" w:eastAsia="方正仿宋_GBK" w:cs="Times New Roman"/>
          <w:sz w:val="31"/>
          <w:szCs w:val="31"/>
        </w:rPr>
        <w:t>/</w:t>
      </w:r>
      <w:r>
        <w:rPr>
          <w:rFonts w:hint="eastAsia" w:ascii="方正仿宋_GBK" w:hAnsi="方正仿宋_GBK" w:eastAsia="方正仿宋_GBK" w:cs="方正仿宋_GBK"/>
          <w:sz w:val="31"/>
          <w:szCs w:val="31"/>
        </w:rPr>
        <w:t>单位：市政科，各行业监管企业）</w:t>
      </w:r>
    </w:p>
    <w:p>
      <w:pPr>
        <w:pStyle w:val="2"/>
        <w:keepNext w:val="0"/>
        <w:keepLines w:val="0"/>
        <w:widowControl/>
        <w:suppressLineNumbers w:val="0"/>
        <w:spacing w:before="0" w:beforeAutospacing="0" w:after="0" w:afterAutospacing="0" w:line="570" w:lineRule="atLeast"/>
        <w:ind w:left="0" w:right="0" w:firstLine="645"/>
        <w:jc w:val="both"/>
      </w:pPr>
      <w:r>
        <w:rPr>
          <w:rFonts w:hint="eastAsia" w:ascii="方正楷体_GBK" w:hAnsi="方正楷体_GBK" w:eastAsia="方正楷体_GBK" w:cs="方正楷体_GBK"/>
          <w:sz w:val="31"/>
          <w:szCs w:val="31"/>
        </w:rPr>
        <w:t>（三）环境卫生设施方面。</w:t>
      </w:r>
      <w:r>
        <w:rPr>
          <w:rFonts w:hint="eastAsia" w:ascii="方正仿宋_GBK" w:hAnsi="方正仿宋_GBK" w:eastAsia="方正仿宋_GBK" w:cs="方正仿宋_GBK"/>
          <w:sz w:val="31"/>
          <w:szCs w:val="31"/>
        </w:rPr>
        <w:t>要强化行业安全监管和业务指导工作力度，加强城区化粪池、生活垃圾转运站、生活垃圾填埋场、垃圾焚烧厂、渗滤液处理场等重点环卫设施及生活、建筑垃圾堆体风险评估和隐患排查治理。要强化城区化粪池安全监管和业务指导，落实安全监测、清掏疏浚制度，完善安全警示标志标识，严防燃爆事故发生。要督促指导各环卫作业人员做好安全防护措施，严防中毒、窒息、中暑、交通事故等人员伤亡事故。（责任科室</w:t>
      </w:r>
      <w:r>
        <w:rPr>
          <w:rFonts w:hint="default" w:ascii="Times New Roman" w:hAnsi="Times New Roman" w:eastAsia="方正仿宋_GBK" w:cs="Times New Roman"/>
          <w:sz w:val="31"/>
          <w:szCs w:val="31"/>
        </w:rPr>
        <w:t>/</w:t>
      </w:r>
      <w:r>
        <w:rPr>
          <w:rFonts w:hint="eastAsia" w:ascii="方正仿宋_GBK" w:hAnsi="方正仿宋_GBK" w:eastAsia="方正仿宋_GBK" w:cs="方正仿宋_GBK"/>
          <w:sz w:val="31"/>
          <w:szCs w:val="31"/>
        </w:rPr>
        <w:t>单位：环卫科、环卫所，各行业监管企业）</w:t>
      </w:r>
    </w:p>
    <w:p>
      <w:pPr>
        <w:pStyle w:val="2"/>
        <w:keepNext w:val="0"/>
        <w:keepLines w:val="0"/>
        <w:widowControl/>
        <w:suppressLineNumbers w:val="0"/>
        <w:spacing w:before="0" w:beforeAutospacing="0" w:after="0" w:afterAutospacing="0" w:line="570" w:lineRule="atLeast"/>
        <w:ind w:left="0" w:right="0" w:firstLine="645"/>
        <w:jc w:val="both"/>
      </w:pPr>
      <w:r>
        <w:rPr>
          <w:rFonts w:hint="eastAsia" w:ascii="方正楷体_GBK" w:hAnsi="方正楷体_GBK" w:eastAsia="方正楷体_GBK" w:cs="方正楷体_GBK"/>
          <w:sz w:val="31"/>
          <w:szCs w:val="31"/>
        </w:rPr>
        <w:t>（四）户外广告设施和户外招牌方面。</w:t>
      </w:r>
      <w:r>
        <w:rPr>
          <w:rFonts w:hint="eastAsia" w:ascii="方正仿宋_GBK" w:hAnsi="方正仿宋_GBK" w:eastAsia="方正仿宋_GBK" w:cs="方正仿宋_GBK"/>
          <w:sz w:val="31"/>
          <w:szCs w:val="31"/>
        </w:rPr>
        <w:t>要不断加强城市户外广告设施和户外招牌业务审批及过程安全监管，落实户外广告设施和户外招牌日常巡查、隐患排查治理制度，加强对户外广告设施和户外招牌的结构、构件连接点（焊缝螺栓）和电路设备等重点部位检查维护，严防户外广告设施和户外招牌坠落和电气火灾事故。（责任科室</w:t>
      </w:r>
      <w:r>
        <w:rPr>
          <w:rFonts w:hint="default" w:ascii="Times New Roman" w:hAnsi="Times New Roman" w:eastAsia="方正仿宋_GBK" w:cs="Times New Roman"/>
          <w:sz w:val="31"/>
          <w:szCs w:val="31"/>
        </w:rPr>
        <w:t>/</w:t>
      </w:r>
      <w:r>
        <w:rPr>
          <w:rFonts w:hint="eastAsia" w:ascii="方正仿宋_GBK" w:hAnsi="方正仿宋_GBK" w:eastAsia="方正仿宋_GBK" w:cs="方正仿宋_GBK"/>
          <w:sz w:val="31"/>
          <w:szCs w:val="31"/>
        </w:rPr>
        <w:t>单位：行政审批科、执法支队，各广告设施维护单位）</w:t>
      </w:r>
    </w:p>
    <w:p>
      <w:pPr>
        <w:pStyle w:val="2"/>
        <w:keepNext w:val="0"/>
        <w:keepLines w:val="0"/>
        <w:widowControl/>
        <w:suppressLineNumbers w:val="0"/>
        <w:spacing w:before="0" w:beforeAutospacing="0" w:after="0" w:afterAutospacing="0" w:line="570" w:lineRule="atLeast"/>
        <w:ind w:left="0" w:right="0" w:firstLine="645"/>
      </w:pPr>
      <w:r>
        <w:rPr>
          <w:rFonts w:hint="eastAsia" w:ascii="方正楷体_GBK" w:hAnsi="方正楷体_GBK" w:eastAsia="方正楷体_GBK" w:cs="方正楷体_GBK"/>
          <w:sz w:val="31"/>
          <w:szCs w:val="31"/>
        </w:rPr>
        <w:t>（五）城市公园、广场方面。</w:t>
      </w:r>
      <w:r>
        <w:rPr>
          <w:rFonts w:hint="eastAsia" w:ascii="方正仿宋_GBK" w:hAnsi="方正仿宋_GBK" w:eastAsia="方正仿宋_GBK" w:cs="方正仿宋_GBK"/>
          <w:sz w:val="31"/>
          <w:szCs w:val="31"/>
        </w:rPr>
        <w:t>要</w:t>
      </w:r>
      <w:r>
        <w:rPr>
          <w:rFonts w:hint="eastAsia" w:ascii="方正仿宋_GBK" w:hAnsi="方正仿宋_GBK" w:eastAsia="方正仿宋_GBK" w:cs="方正仿宋_GBK"/>
          <w:sz w:val="31"/>
          <w:szCs w:val="31"/>
          <w:shd w:val="clear" w:fill="FFFFFF"/>
        </w:rPr>
        <w:t>严格落实公园、广场安全监管责任，</w:t>
      </w:r>
      <w:r>
        <w:rPr>
          <w:rFonts w:hint="eastAsia" w:ascii="方正仿宋_GBK" w:hAnsi="方正仿宋_GBK" w:eastAsia="方正仿宋_GBK" w:cs="方正仿宋_GBK"/>
          <w:sz w:val="31"/>
          <w:szCs w:val="31"/>
        </w:rPr>
        <w:t>完善警示标志和安全救护设施。要</w:t>
      </w:r>
      <w:r>
        <w:rPr>
          <w:rFonts w:hint="eastAsia" w:ascii="方正仿宋_GBK" w:hAnsi="方正仿宋_GBK" w:eastAsia="方正仿宋_GBK" w:cs="方正仿宋_GBK"/>
          <w:sz w:val="31"/>
          <w:szCs w:val="31"/>
          <w:shd w:val="clear" w:fill="FFFFFF"/>
        </w:rPr>
        <w:t>严格执行“先巡查、后开园”、“不安全、不运行”日常巡查制度，进一步落实高温、暴雨等极端天气条件的安全巡查制度，加强人防、技防、物防管理工作模式，不断夯实安全基础。</w:t>
      </w:r>
      <w:r>
        <w:rPr>
          <w:rFonts w:hint="eastAsia" w:ascii="方正仿宋_GBK" w:hAnsi="方正仿宋_GBK" w:eastAsia="方正仿宋_GBK" w:cs="方正仿宋_GBK"/>
          <w:sz w:val="31"/>
          <w:szCs w:val="31"/>
        </w:rPr>
        <w:t>（责任科室</w:t>
      </w:r>
      <w:r>
        <w:rPr>
          <w:rFonts w:hint="default" w:ascii="Times New Roman" w:hAnsi="Times New Roman" w:eastAsia="方正仿宋_GBK" w:cs="Times New Roman"/>
          <w:sz w:val="31"/>
          <w:szCs w:val="31"/>
        </w:rPr>
        <w:t>/</w:t>
      </w:r>
      <w:r>
        <w:rPr>
          <w:rFonts w:hint="eastAsia" w:ascii="方正仿宋_GBK" w:hAnsi="方正仿宋_GBK" w:eastAsia="方正仿宋_GBK" w:cs="方正仿宋_GBK"/>
          <w:sz w:val="31"/>
          <w:szCs w:val="31"/>
        </w:rPr>
        <w:t>单位：绿化所、市政所）</w:t>
      </w:r>
    </w:p>
    <w:p>
      <w:pPr>
        <w:pStyle w:val="2"/>
        <w:keepNext w:val="0"/>
        <w:keepLines w:val="0"/>
        <w:widowControl/>
        <w:suppressLineNumbers w:val="0"/>
        <w:spacing w:before="0" w:beforeAutospacing="0" w:after="0" w:afterAutospacing="0" w:line="570" w:lineRule="atLeast"/>
        <w:ind w:left="0" w:right="0" w:firstLine="645"/>
      </w:pPr>
      <w:r>
        <w:rPr>
          <w:rFonts w:hint="eastAsia" w:ascii="方正楷体_GBK" w:hAnsi="方正楷体_GBK" w:eastAsia="方正楷体_GBK" w:cs="方正楷体_GBK"/>
          <w:sz w:val="31"/>
          <w:szCs w:val="31"/>
        </w:rPr>
        <w:t>（六）市政、园林、环卫等设施维护及工程施工方面。</w:t>
      </w:r>
      <w:r>
        <w:rPr>
          <w:rFonts w:hint="eastAsia" w:ascii="方正仿宋_GBK" w:hAnsi="方正仿宋_GBK" w:eastAsia="方正仿宋_GBK" w:cs="方正仿宋_GBK"/>
          <w:sz w:val="31"/>
          <w:szCs w:val="31"/>
        </w:rPr>
        <w:t>要持续开展维护和建设施工“两防”专项整治，严厉打击违法发包、转包、分包、挂靠和无证施工等行为。要重点加强复杂地质和工况条件下边坡、明挖暗挖施工，以及受限空间维护作业安全管控。要落实恶劣天气安全防范措施，切实加强现场管理和巡查力度，严防高处坠落、构筑物倒塌等事故发生。（责任科室</w:t>
      </w:r>
      <w:r>
        <w:rPr>
          <w:rFonts w:hint="default" w:ascii="Times New Roman" w:hAnsi="Times New Roman" w:eastAsia="方正仿宋_GBK" w:cs="Times New Roman"/>
          <w:sz w:val="31"/>
          <w:szCs w:val="31"/>
        </w:rPr>
        <w:t>/</w:t>
      </w:r>
      <w:r>
        <w:rPr>
          <w:rFonts w:hint="eastAsia" w:ascii="方正仿宋_GBK" w:hAnsi="方正仿宋_GBK" w:eastAsia="方正仿宋_GBK" w:cs="方正仿宋_GBK"/>
          <w:sz w:val="31"/>
          <w:szCs w:val="31"/>
        </w:rPr>
        <w:t>单位：局属各单位）</w:t>
      </w:r>
    </w:p>
    <w:p>
      <w:pPr>
        <w:pStyle w:val="2"/>
        <w:keepNext w:val="0"/>
        <w:keepLines w:val="0"/>
        <w:widowControl/>
        <w:suppressLineNumbers w:val="0"/>
        <w:spacing w:before="0" w:beforeAutospacing="0" w:after="0" w:afterAutospacing="0" w:line="570" w:lineRule="atLeast"/>
        <w:ind w:left="0" w:right="0" w:firstLine="645"/>
      </w:pPr>
      <w:r>
        <w:rPr>
          <w:rFonts w:hint="eastAsia" w:ascii="方正楷体_GBK" w:hAnsi="方正楷体_GBK" w:eastAsia="方正楷体_GBK" w:cs="方正楷体_GBK"/>
          <w:sz w:val="31"/>
          <w:szCs w:val="31"/>
        </w:rPr>
        <w:t>（七）消防方面。</w:t>
      </w:r>
      <w:r>
        <w:rPr>
          <w:rFonts w:hint="eastAsia" w:ascii="方正仿宋_GBK" w:hAnsi="方正仿宋_GBK" w:eastAsia="方正仿宋_GBK" w:cs="方正仿宋_GBK"/>
          <w:sz w:val="31"/>
          <w:szCs w:val="31"/>
        </w:rPr>
        <w:t>要突出高层建筑、城市建筑配建地下停车场、办公场所、施工作业现场、生产车间厂房、设施设备、仓储堆放</w:t>
      </w:r>
      <w:r>
        <w:rPr>
          <w:rFonts w:hint="eastAsia" w:ascii="方正仿宋_GBK" w:hAnsi="方正仿宋_GBK" w:eastAsia="方正仿宋_GBK" w:cs="方正仿宋_GBK"/>
          <w:sz w:val="31"/>
          <w:szCs w:val="31"/>
          <w:shd w:val="clear" w:fill="FFFFFF"/>
        </w:rPr>
        <w:t>等重点场所，持续加强“生命通道”等消防安全专项治理，保持火灾隐患整治高压态势。</w:t>
      </w:r>
      <w:r>
        <w:rPr>
          <w:rFonts w:hint="eastAsia" w:ascii="方正仿宋_GBK" w:hAnsi="方正仿宋_GBK" w:eastAsia="方正仿宋_GBK" w:cs="方正仿宋_GBK"/>
          <w:sz w:val="31"/>
          <w:szCs w:val="31"/>
        </w:rPr>
        <w:t>（责任科室</w:t>
      </w:r>
      <w:r>
        <w:rPr>
          <w:rFonts w:hint="default" w:ascii="Times New Roman" w:hAnsi="Times New Roman" w:eastAsia="方正仿宋_GBK" w:cs="Times New Roman"/>
          <w:sz w:val="31"/>
          <w:szCs w:val="31"/>
        </w:rPr>
        <w:t>/</w:t>
      </w:r>
      <w:r>
        <w:rPr>
          <w:rFonts w:hint="eastAsia" w:ascii="方正仿宋_GBK" w:hAnsi="方正仿宋_GBK" w:eastAsia="方正仿宋_GBK" w:cs="方正仿宋_GBK"/>
          <w:sz w:val="31"/>
          <w:szCs w:val="31"/>
        </w:rPr>
        <w:t>单位：局属各单位）</w:t>
      </w:r>
    </w:p>
    <w:p>
      <w:pPr>
        <w:pStyle w:val="2"/>
        <w:keepNext w:val="0"/>
        <w:keepLines w:val="0"/>
        <w:widowControl/>
        <w:suppressLineNumbers w:val="0"/>
        <w:spacing w:before="0" w:beforeAutospacing="0" w:after="0" w:afterAutospacing="0" w:line="570" w:lineRule="atLeast"/>
        <w:ind w:left="0" w:right="0" w:firstLine="645"/>
      </w:pPr>
      <w:r>
        <w:rPr>
          <w:rFonts w:hint="eastAsia" w:ascii="方正楷体_GBK" w:hAnsi="方正楷体_GBK" w:eastAsia="方正楷体_GBK" w:cs="方正楷体_GBK"/>
          <w:sz w:val="31"/>
          <w:szCs w:val="31"/>
        </w:rPr>
        <w:t>（八）自然灾害防治方面。</w:t>
      </w:r>
      <w:r>
        <w:rPr>
          <w:rFonts w:hint="eastAsia" w:ascii="方正仿宋_GBK" w:hAnsi="方正仿宋_GBK" w:eastAsia="方正仿宋_GBK" w:cs="方正仿宋_GBK"/>
          <w:sz w:val="31"/>
          <w:szCs w:val="31"/>
        </w:rPr>
        <w:t>继续做好防汛抗旱各项工作，要围绕桥梁、滨江道路、城市隧道、公厕、供水设施、城市公园、户外广告、园林植被等易受灾害天气影响市政公用设施，不断强化重点区域安全隐患及风险排查，掌握风险底数，落实管控措施。森林防火方面，要重点关注职责范围内的可燃物载量大、游客用火等行为，加强</w:t>
      </w:r>
      <w:r>
        <w:rPr>
          <w:rFonts w:hint="eastAsia" w:ascii="方正仿宋_GBK" w:hAnsi="方正仿宋_GBK" w:eastAsia="方正仿宋_GBK" w:cs="方正仿宋_GBK"/>
          <w:sz w:val="31"/>
          <w:szCs w:val="31"/>
          <w:shd w:val="clear" w:fill="FFFFFF"/>
        </w:rPr>
        <w:t>检查和宣传教育力度，严控城市公园森林火灾事故。</w:t>
      </w:r>
      <w:r>
        <w:rPr>
          <w:rFonts w:hint="eastAsia" w:ascii="方正仿宋_GBK" w:hAnsi="方正仿宋_GBK" w:eastAsia="方正仿宋_GBK" w:cs="方正仿宋_GBK"/>
          <w:sz w:val="31"/>
          <w:szCs w:val="31"/>
        </w:rPr>
        <w:t>（责任科室</w:t>
      </w:r>
      <w:r>
        <w:rPr>
          <w:rFonts w:hint="default" w:ascii="Times New Roman" w:hAnsi="Times New Roman" w:eastAsia="方正仿宋_GBK" w:cs="Times New Roman"/>
          <w:sz w:val="31"/>
          <w:szCs w:val="31"/>
        </w:rPr>
        <w:t>/</w:t>
      </w:r>
      <w:r>
        <w:rPr>
          <w:rFonts w:hint="eastAsia" w:ascii="方正仿宋_GBK" w:hAnsi="方正仿宋_GBK" w:eastAsia="方正仿宋_GBK" w:cs="方正仿宋_GBK"/>
          <w:sz w:val="31"/>
          <w:szCs w:val="31"/>
        </w:rPr>
        <w:t>单位：局属各单位）</w:t>
      </w:r>
    </w:p>
    <w:p>
      <w:pPr>
        <w:pStyle w:val="2"/>
        <w:keepNext w:val="0"/>
        <w:keepLines w:val="0"/>
        <w:widowControl/>
        <w:suppressLineNumbers w:val="0"/>
        <w:spacing w:before="0" w:beforeAutospacing="0" w:after="0" w:afterAutospacing="0" w:line="570" w:lineRule="atLeast"/>
        <w:ind w:left="0" w:right="0" w:firstLine="645"/>
      </w:pPr>
      <w:r>
        <w:rPr>
          <w:rFonts w:hint="eastAsia" w:ascii="方正楷体_GBK" w:hAnsi="方正楷体_GBK" w:eastAsia="方正楷体_GBK" w:cs="方正楷体_GBK"/>
          <w:sz w:val="31"/>
          <w:szCs w:val="31"/>
        </w:rPr>
        <w:t>（九）深入开展违法行为大执法。</w:t>
      </w:r>
      <w:r>
        <w:rPr>
          <w:rFonts w:hint="eastAsia" w:ascii="方正仿宋_GBK" w:hAnsi="方正仿宋_GBK" w:eastAsia="方正仿宋_GBK" w:cs="方正仿宋_GBK"/>
          <w:sz w:val="31"/>
          <w:szCs w:val="31"/>
        </w:rPr>
        <w:t>要实施“全覆盖”监管。要对城市管理各行业监管企业实行全覆盖重点监管。严格坚持“三部曲”执法。严格执行年度监督检查计划，科学编制监督检查方案，务实开展“检查诊断、行政处罚、整改复查”闭环执法。局有关科室要开展检查指导，提升安全生产执法检查成效，督促重大问题和薄弱环节整治。（责任科室</w:t>
      </w:r>
      <w:r>
        <w:rPr>
          <w:rFonts w:hint="default" w:ascii="Times New Roman" w:hAnsi="Times New Roman" w:eastAsia="方正仿宋_GBK" w:cs="Times New Roman"/>
          <w:sz w:val="31"/>
          <w:szCs w:val="31"/>
        </w:rPr>
        <w:t>/</w:t>
      </w:r>
      <w:r>
        <w:rPr>
          <w:rFonts w:hint="eastAsia" w:ascii="方正仿宋_GBK" w:hAnsi="方正仿宋_GBK" w:eastAsia="方正仿宋_GBK" w:cs="方正仿宋_GBK"/>
          <w:sz w:val="31"/>
          <w:szCs w:val="31"/>
        </w:rPr>
        <w:t>单位：市政科、环卫科、执法支队）</w:t>
      </w:r>
    </w:p>
    <w:p>
      <w:pPr>
        <w:pStyle w:val="2"/>
        <w:keepNext w:val="0"/>
        <w:keepLines w:val="0"/>
        <w:widowControl/>
        <w:suppressLineNumbers w:val="0"/>
        <w:spacing w:before="0" w:beforeAutospacing="0" w:after="0" w:afterAutospacing="0" w:line="570" w:lineRule="atLeast"/>
        <w:ind w:left="0" w:right="0" w:firstLine="645"/>
      </w:pPr>
      <w:r>
        <w:rPr>
          <w:rFonts w:hint="eastAsia" w:ascii="方正黑体_GBK" w:hAnsi="方正黑体_GBK" w:eastAsia="方正黑体_GBK" w:cs="方正黑体_GBK"/>
          <w:sz w:val="31"/>
          <w:szCs w:val="31"/>
        </w:rPr>
        <w:t>三、工作要求</w:t>
      </w:r>
    </w:p>
    <w:p>
      <w:pPr>
        <w:pStyle w:val="2"/>
        <w:keepNext w:val="0"/>
        <w:keepLines w:val="0"/>
        <w:widowControl/>
        <w:suppressLineNumbers w:val="0"/>
        <w:spacing w:before="0" w:beforeAutospacing="0" w:after="0" w:afterAutospacing="0" w:line="570" w:lineRule="atLeast"/>
        <w:ind w:left="0" w:right="0" w:firstLine="645"/>
      </w:pPr>
      <w:r>
        <w:rPr>
          <w:rFonts w:hint="eastAsia" w:ascii="方正楷体_GBK" w:hAnsi="方正楷体_GBK" w:eastAsia="方正楷体_GBK" w:cs="方正楷体_GBK"/>
          <w:sz w:val="31"/>
          <w:szCs w:val="31"/>
        </w:rPr>
        <w:t>（一）加强组织领导。</w:t>
      </w:r>
      <w:r>
        <w:rPr>
          <w:rFonts w:hint="eastAsia" w:ascii="方正仿宋_GBK" w:hAnsi="方正仿宋_GBK" w:eastAsia="方正仿宋_GBK" w:cs="方正仿宋_GBK"/>
          <w:sz w:val="31"/>
          <w:szCs w:val="31"/>
        </w:rPr>
        <w:t>深入开展城市运行安全大排查大整治大执法百日行动，是为党的二十大胜利召开营造安全稳定环境的重要举措。局班子成员要按照“一岗双责”的要求，带头认真研判自己管辖领域内的安全生产和自然灾害防治工作形势，亲自统筹协调，深入一线开展安全隐患和风险整治。局属各科室、单位主要负责人要高度重视，牵头抓、负总责，全面推进各项工作，并于百日行动结束前将工作总结报局安全科。</w:t>
      </w:r>
    </w:p>
    <w:p>
      <w:pPr>
        <w:pStyle w:val="2"/>
        <w:keepNext w:val="0"/>
        <w:keepLines w:val="0"/>
        <w:widowControl/>
        <w:suppressLineNumbers w:val="0"/>
        <w:spacing w:before="0" w:beforeAutospacing="0" w:after="0" w:afterAutospacing="0" w:line="570" w:lineRule="atLeast"/>
        <w:ind w:left="0" w:right="0" w:firstLine="645"/>
      </w:pPr>
      <w:r>
        <w:rPr>
          <w:rFonts w:hint="eastAsia" w:ascii="方正楷体_GBK" w:hAnsi="方正楷体_GBK" w:eastAsia="方正楷体_GBK" w:cs="方正楷体_GBK"/>
          <w:sz w:val="31"/>
          <w:szCs w:val="31"/>
        </w:rPr>
        <w:t>（二）强化责任落实。</w:t>
      </w:r>
      <w:r>
        <w:rPr>
          <w:rFonts w:hint="eastAsia" w:ascii="方正仿宋_GBK" w:hAnsi="方正仿宋_GBK" w:eastAsia="方正仿宋_GBK" w:cs="方正仿宋_GBK"/>
          <w:sz w:val="31"/>
          <w:szCs w:val="31"/>
        </w:rPr>
        <w:t>各科室、单位要压实行业监管责任和企业主体责任，按照渝安委〔2022〕12号文件要求，严格落实“三查三治”整治内容要求，坚持一岗双责、齐抓共管、失职追责，强化党政主要负责人和班子成员的领导责任，持续传导压力，推动工作落地见效。局安全生产和自然灾害防治工作领导小组将对工作落实情况进行督查检查，对工作推进不力、执法不严、责任不清等情况进行通报。</w:t>
      </w:r>
    </w:p>
    <w:p>
      <w:pPr>
        <w:pStyle w:val="2"/>
        <w:keepNext w:val="0"/>
        <w:keepLines w:val="0"/>
        <w:widowControl/>
        <w:suppressLineNumbers w:val="0"/>
        <w:spacing w:before="0" w:beforeAutospacing="0" w:after="0" w:afterAutospacing="0" w:line="570" w:lineRule="atLeast"/>
        <w:ind w:left="0" w:right="0" w:firstLine="645"/>
      </w:pPr>
      <w:r>
        <w:rPr>
          <w:rFonts w:hint="eastAsia" w:ascii="方正楷体_GBK" w:hAnsi="方正楷体_GBK" w:eastAsia="方正楷体_GBK" w:cs="方正楷体_GBK"/>
          <w:sz w:val="31"/>
          <w:szCs w:val="31"/>
        </w:rPr>
        <w:t>（三）广泛宣传发动。</w:t>
      </w:r>
      <w:r>
        <w:rPr>
          <w:rFonts w:hint="eastAsia" w:ascii="方正仿宋_GBK" w:hAnsi="方正仿宋_GBK" w:eastAsia="方正仿宋_GBK" w:cs="方正仿宋_GBK"/>
          <w:sz w:val="31"/>
          <w:szCs w:val="31"/>
        </w:rPr>
        <w:t>各单位加强重点岗位、重点工艺、重点操作人员安全教育培训。要结合当前安全形势，深入开展安全知识教育普及，强化自然灾害易发多发区域群众应急避险知识宣传，提升群众安全意识和能力。要充分利用各类媒体平台，广泛宣传大排查大整治大执法工作，为百日行动营造良好的社会氛围。</w:t>
      </w:r>
    </w:p>
    <w:p>
      <w:pPr>
        <w:pStyle w:val="2"/>
        <w:keepNext w:val="0"/>
        <w:keepLines w:val="0"/>
        <w:widowControl/>
        <w:suppressLineNumbers w:val="0"/>
        <w:spacing w:before="0" w:beforeAutospacing="0" w:after="0" w:afterAutospacing="0" w:line="570" w:lineRule="atLeast"/>
        <w:ind w:left="0" w:right="0" w:firstLine="645"/>
      </w:pPr>
      <w:r>
        <w:rPr>
          <w:rFonts w:hint="eastAsia" w:ascii="方正楷体_GBK" w:hAnsi="方正楷体_GBK" w:eastAsia="方正楷体_GBK" w:cs="方正楷体_GBK"/>
          <w:sz w:val="31"/>
          <w:szCs w:val="31"/>
        </w:rPr>
        <w:t>（四）强化应急准备。</w:t>
      </w:r>
      <w:r>
        <w:rPr>
          <w:rFonts w:hint="eastAsia" w:ascii="方正仿宋_GBK" w:hAnsi="方正仿宋_GBK" w:eastAsia="方正仿宋_GBK" w:cs="方正仿宋_GBK"/>
          <w:sz w:val="31"/>
          <w:szCs w:val="31"/>
        </w:rPr>
        <w:t>各单位要深入调查应急救援物资、装备、设施情况，摸清应急物资家底，及时补充救援物资，确保应急物资到位。要优化应急处置预案，强化备勤备战，加强基于情景构建的培训和演练，并加强值班值守工作，确保一旦发生事故灾害在第一时间得到有效处置。</w:t>
      </w:r>
    </w:p>
    <w:p>
      <w:pPr>
        <w:pStyle w:val="2"/>
        <w:keepNext w:val="0"/>
        <w:keepLines w:val="0"/>
        <w:widowControl/>
        <w:suppressLineNumbers w:val="0"/>
        <w:spacing w:before="0" w:beforeAutospacing="0" w:after="0" w:afterAutospacing="0" w:line="570" w:lineRule="atLeast"/>
        <w:ind w:left="0" w:right="0"/>
      </w:pPr>
      <w:r>
        <w:rPr>
          <w:rFonts w:hint="default" w:ascii="Times New Roman" w:hAnsi="Times New Roman" w:cs="Times New Roman"/>
          <w:sz w:val="31"/>
          <w:szCs w:val="31"/>
        </w:rPr>
        <w:t> </w:t>
      </w:r>
    </w:p>
    <w:p>
      <w:pPr>
        <w:pStyle w:val="2"/>
        <w:keepNext w:val="0"/>
        <w:keepLines w:val="0"/>
        <w:widowControl/>
        <w:suppressLineNumbers w:val="0"/>
        <w:spacing w:before="0" w:beforeAutospacing="0" w:after="0" w:afterAutospacing="0" w:line="570" w:lineRule="atLeast"/>
        <w:ind w:left="0" w:right="0" w:firstLine="4485"/>
      </w:pPr>
      <w:r>
        <w:rPr>
          <w:rFonts w:hint="default" w:ascii="Times New Roman" w:hAnsi="Times New Roman" w:cs="Times New Roman"/>
          <w:sz w:val="31"/>
          <w:szCs w:val="31"/>
        </w:rPr>
        <w:t> </w:t>
      </w:r>
    </w:p>
    <w:p>
      <w:pPr>
        <w:pStyle w:val="2"/>
        <w:keepNext w:val="0"/>
        <w:keepLines w:val="0"/>
        <w:widowControl/>
        <w:suppressLineNumbers w:val="0"/>
        <w:spacing w:before="0" w:beforeAutospacing="0" w:after="0" w:afterAutospacing="0" w:line="570" w:lineRule="atLeast"/>
        <w:ind w:left="0" w:right="0" w:firstLine="4485"/>
      </w:pPr>
      <w:r>
        <w:rPr>
          <w:rFonts w:hint="eastAsia" w:ascii="方正仿宋_GBK" w:hAnsi="方正仿宋_GBK" w:eastAsia="方正仿宋_GBK" w:cs="方正仿宋_GBK"/>
          <w:sz w:val="31"/>
          <w:szCs w:val="31"/>
        </w:rPr>
        <w:t>重庆市綦江区城市管理局</w:t>
      </w:r>
    </w:p>
    <w:p>
      <w:pPr>
        <w:pStyle w:val="2"/>
        <w:keepNext w:val="0"/>
        <w:keepLines w:val="0"/>
        <w:widowControl/>
        <w:suppressLineNumbers w:val="0"/>
        <w:spacing w:before="0" w:beforeAutospacing="0" w:after="0" w:afterAutospacing="0" w:line="570" w:lineRule="atLeast"/>
        <w:ind w:left="0" w:right="0" w:firstLine="5115"/>
      </w:pPr>
      <w:r>
        <w:rPr>
          <w:rFonts w:hint="default" w:ascii="Times New Roman" w:hAnsi="Times New Roman" w:cs="Times New Roman"/>
          <w:sz w:val="31"/>
          <w:szCs w:val="31"/>
        </w:rPr>
        <w:t>2022</w:t>
      </w:r>
      <w:r>
        <w:rPr>
          <w:rFonts w:hint="eastAsia" w:ascii="方正仿宋_GBK" w:hAnsi="方正仿宋_GBK" w:eastAsia="方正仿宋_GBK" w:cs="方正仿宋_GBK"/>
          <w:sz w:val="31"/>
          <w:szCs w:val="31"/>
        </w:rPr>
        <w:t>年</w:t>
      </w:r>
      <w:r>
        <w:rPr>
          <w:rFonts w:hint="default" w:ascii="Times New Roman" w:hAnsi="Times New Roman" w:cs="Times New Roman"/>
          <w:sz w:val="31"/>
          <w:szCs w:val="31"/>
        </w:rPr>
        <w:t>8</w:t>
      </w:r>
      <w:r>
        <w:rPr>
          <w:rFonts w:hint="eastAsia" w:ascii="方正仿宋_GBK" w:hAnsi="方正仿宋_GBK" w:eastAsia="方正仿宋_GBK" w:cs="方正仿宋_GBK"/>
          <w:sz w:val="31"/>
          <w:szCs w:val="31"/>
        </w:rPr>
        <w:t>月</w:t>
      </w:r>
      <w:r>
        <w:rPr>
          <w:rFonts w:hint="default" w:ascii="Times New Roman" w:hAnsi="Times New Roman" w:cs="Times New Roman"/>
          <w:sz w:val="31"/>
          <w:szCs w:val="31"/>
        </w:rPr>
        <w:t>1</w:t>
      </w:r>
      <w:r>
        <w:rPr>
          <w:rFonts w:hint="eastAsia" w:ascii="方正仿宋_GBK" w:hAnsi="方正仿宋_GBK" w:eastAsia="方正仿宋_GBK" w:cs="方正仿宋_GBK"/>
          <w:sz w:val="31"/>
          <w:szCs w:val="31"/>
        </w:rPr>
        <w:t>日</w:t>
      </w:r>
    </w:p>
    <w:p>
      <w:pPr>
        <w:pStyle w:val="2"/>
        <w:keepNext w:val="0"/>
        <w:keepLines w:val="0"/>
        <w:widowControl/>
        <w:suppressLineNumbers w:val="0"/>
        <w:spacing w:before="0" w:beforeAutospacing="0" w:after="0" w:afterAutospacing="0" w:line="315" w:lineRule="atLeast"/>
        <w:ind w:left="0" w:right="0"/>
      </w:pPr>
      <w:r>
        <w:rPr>
          <w:rFonts w:hint="default" w:ascii="Times New Roman" w:hAnsi="Times New Roman" w:cs="Times New Roman"/>
          <w:sz w:val="31"/>
          <w:szCs w:val="31"/>
        </w:rPr>
        <w:t> </w:t>
      </w:r>
    </w:p>
    <w:p>
      <w:pPr>
        <w:pStyle w:val="2"/>
        <w:keepNext w:val="0"/>
        <w:keepLines w:val="0"/>
        <w:widowControl/>
        <w:suppressLineNumbers w:val="0"/>
        <w:spacing w:before="0" w:beforeAutospacing="0" w:after="0" w:afterAutospacing="0" w:line="315" w:lineRule="atLeast"/>
        <w:ind w:left="0" w:right="0"/>
        <w:rPr>
          <w:rFonts w:hint="default" w:ascii="Times New Roman" w:hAnsi="Times New Roman" w:cs="Times New Roman"/>
          <w:sz w:val="31"/>
          <w:szCs w:val="31"/>
        </w:rPr>
      </w:pPr>
      <w:r>
        <w:rPr>
          <w:rFonts w:hint="default" w:ascii="Times New Roman" w:hAnsi="Times New Roman" w:cs="Times New Roman"/>
          <w:sz w:val="31"/>
          <w:szCs w:val="31"/>
        </w:rPr>
        <w:t> </w:t>
      </w:r>
    </w:p>
    <w:p>
      <w:pPr>
        <w:pStyle w:val="2"/>
        <w:keepNext w:val="0"/>
        <w:keepLines w:val="0"/>
        <w:widowControl/>
        <w:suppressLineNumbers w:val="0"/>
        <w:spacing w:before="0" w:beforeAutospacing="0" w:after="0" w:afterAutospacing="0" w:line="315" w:lineRule="atLeast"/>
        <w:ind w:left="0" w:right="0"/>
        <w:rPr>
          <w:rFonts w:hint="default" w:ascii="Times New Roman" w:hAnsi="Times New Roman" w:cs="Times New Roman"/>
          <w:sz w:val="31"/>
          <w:szCs w:val="31"/>
        </w:rPr>
      </w:pPr>
    </w:p>
    <w:p>
      <w:pPr>
        <w:pStyle w:val="2"/>
        <w:keepNext w:val="0"/>
        <w:keepLines w:val="0"/>
        <w:widowControl/>
        <w:suppressLineNumbers w:val="0"/>
        <w:spacing w:before="0" w:beforeAutospacing="0" w:after="0" w:afterAutospacing="0" w:line="315" w:lineRule="atLeast"/>
        <w:ind w:left="0" w:right="0"/>
        <w:rPr>
          <w:rFonts w:hint="default" w:ascii="Times New Roman" w:hAnsi="Times New Roman" w:cs="Times New Roman"/>
          <w:sz w:val="31"/>
          <w:szCs w:val="31"/>
        </w:rPr>
      </w:pPr>
    </w:p>
    <w:p>
      <w:pPr>
        <w:pStyle w:val="2"/>
        <w:keepNext w:val="0"/>
        <w:keepLines w:val="0"/>
        <w:widowControl/>
        <w:suppressLineNumbers w:val="0"/>
        <w:spacing w:before="0" w:beforeAutospacing="0" w:after="0" w:afterAutospacing="0" w:line="315" w:lineRule="atLeast"/>
        <w:ind w:left="0" w:right="0"/>
      </w:pPr>
      <w:r>
        <w:rPr>
          <w:rFonts w:ascii="Helvetica" w:hAnsi="Helvetica" w:eastAsia="Helvetica" w:cs="Helvetica"/>
          <w:sz w:val="22"/>
          <w:szCs w:val="22"/>
        </w:rPr>
        <w:t> </w:t>
      </w:r>
    </w:p>
    <w:p>
      <w:pPr>
        <w:pStyle w:val="2"/>
        <w:keepNext w:val="0"/>
        <w:keepLines w:val="0"/>
        <w:widowControl/>
        <w:suppressLineNumbers w:val="0"/>
        <w:spacing w:before="0" w:beforeAutospacing="0" w:after="0" w:afterAutospacing="0" w:line="315" w:lineRule="atLeast"/>
        <w:ind w:left="0" w:right="0"/>
      </w:pPr>
      <w:r>
        <w:rPr>
          <w:rFonts w:hint="eastAsia" w:ascii="宋体" w:hAnsi="宋体" w:eastAsia="宋体" w:cs="宋体"/>
          <w:sz w:val="21"/>
          <w:szCs w:val="21"/>
        </w:rPr>
        <w:t> </w:t>
      </w:r>
    </w:p>
    <w:p>
      <w:pPr>
        <w:pStyle w:val="2"/>
        <w:keepNext w:val="0"/>
        <w:keepLines w:val="0"/>
        <w:widowControl/>
        <w:suppressLineNumbers w:val="0"/>
        <w:pBdr>
          <w:top w:val="single" w:color="auto" w:sz="6" w:space="0"/>
          <w:left w:val="none" w:color="auto" w:sz="0" w:space="0"/>
          <w:bottom w:val="single" w:color="auto" w:sz="6" w:space="0"/>
          <w:right w:val="none" w:color="auto" w:sz="0" w:space="0"/>
        </w:pBdr>
        <w:spacing w:before="0" w:beforeAutospacing="0" w:after="0" w:afterAutospacing="0" w:line="315" w:lineRule="atLeast"/>
        <w:ind w:left="0" w:right="0" w:firstLine="270"/>
      </w:pPr>
      <w:r>
        <w:rPr>
          <w:rFonts w:hint="eastAsia" w:ascii="方正仿宋_GBK" w:hAnsi="方正仿宋_GBK" w:eastAsia="方正仿宋_GBK" w:cs="方正仿宋_GBK"/>
          <w:spacing w:val="0"/>
          <w:sz w:val="28"/>
          <w:szCs w:val="28"/>
          <w:bdr w:val="none" w:color="auto" w:sz="0" w:space="0"/>
        </w:rPr>
        <w:t>重庆市綦江区城市管理局办公室</w:t>
      </w:r>
      <w:r>
        <w:rPr>
          <w:rFonts w:hint="default" w:ascii="Times New Roman" w:hAnsi="Times New Roman" w:cs="Times New Roman"/>
          <w:spacing w:val="0"/>
          <w:sz w:val="28"/>
          <w:szCs w:val="28"/>
          <w:bdr w:val="none" w:color="auto" w:sz="0" w:space="0"/>
        </w:rPr>
        <w:t>       </w:t>
      </w:r>
      <w:r>
        <w:rPr>
          <w:rFonts w:hint="eastAsia" w:ascii="方正仿宋_GBK" w:hAnsi="方正仿宋_GBK" w:eastAsia="方正仿宋_GBK" w:cs="方正仿宋_GBK"/>
          <w:spacing w:val="0"/>
          <w:sz w:val="28"/>
          <w:szCs w:val="28"/>
          <w:bdr w:val="none" w:color="auto" w:sz="0" w:space="0"/>
        </w:rPr>
        <w:t>    </w:t>
      </w:r>
      <w:r>
        <w:rPr>
          <w:rFonts w:hint="default" w:ascii="Times New Roman" w:hAnsi="Times New Roman" w:cs="Times New Roman"/>
          <w:spacing w:val="0"/>
          <w:sz w:val="28"/>
          <w:szCs w:val="28"/>
          <w:bdr w:val="none" w:color="auto" w:sz="0" w:space="0"/>
        </w:rPr>
        <w:t> 20</w:t>
      </w:r>
      <w:r>
        <w:rPr>
          <w:rFonts w:hint="default" w:ascii="Times New Roman" w:hAnsi="Times New Roman" w:eastAsia="方正仿宋_GBK" w:cs="Times New Roman"/>
          <w:spacing w:val="0"/>
          <w:sz w:val="28"/>
          <w:szCs w:val="28"/>
          <w:bdr w:val="none" w:color="auto" w:sz="0" w:space="0"/>
        </w:rPr>
        <w:t>22</w:t>
      </w:r>
      <w:r>
        <w:rPr>
          <w:rFonts w:hint="eastAsia" w:ascii="方正仿宋_GBK" w:hAnsi="方正仿宋_GBK" w:eastAsia="方正仿宋_GBK" w:cs="方正仿宋_GBK"/>
          <w:spacing w:val="0"/>
          <w:sz w:val="28"/>
          <w:szCs w:val="28"/>
          <w:bdr w:val="none" w:color="auto" w:sz="0" w:space="0"/>
        </w:rPr>
        <w:t>年</w:t>
      </w:r>
      <w:r>
        <w:rPr>
          <w:rFonts w:hint="default" w:ascii="Times New Roman" w:hAnsi="Times New Roman" w:eastAsia="方正仿宋_GBK" w:cs="Times New Roman"/>
          <w:spacing w:val="0"/>
          <w:sz w:val="28"/>
          <w:szCs w:val="28"/>
          <w:bdr w:val="none" w:color="auto" w:sz="0" w:space="0"/>
        </w:rPr>
        <w:t>8</w:t>
      </w:r>
      <w:r>
        <w:rPr>
          <w:rFonts w:hint="eastAsia" w:ascii="方正仿宋_GBK" w:hAnsi="方正仿宋_GBK" w:eastAsia="方正仿宋_GBK" w:cs="方正仿宋_GBK"/>
          <w:spacing w:val="0"/>
          <w:sz w:val="28"/>
          <w:szCs w:val="28"/>
          <w:bdr w:val="none" w:color="auto" w:sz="0" w:space="0"/>
        </w:rPr>
        <w:t>月</w:t>
      </w:r>
      <w:r>
        <w:rPr>
          <w:rFonts w:hint="default" w:ascii="Times New Roman" w:hAnsi="Times New Roman" w:eastAsia="方正仿宋_GBK" w:cs="Times New Roman"/>
          <w:spacing w:val="0"/>
          <w:sz w:val="28"/>
          <w:szCs w:val="28"/>
          <w:bdr w:val="none" w:color="auto" w:sz="0" w:space="0"/>
        </w:rPr>
        <w:t>1</w:t>
      </w:r>
      <w:r>
        <w:rPr>
          <w:rFonts w:hint="eastAsia" w:ascii="方正仿宋_GBK" w:hAnsi="方正仿宋_GBK" w:eastAsia="方正仿宋_GBK" w:cs="方正仿宋_GBK"/>
          <w:spacing w:val="0"/>
          <w:sz w:val="28"/>
          <w:szCs w:val="28"/>
          <w:bdr w:val="none" w:color="auto" w:sz="0" w:space="0"/>
        </w:rPr>
        <w:t>日印发</w:t>
      </w:r>
    </w:p>
    <w:p>
      <w:pPr>
        <w:pStyle w:val="2"/>
        <w:keepNext w:val="0"/>
        <w:keepLines w:val="0"/>
        <w:widowControl/>
        <w:suppressLineNumbers w:val="0"/>
        <w:spacing w:before="0" w:beforeAutospacing="0" w:after="0" w:afterAutospacing="0" w:line="315" w:lineRule="atLeast"/>
        <w:ind w:left="0" w:right="0"/>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Helvetica">
    <w:altName w:val="Arial"/>
    <w:panose1 w:val="00000000000000000000"/>
    <w:charset w:val="00"/>
    <w:family w:val="auto"/>
    <w:pitch w:val="default"/>
    <w:sig w:usb0="00000000" w:usb1="00000000" w:usb2="00000000" w:usb3="00000000" w:csb0="00000000" w:csb1="00000000"/>
  </w:font>
  <w:font w:name="sans-serif">
    <w:altName w:val="Segoe Print"/>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3YzU4MmQyN2IyZTcxMTJjMDQxMGQ3MTY1YjFlODIifQ=="/>
  </w:docVars>
  <w:rsids>
    <w:rsidRoot w:val="00000000"/>
    <w:rsid w:val="4A2430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2026-07-27T02:43:46Z</dcterms:created>
  <dc:creator>Administrator</dc:creator>
  <cp:lastModifiedBy>Administrator</cp:lastModifiedBy>
  <dcterms:modified xsi:type="dcterms:W3CDTF">2026-07-27T02:44:05Z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FC8EF974B3FA4B75AACD41619857C2CB_12</vt:lpwstr>
  </property>
</Properties>
</file>