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600" w:lineRule="atLeast"/>
        <w:jc w:val="center"/>
      </w:pPr>
      <w:r>
        <w:rPr>
          <w:rFonts w:ascii="方正小标宋_GBK" w:hAnsi="方正小标宋_GBK" w:eastAsia="方正小标宋_GBK" w:cs="方正小标宋_GBK"/>
          <w:sz w:val="43"/>
          <w:szCs w:val="43"/>
        </w:rPr>
        <w:t>重庆市綦江区教育委员会</w:t>
      </w:r>
    </w:p>
    <w:p>
      <w:pPr>
        <w:pStyle w:val="6"/>
        <w:spacing w:line="600" w:lineRule="atLeast"/>
        <w:jc w:val="center"/>
      </w:pPr>
      <w:r>
        <w:rPr>
          <w:rFonts w:hint="eastAsia" w:ascii="方正小标宋_GBK" w:hAnsi="方正小标宋_GBK" w:eastAsia="方正小标宋_GBK" w:cs="方正小标宋_GBK"/>
          <w:sz w:val="43"/>
          <w:szCs w:val="43"/>
        </w:rPr>
        <w:t>2020年度部门决算情况说明</w:t>
      </w:r>
    </w:p>
    <w:p>
      <w:pPr>
        <w:pStyle w:val="6"/>
        <w:autoSpaceDE w:val="0"/>
        <w:spacing w:before="0" w:beforeAutospacing="0" w:after="0" w:afterAutospacing="0" w:line="600" w:lineRule="atLeast"/>
        <w:ind w:left="480" w:hanging="480"/>
      </w:pPr>
      <w:r>
        <w:rPr>
          <w:rFonts w:hint="eastAsia"/>
        </w:rPr>
        <w:t>  </w:t>
      </w:r>
      <w:r>
        <w:rPr>
          <w:rStyle w:val="10"/>
          <w:rFonts w:ascii="Times New Roman" w:hAnsi="Times New Roman" w:cs="Times New Roman"/>
          <w:sz w:val="30"/>
          <w:szCs w:val="30"/>
        </w:rPr>
        <w:t>  </w:t>
      </w:r>
    </w:p>
    <w:p>
      <w:pPr>
        <w:pStyle w:val="6"/>
        <w:autoSpaceDE w:val="0"/>
        <w:spacing w:before="0" w:beforeAutospacing="0" w:after="0" w:afterAutospacing="0" w:line="600" w:lineRule="atLeast"/>
        <w:ind w:firstLine="645"/>
        <w:jc w:val="both"/>
      </w:pPr>
      <w:r>
        <w:rPr>
          <w:rFonts w:ascii="方正黑体_GBK" w:hAnsi="方正黑体_GBK" w:eastAsia="方正黑体_GBK" w:cs="方正黑体_GBK"/>
          <w:sz w:val="31"/>
          <w:szCs w:val="31"/>
        </w:rPr>
        <w:t>一、部门基本情况</w:t>
      </w:r>
    </w:p>
    <w:p>
      <w:pPr>
        <w:pStyle w:val="6"/>
        <w:autoSpaceDE w:val="0"/>
        <w:spacing w:before="0" w:beforeAutospacing="0" w:after="0" w:afterAutospacing="0" w:line="600" w:lineRule="atLeast"/>
        <w:ind w:firstLine="645"/>
        <w:jc w:val="both"/>
      </w:pPr>
      <w:r>
        <w:rPr>
          <w:rStyle w:val="10"/>
          <w:rFonts w:ascii="方正楷体_GBK" w:hAnsi="方正楷体_GBK" w:eastAsia="方正楷体_GBK" w:cs="方正楷体_GBK"/>
          <w:sz w:val="31"/>
          <w:szCs w:val="31"/>
        </w:rPr>
        <w:t>（一）职能职责</w:t>
      </w:r>
    </w:p>
    <w:p>
      <w:pPr>
        <w:pStyle w:val="6"/>
        <w:autoSpaceDE w:val="0"/>
        <w:spacing w:before="0" w:beforeAutospacing="0" w:after="0" w:afterAutospacing="0" w:line="600" w:lineRule="atLeast"/>
        <w:ind w:firstLine="645"/>
        <w:jc w:val="both"/>
      </w:pPr>
      <w:r>
        <w:rPr>
          <w:rFonts w:ascii="方正仿宋_GBK" w:hAnsi="方正仿宋_GBK" w:eastAsia="方正仿宋_GBK" w:cs="方正仿宋_GBK"/>
          <w:sz w:val="31"/>
          <w:szCs w:val="31"/>
        </w:rPr>
        <w:t>1．</w:t>
      </w:r>
      <w:r>
        <w:rPr>
          <w:rFonts w:hint="eastAsia" w:ascii="方正仿宋_GBK" w:hAnsi="方正仿宋_GBK" w:eastAsia="方正仿宋_GBK" w:cs="方正仿宋_GBK"/>
          <w:sz w:val="31"/>
          <w:szCs w:val="31"/>
        </w:rPr>
        <w:t>贯彻执行党和国家的教育方针、政策和法律法规，依法治教；草拟本区教育事业发展规划和教育政策，管理、指导全区教育工作。</w:t>
      </w:r>
    </w:p>
    <w:p>
      <w:pPr>
        <w:pStyle w:val="6"/>
        <w:autoSpaceDE w:val="0"/>
        <w:spacing w:line="600" w:lineRule="atLeast"/>
        <w:ind w:firstLine="645"/>
      </w:pPr>
      <w:r>
        <w:rPr>
          <w:rFonts w:hint="eastAsia" w:ascii="方正仿宋_GBK" w:hAnsi="方正仿宋_GBK" w:eastAsia="方正仿宋_GBK" w:cs="方正仿宋_GBK"/>
          <w:sz w:val="31"/>
          <w:szCs w:val="31"/>
        </w:rPr>
        <w:t>2．负责全区各类教育的统筹规划和布局结构调整，负责全区教育体制改革；指导各类学校的教育教学改革、课程教材建设及教育科研工作；负责教育统计、信息工作。</w:t>
      </w:r>
    </w:p>
    <w:p>
      <w:pPr>
        <w:pStyle w:val="6"/>
        <w:autoSpaceDE w:val="0"/>
        <w:spacing w:line="600" w:lineRule="atLeast"/>
        <w:ind w:firstLine="645"/>
      </w:pPr>
      <w:r>
        <w:rPr>
          <w:rFonts w:hint="eastAsia" w:ascii="方正仿宋_GBK" w:hAnsi="方正仿宋_GBK" w:eastAsia="方正仿宋_GBK" w:cs="方正仿宋_GBK"/>
          <w:sz w:val="31"/>
          <w:szCs w:val="31"/>
        </w:rPr>
        <w:t>3．负责推进义务教育均衡发展和促进教育公平；负责义务教育的指导与协调，组织实施促进公共教育资源进一步向农村的政策倾斜，实施基础教育教学改革；指导普通高中教育、学前教育和特殊教育工作，全面实施素质教育。</w:t>
      </w:r>
    </w:p>
    <w:p>
      <w:pPr>
        <w:pStyle w:val="6"/>
        <w:autoSpaceDE w:val="0"/>
        <w:spacing w:line="600" w:lineRule="atLeast"/>
        <w:ind w:firstLine="645"/>
      </w:pPr>
      <w:r>
        <w:rPr>
          <w:rFonts w:hint="eastAsia" w:ascii="方正仿宋_GBK" w:hAnsi="方正仿宋_GBK" w:eastAsia="方正仿宋_GBK" w:cs="方正仿宋_GBK"/>
          <w:sz w:val="31"/>
          <w:szCs w:val="31"/>
        </w:rPr>
        <w:t>4．负责全区教育督导工作；负责全区基础教育发展水平、质量监测工作，负责对本区各职能部门、镇（街）履行教育工作职责情况进行监督、检查和指导。</w:t>
      </w:r>
    </w:p>
    <w:p>
      <w:pPr>
        <w:pStyle w:val="6"/>
        <w:autoSpaceDE w:val="0"/>
        <w:spacing w:line="600" w:lineRule="atLeast"/>
        <w:ind w:firstLine="645"/>
      </w:pPr>
      <w:r>
        <w:rPr>
          <w:rFonts w:hint="eastAsia" w:ascii="方正仿宋_GBK" w:hAnsi="方正仿宋_GBK" w:eastAsia="方正仿宋_GBK" w:cs="方正仿宋_GBK"/>
          <w:sz w:val="31"/>
          <w:szCs w:val="31"/>
        </w:rPr>
        <w:t>5．负责本部门教育经费的统筹管理，管理、监督全区教育系统的财务、基本建设工作；负责对学校经费使用情况进行内部监督审计；规划、指导学校建设、教育装备、勤工俭学、后勤服务工作，指导学生资助工作。</w:t>
      </w:r>
    </w:p>
    <w:p>
      <w:pPr>
        <w:pStyle w:val="6"/>
        <w:autoSpaceDE w:val="0"/>
        <w:spacing w:line="600" w:lineRule="atLeast"/>
        <w:ind w:firstLine="645"/>
      </w:pPr>
      <w:r>
        <w:rPr>
          <w:rFonts w:hint="eastAsia" w:ascii="方正仿宋_GBK" w:hAnsi="方正仿宋_GBK" w:eastAsia="方正仿宋_GBK" w:cs="方正仿宋_GBK"/>
          <w:sz w:val="31"/>
          <w:szCs w:val="31"/>
        </w:rPr>
        <w:t>6．统筹管理全区职业教育和成人教育，协调民办教育规范办学秩序，承担对民办教育机构办学活动相应的监管责任。</w:t>
      </w:r>
    </w:p>
    <w:p>
      <w:pPr>
        <w:pStyle w:val="6"/>
        <w:autoSpaceDE w:val="0"/>
        <w:spacing w:line="600" w:lineRule="atLeast"/>
        <w:ind w:firstLine="645"/>
      </w:pPr>
      <w:r>
        <w:rPr>
          <w:rFonts w:hint="eastAsia" w:ascii="方正仿宋_GBK" w:hAnsi="方正仿宋_GBK" w:eastAsia="方正仿宋_GBK" w:cs="方正仿宋_GBK"/>
          <w:sz w:val="31"/>
          <w:szCs w:val="31"/>
        </w:rPr>
        <w:t>7．指导各级各类学校的思想政治、德育、体育卫生艺术教育、国防教育等工作。</w:t>
      </w:r>
    </w:p>
    <w:p>
      <w:pPr>
        <w:pStyle w:val="6"/>
        <w:autoSpaceDE w:val="0"/>
        <w:spacing w:line="600" w:lineRule="atLeast"/>
        <w:ind w:firstLine="645"/>
      </w:pPr>
      <w:r>
        <w:rPr>
          <w:rFonts w:hint="eastAsia" w:ascii="方正仿宋_GBK" w:hAnsi="方正仿宋_GBK" w:eastAsia="方正仿宋_GBK" w:cs="方正仿宋_GBK"/>
          <w:sz w:val="31"/>
          <w:szCs w:val="31"/>
        </w:rPr>
        <w:t>8．负责主管全区教师工作，负责实施教师资格制度；管理、指导学校干部和教师队伍建设；组织实施学校干部、教师的岗位培训和继续教育工作。</w:t>
      </w:r>
    </w:p>
    <w:p>
      <w:pPr>
        <w:pStyle w:val="6"/>
        <w:autoSpaceDE w:val="0"/>
        <w:spacing w:line="600" w:lineRule="atLeast"/>
        <w:ind w:firstLine="645"/>
      </w:pPr>
      <w:r>
        <w:rPr>
          <w:rFonts w:hint="eastAsia" w:ascii="方正仿宋_GBK" w:hAnsi="方正仿宋_GBK" w:eastAsia="方正仿宋_GBK" w:cs="方正仿宋_GBK"/>
          <w:sz w:val="31"/>
          <w:szCs w:val="31"/>
        </w:rPr>
        <w:t>9．负责管理教育系统学校机构编制和人事及社会保障等工作，组织、指导全区教育系统人事制度改革，负责教职工调配、考核、职称评审和奖惩工作。</w:t>
      </w:r>
    </w:p>
    <w:p>
      <w:pPr>
        <w:pStyle w:val="6"/>
        <w:autoSpaceDE w:val="0"/>
        <w:spacing w:line="600" w:lineRule="atLeast"/>
        <w:ind w:firstLine="645"/>
      </w:pPr>
      <w:r>
        <w:rPr>
          <w:rFonts w:hint="eastAsia" w:ascii="方正仿宋_GBK" w:hAnsi="方正仿宋_GBK" w:eastAsia="方正仿宋_GBK" w:cs="方正仿宋_GBK"/>
          <w:sz w:val="31"/>
          <w:szCs w:val="31"/>
        </w:rPr>
        <w:t>10．负责全区的学籍管理工作。</w:t>
      </w:r>
    </w:p>
    <w:p>
      <w:pPr>
        <w:pStyle w:val="6"/>
        <w:autoSpaceDE w:val="0"/>
        <w:spacing w:line="600" w:lineRule="atLeast"/>
        <w:ind w:firstLine="645"/>
      </w:pPr>
      <w:r>
        <w:rPr>
          <w:rFonts w:hint="eastAsia" w:ascii="方正仿宋_GBK" w:hAnsi="方正仿宋_GBK" w:eastAsia="方正仿宋_GBK" w:cs="方正仿宋_GBK"/>
          <w:sz w:val="31"/>
          <w:szCs w:val="31"/>
        </w:rPr>
        <w:t>11．负责全区各级各类学校的招生计划。</w:t>
      </w:r>
    </w:p>
    <w:p>
      <w:pPr>
        <w:pStyle w:val="6"/>
        <w:autoSpaceDE w:val="0"/>
        <w:spacing w:line="600" w:lineRule="atLeast"/>
        <w:ind w:firstLine="645"/>
      </w:pPr>
      <w:r>
        <w:rPr>
          <w:rFonts w:hint="eastAsia" w:ascii="方正仿宋_GBK" w:hAnsi="方正仿宋_GBK" w:eastAsia="方正仿宋_GBK" w:cs="方正仿宋_GBK"/>
          <w:sz w:val="31"/>
          <w:szCs w:val="31"/>
        </w:rPr>
        <w:t>12．负责各类教育考试工作。</w:t>
      </w:r>
    </w:p>
    <w:p>
      <w:pPr>
        <w:pStyle w:val="6"/>
        <w:autoSpaceDE w:val="0"/>
        <w:spacing w:line="600" w:lineRule="atLeast"/>
        <w:ind w:firstLine="645"/>
      </w:pPr>
      <w:r>
        <w:rPr>
          <w:rFonts w:hint="eastAsia" w:ascii="方正仿宋_GBK" w:hAnsi="方正仿宋_GBK" w:eastAsia="方正仿宋_GBK" w:cs="方正仿宋_GBK"/>
          <w:sz w:val="31"/>
          <w:szCs w:val="31"/>
        </w:rPr>
        <w:t>13．负责全区的语言文字管理工作；拟订语言文字工作中长期规划；负责全区普通话培训测试工作。</w:t>
      </w:r>
    </w:p>
    <w:p>
      <w:pPr>
        <w:pStyle w:val="6"/>
        <w:autoSpaceDE w:val="0"/>
        <w:spacing w:line="600" w:lineRule="atLeast"/>
        <w:ind w:firstLine="645"/>
      </w:pPr>
      <w:r>
        <w:rPr>
          <w:rFonts w:hint="eastAsia" w:ascii="方正仿宋_GBK" w:hAnsi="方正仿宋_GBK" w:eastAsia="方正仿宋_GBK" w:cs="方正仿宋_GBK"/>
          <w:sz w:val="31"/>
          <w:szCs w:val="31"/>
        </w:rPr>
        <w:t>14．负责本区教育系统校园安全保卫工作，综合协调处理教育系统突发事件和重大事故。</w:t>
      </w:r>
    </w:p>
    <w:p>
      <w:pPr>
        <w:pStyle w:val="6"/>
        <w:autoSpaceDE w:val="0"/>
        <w:spacing w:line="600" w:lineRule="atLeast"/>
        <w:ind w:firstLine="645"/>
      </w:pPr>
      <w:r>
        <w:rPr>
          <w:rFonts w:hint="eastAsia" w:ascii="方正仿宋_GBK" w:hAnsi="方正仿宋_GBK" w:eastAsia="方正仿宋_GBK" w:cs="方正仿宋_GBK"/>
          <w:sz w:val="31"/>
          <w:szCs w:val="31"/>
        </w:rPr>
        <w:t>15．承办区委、区政府和上级有关部门交办的其它事项。</w:t>
      </w:r>
    </w:p>
    <w:p>
      <w:pPr>
        <w:pStyle w:val="6"/>
        <w:autoSpaceDE w:val="0"/>
        <w:spacing w:before="0" w:beforeAutospacing="0" w:after="0" w:afterAutospacing="0" w:line="600" w:lineRule="atLeast"/>
        <w:ind w:firstLine="645"/>
        <w:jc w:val="both"/>
      </w:pPr>
      <w:r>
        <w:rPr>
          <w:rStyle w:val="10"/>
          <w:rFonts w:hint="eastAsia" w:ascii="方正楷体_GBK" w:hAnsi="方正楷体_GBK" w:eastAsia="方正楷体_GBK" w:cs="方正楷体_GBK"/>
          <w:sz w:val="31"/>
          <w:szCs w:val="31"/>
        </w:rPr>
        <w:t>（二）机构设置</w:t>
      </w:r>
    </w:p>
    <w:p>
      <w:pPr>
        <w:pStyle w:val="6"/>
        <w:autoSpaceDE w:val="0"/>
        <w:spacing w:before="0" w:beforeAutospacing="0" w:after="0" w:afterAutospacing="0" w:line="600" w:lineRule="atLeast"/>
        <w:ind w:firstLine="645"/>
        <w:jc w:val="both"/>
      </w:pPr>
      <w:r>
        <w:rPr>
          <w:rFonts w:hint="eastAsia" w:ascii="方正仿宋_GBK" w:hAnsi="方正仿宋_GBK" w:eastAsia="方正仿宋_GBK" w:cs="方正仿宋_GBK"/>
          <w:sz w:val="31"/>
          <w:szCs w:val="31"/>
        </w:rPr>
        <w:t>根据《重庆市机构编制委员会关于重庆市綦江区党政机构设置方案的通知》（渝编〔2011〕 33号）和《中共重庆市綦江区委关于重庆市綦江区机构设置方案的实施意见》（綦江委发〔2011〕1号）文件精神，设立重庆市綦江区教育委员会（挂重庆市綦江区人民政府教育督导室牌子），为区政府工作部门。中共重庆市綦江区委教育工作委员会履行区委规定的职责，与区教育委员会合署办公。</w:t>
      </w:r>
    </w:p>
    <w:p>
      <w:pPr>
        <w:pStyle w:val="6"/>
        <w:autoSpaceDE w:val="0"/>
        <w:spacing w:before="0" w:beforeAutospacing="0" w:after="0" w:afterAutospacing="0" w:line="600" w:lineRule="atLeast"/>
        <w:ind w:firstLine="645"/>
        <w:jc w:val="both"/>
      </w:pPr>
      <w:r>
        <w:rPr>
          <w:rFonts w:hint="eastAsia" w:ascii="方正仿宋_GBK" w:hAnsi="方正仿宋_GBK" w:eastAsia="方正仿宋_GBK" w:cs="方正仿宋_GBK"/>
          <w:sz w:val="31"/>
          <w:szCs w:val="31"/>
        </w:rPr>
        <w:t>按照《重庆市綦江区机构编制委员会关于调整重庆市綦江区教育委员会主要职责内设机构和人员编制规定的通知》（綦编〔2012〕227号）文件，本部门属行政机构，内设科室10个，分别为办公室（扶贫科）、组织科、人事科、基础教育科（挂政务服务科牌子）、体育卫生艺术教育科（挂团工委办公室、关工委办公室牌子）、职业教育与成人教育科、学前教育科、财务科、安全保卫科、督导办公室。</w:t>
      </w:r>
    </w:p>
    <w:p>
      <w:pPr>
        <w:pStyle w:val="6"/>
        <w:autoSpaceDE w:val="0"/>
        <w:spacing w:before="0" w:beforeAutospacing="0" w:after="0" w:afterAutospacing="0" w:line="600" w:lineRule="atLeast"/>
        <w:ind w:firstLine="645"/>
        <w:jc w:val="both"/>
      </w:pPr>
      <w:r>
        <w:rPr>
          <w:rStyle w:val="10"/>
          <w:rFonts w:hint="eastAsia" w:ascii="方正楷体_GBK" w:hAnsi="方正楷体_GBK" w:eastAsia="方正楷体_GBK" w:cs="方正楷体_GBK"/>
          <w:sz w:val="31"/>
          <w:szCs w:val="31"/>
        </w:rPr>
        <w:t>（三）单位构成</w:t>
      </w:r>
    </w:p>
    <w:p>
      <w:pPr>
        <w:pStyle w:val="6"/>
        <w:autoSpaceDE w:val="0"/>
        <w:spacing w:before="0" w:beforeAutospacing="0" w:after="0" w:afterAutospacing="0" w:line="600" w:lineRule="atLeast"/>
        <w:ind w:firstLine="645"/>
        <w:jc w:val="both"/>
      </w:pPr>
      <w:r>
        <w:rPr>
          <w:rFonts w:hint="eastAsia" w:ascii="方正仿宋_GBK" w:hAnsi="方正仿宋_GBK" w:eastAsia="方正仿宋_GBK" w:cs="方正仿宋_GBK"/>
          <w:sz w:val="31"/>
          <w:szCs w:val="31"/>
        </w:rPr>
        <w:t>从预算单位构成看，纳入本部门2020 年度决算编制的二级预算单位主要包括下属事业单位113个，其中直属事业部门11个，分别是重庆市綦江区教育科学研究所、重庆市綦江区教育考试中心、重庆 市綦江区教育人才管理服务中心、重庆市綦江区教育服务管理中心、重庆市綦江区中小学卫生保健所、重庆市綦江区学生资助管理中心、重庆市綦江区教育信息技术 与装备中心、重庆市綦江区教师进修校、重庆市綦江区中小学基本建设管理中心、重庆市綦江区教育内部审计中心、重庆市綦江区教育督导评估中心；学校102所 (其中：幼儿园1所、小学48所、初中18所、九年一贯制27所、完全中学6所、特殊学校1所、职业教育学校1所）。</w:t>
      </w:r>
    </w:p>
    <w:p>
      <w:pPr>
        <w:pStyle w:val="6"/>
        <w:autoSpaceDE w:val="0"/>
        <w:spacing w:before="0" w:beforeAutospacing="0" w:after="0" w:afterAutospacing="0" w:line="600" w:lineRule="atLeast"/>
        <w:ind w:firstLine="645"/>
        <w:jc w:val="both"/>
      </w:pPr>
      <w:r>
        <w:rPr>
          <w:rStyle w:val="10"/>
          <w:rFonts w:hint="eastAsia" w:ascii="方正楷体_GBK" w:hAnsi="方正楷体_GBK" w:eastAsia="方正楷体_GBK" w:cs="方正楷体_GBK"/>
          <w:sz w:val="31"/>
          <w:szCs w:val="31"/>
        </w:rPr>
        <w:t>（四）机构改革情况。</w:t>
      </w:r>
    </w:p>
    <w:p>
      <w:pPr>
        <w:pStyle w:val="6"/>
        <w:autoSpaceDE w:val="0"/>
        <w:spacing w:before="0" w:beforeAutospacing="0" w:after="0" w:afterAutospacing="0" w:line="600" w:lineRule="atLeast"/>
        <w:ind w:firstLine="645"/>
        <w:jc w:val="both"/>
      </w:pPr>
      <w:r>
        <w:rPr>
          <w:rFonts w:hint="eastAsia" w:ascii="方正仿宋_GBK" w:hAnsi="方正仿宋_GBK" w:eastAsia="方正仿宋_GBK" w:cs="方正仿宋_GBK"/>
          <w:sz w:val="31"/>
          <w:szCs w:val="31"/>
        </w:rPr>
        <w:t>本部门不涉及本次党和国家机构改革。</w:t>
      </w:r>
    </w:p>
    <w:p>
      <w:pPr>
        <w:pStyle w:val="6"/>
        <w:autoSpaceDE w:val="0"/>
        <w:spacing w:before="0" w:beforeAutospacing="0" w:after="0" w:afterAutospacing="0" w:line="600" w:lineRule="atLeast"/>
        <w:ind w:firstLine="645"/>
        <w:jc w:val="both"/>
      </w:pPr>
      <w:r>
        <w:rPr>
          <w:rFonts w:hint="eastAsia" w:ascii="方正黑体_GBK" w:hAnsi="方正黑体_GBK" w:eastAsia="方正黑体_GBK" w:cs="方正黑体_GBK"/>
          <w:sz w:val="31"/>
          <w:szCs w:val="31"/>
        </w:rPr>
        <w:t>二、部门决算情况说明</w:t>
      </w:r>
    </w:p>
    <w:p>
      <w:pPr>
        <w:pStyle w:val="6"/>
        <w:autoSpaceDE w:val="0"/>
        <w:spacing w:before="0" w:beforeAutospacing="0" w:after="0" w:afterAutospacing="0" w:line="600" w:lineRule="atLeast"/>
        <w:ind w:firstLine="645"/>
        <w:jc w:val="both"/>
      </w:pPr>
      <w:r>
        <w:rPr>
          <w:rStyle w:val="10"/>
          <w:rFonts w:hint="eastAsia" w:ascii="方正楷体_GBK" w:hAnsi="方正楷体_GBK" w:eastAsia="方正楷体_GBK" w:cs="方正楷体_GBK"/>
          <w:sz w:val="31"/>
          <w:szCs w:val="31"/>
        </w:rPr>
        <w:t>（一）收入支出决算总体情况说明</w:t>
      </w:r>
    </w:p>
    <w:p>
      <w:pPr>
        <w:pStyle w:val="6"/>
        <w:autoSpaceDE w:val="0"/>
        <w:spacing w:before="0" w:beforeAutospacing="0" w:after="0" w:afterAutospacing="0" w:line="600" w:lineRule="atLeast"/>
        <w:ind w:firstLine="645"/>
        <w:jc w:val="both"/>
      </w:pPr>
      <w:r>
        <w:rPr>
          <w:rStyle w:val="10"/>
          <w:rFonts w:hint="eastAsia" w:ascii="方正仿宋_GBK" w:hAnsi="方正仿宋_GBK" w:eastAsia="方正仿宋_GBK" w:cs="方正仿宋_GBK"/>
          <w:sz w:val="31"/>
          <w:szCs w:val="31"/>
        </w:rPr>
        <w:t>1. 总体情况。</w:t>
      </w:r>
      <w:r>
        <w:rPr>
          <w:rFonts w:hint="eastAsia" w:ascii="方正仿宋_GBK" w:hAnsi="方正仿宋_GBK" w:eastAsia="方正仿宋_GBK" w:cs="方正仿宋_GBK"/>
          <w:sz w:val="31"/>
          <w:szCs w:val="31"/>
        </w:rPr>
        <w:t>2020 年度收入总计为248,882.14万元，支出总计为248,882.14万元。收支较上年决算数增加23,925.22万元、增长10.64%，主要原 因是增加安排抗疫国债4,160万，地方债券收入7,200万，实施保障性安居工程5,695.69万元，清算补缴以前年度职业年金等。</w:t>
      </w:r>
    </w:p>
    <w:p>
      <w:pPr>
        <w:pStyle w:val="6"/>
        <w:autoSpaceDE w:val="0"/>
        <w:spacing w:before="0" w:beforeAutospacing="0" w:after="0" w:afterAutospacing="0" w:line="600" w:lineRule="atLeast"/>
        <w:ind w:firstLine="645"/>
        <w:jc w:val="both"/>
      </w:pPr>
      <w:r>
        <w:rPr>
          <w:rStyle w:val="10"/>
          <w:rFonts w:hint="eastAsia" w:ascii="方正仿宋_GBK" w:hAnsi="方正仿宋_GBK" w:eastAsia="方正仿宋_GBK" w:cs="方正仿宋_GBK"/>
          <w:sz w:val="31"/>
          <w:szCs w:val="31"/>
        </w:rPr>
        <w:t>2. 收入情况。</w:t>
      </w:r>
      <w:r>
        <w:rPr>
          <w:rFonts w:hint="eastAsia" w:ascii="方正仿宋_GBK" w:hAnsi="方正仿宋_GBK" w:eastAsia="方正仿宋_GBK" w:cs="方正仿宋_GBK"/>
          <w:sz w:val="31"/>
          <w:szCs w:val="31"/>
        </w:rPr>
        <w:t>2020 年度收入合计200,635.25万元，较上年决算数增加15,696.22万元，增长8.49%，主要原因是追加安排增加安排抗疫国债4,160万，地 方债券收入7,200万等。 其中：财政拨款收入196,023.91万元，占97.7%；事业收入4,611.34万元，占2.3%；经营收入0.00万元，占0%；其他收入 0.00万元，占0%。此外，使用非财政拨款结余0.00万元，年初结转和结余48,246.89万元。</w:t>
      </w:r>
    </w:p>
    <w:p>
      <w:pPr>
        <w:pStyle w:val="6"/>
        <w:autoSpaceDE w:val="0"/>
        <w:spacing w:before="0" w:beforeAutospacing="0" w:after="0" w:afterAutospacing="0" w:line="600" w:lineRule="atLeast"/>
        <w:ind w:firstLine="645"/>
        <w:jc w:val="both"/>
      </w:pPr>
      <w:r>
        <w:rPr>
          <w:rFonts w:hint="eastAsia" w:ascii="方正仿宋_GBK" w:hAnsi="方正仿宋_GBK" w:eastAsia="方正仿宋_GBK" w:cs="方正仿宋_GBK"/>
          <w:color w:val="000000"/>
          <w:sz w:val="31"/>
          <w:szCs w:val="31"/>
        </w:rPr>
        <w:t>3</w:t>
      </w:r>
      <w:r>
        <w:rPr>
          <w:rStyle w:val="10"/>
          <w:rFonts w:hint="eastAsia" w:ascii="方正仿宋_GBK" w:hAnsi="方正仿宋_GBK" w:eastAsia="方正仿宋_GBK" w:cs="方正仿宋_GBK"/>
          <w:color w:val="000000"/>
          <w:sz w:val="31"/>
          <w:szCs w:val="31"/>
        </w:rPr>
        <w:t>．支出情况。</w:t>
      </w:r>
      <w:r>
        <w:rPr>
          <w:rFonts w:hint="eastAsia" w:ascii="方正仿宋_GBK" w:hAnsi="方正仿宋_GBK" w:eastAsia="方正仿宋_GBK" w:cs="方正仿宋_GBK"/>
          <w:color w:val="000000"/>
          <w:sz w:val="31"/>
          <w:szCs w:val="31"/>
        </w:rPr>
        <w:t>2020 年度支出合计221,052.01万元，较上年决算数增加32,611.17万元，增长17.31%，主要原因是增加抗疫特别国债4,160万及地方债卷 7,200万等，基本支出增长率为负增长，其中：基本支出170,650.95万元，占77.20%；项目支出50,401.07万元，占22.80%。</w:t>
      </w:r>
    </w:p>
    <w:p>
      <w:pPr>
        <w:pStyle w:val="6"/>
        <w:autoSpaceDE w:val="0"/>
        <w:spacing w:before="0" w:beforeAutospacing="0" w:after="0" w:afterAutospacing="0" w:line="600" w:lineRule="atLeast"/>
        <w:ind w:firstLine="645"/>
        <w:jc w:val="both"/>
      </w:pPr>
      <w:r>
        <w:rPr>
          <w:rFonts w:hint="eastAsia" w:ascii="方正仿宋_GBK" w:hAnsi="方正仿宋_GBK" w:eastAsia="方正仿宋_GBK" w:cs="方正仿宋_GBK"/>
          <w:sz w:val="31"/>
          <w:szCs w:val="31"/>
        </w:rPr>
        <w:t>4</w:t>
      </w:r>
      <w:r>
        <w:rPr>
          <w:rStyle w:val="10"/>
          <w:rFonts w:hint="eastAsia" w:ascii="方正仿宋_GBK" w:hAnsi="方正仿宋_GBK" w:eastAsia="方正仿宋_GBK" w:cs="方正仿宋_GBK"/>
          <w:sz w:val="31"/>
          <w:szCs w:val="31"/>
        </w:rPr>
        <w:t>. 结转结余情况。</w:t>
      </w:r>
      <w:r>
        <w:rPr>
          <w:rFonts w:hint="eastAsia" w:ascii="方正仿宋_GBK" w:hAnsi="方正仿宋_GBK" w:eastAsia="方正仿宋_GBK" w:cs="方正仿宋_GBK"/>
          <w:sz w:val="31"/>
          <w:szCs w:val="31"/>
        </w:rPr>
        <w:t>2020年度年末结转和结余27,830.13万元，较上年决算数减少8,685.95万元，下降23.79%，主要原因是加快了项目实施进度，严格按照实施进度拨付各类资金。</w:t>
      </w:r>
    </w:p>
    <w:p>
      <w:pPr>
        <w:pStyle w:val="6"/>
        <w:autoSpaceDE w:val="0"/>
        <w:spacing w:before="0" w:beforeAutospacing="0" w:after="0" w:afterAutospacing="0" w:line="600" w:lineRule="atLeast"/>
        <w:ind w:firstLine="645"/>
        <w:jc w:val="both"/>
      </w:pPr>
      <w:r>
        <w:rPr>
          <w:rStyle w:val="10"/>
          <w:rFonts w:hint="eastAsia" w:ascii="方正楷体_GBK" w:hAnsi="方正楷体_GBK" w:eastAsia="方正楷体_GBK" w:cs="方正楷体_GBK"/>
          <w:sz w:val="31"/>
          <w:szCs w:val="31"/>
        </w:rPr>
        <w:t>（二）财政拨款收入支出决算总体情况说明</w:t>
      </w:r>
    </w:p>
    <w:p>
      <w:pPr>
        <w:pStyle w:val="6"/>
        <w:autoSpaceDE w:val="0"/>
        <w:spacing w:before="0" w:beforeAutospacing="0" w:after="0" w:afterAutospacing="0" w:line="600" w:lineRule="atLeast"/>
        <w:ind w:firstLine="645"/>
        <w:jc w:val="both"/>
      </w:pPr>
      <w:r>
        <w:rPr>
          <w:rFonts w:hint="eastAsia" w:ascii="方正仿宋_GBK" w:hAnsi="方正仿宋_GBK" w:eastAsia="方正仿宋_GBK" w:cs="方正仿宋_GBK"/>
          <w:sz w:val="31"/>
          <w:szCs w:val="31"/>
        </w:rPr>
        <w:t>2020年度财政拨款收、支总计242,162.98万元。与2019年相比，财政拨款收、支总计各增加22,274.51万 元，增长10.1%。主要原因是本年项目资金投入大幅增加。</w:t>
      </w:r>
    </w:p>
    <w:p>
      <w:pPr>
        <w:pStyle w:val="6"/>
        <w:autoSpaceDE w:val="0"/>
        <w:spacing w:before="0" w:beforeAutospacing="0" w:after="0" w:afterAutospacing="0" w:line="600" w:lineRule="atLeast"/>
        <w:ind w:firstLine="645"/>
        <w:jc w:val="both"/>
      </w:pPr>
      <w:r>
        <w:rPr>
          <w:rStyle w:val="10"/>
          <w:rFonts w:hint="eastAsia" w:ascii="方正楷体_GBK" w:hAnsi="方正楷体_GBK" w:eastAsia="方正楷体_GBK" w:cs="方正楷体_GBK"/>
          <w:sz w:val="31"/>
          <w:szCs w:val="31"/>
        </w:rPr>
        <w:t>（三）一般公共预算财政拨款支出决算情况说明</w:t>
      </w:r>
    </w:p>
    <w:p>
      <w:pPr>
        <w:pStyle w:val="6"/>
        <w:autoSpaceDE w:val="0"/>
        <w:spacing w:before="0" w:beforeAutospacing="0" w:after="0" w:afterAutospacing="0" w:line="600" w:lineRule="atLeast"/>
        <w:ind w:firstLine="645"/>
        <w:jc w:val="both"/>
      </w:pPr>
      <w:r>
        <w:rPr>
          <w:rStyle w:val="10"/>
          <w:rFonts w:hint="eastAsia" w:ascii="方正仿宋_GBK" w:hAnsi="方正仿宋_GBK" w:eastAsia="方正仿宋_GBK" w:cs="方正仿宋_GBK"/>
          <w:sz w:val="31"/>
          <w:szCs w:val="31"/>
        </w:rPr>
        <w:t>1. 收入情况</w:t>
      </w:r>
      <w:r>
        <w:rPr>
          <w:rFonts w:hint="eastAsia" w:ascii="方正仿宋_GBK" w:hAnsi="方正仿宋_GBK" w:eastAsia="方正仿宋_GBK" w:cs="方正仿宋_GBK"/>
          <w:sz w:val="31"/>
          <w:szCs w:val="31"/>
        </w:rPr>
        <w:t>。2020年度一般公共预算财政拨款收入184,509.41万元，较上年决算数增加4,735.83万元，增长2.6%。主要原因是教育经费投入正常增加。</w:t>
      </w:r>
      <w:r>
        <w:rPr>
          <w:rFonts w:hint="eastAsia" w:ascii="方正仿宋_GBK" w:hAnsi="方正仿宋_GBK" w:eastAsia="方正仿宋_GBK" w:cs="方正仿宋_GBK"/>
          <w:color w:val="000000"/>
          <w:sz w:val="31"/>
          <w:szCs w:val="31"/>
        </w:rPr>
        <w:t>与年初预算数比较增加22,900.60万元，增长14.17%。主要原因是年中追加安排2019年在职人员超额绩效，退休“中人”一次性补贴，城乡社区支出等。此外，年初财政拨款结转和结余45,877.08万元。</w:t>
      </w:r>
    </w:p>
    <w:p>
      <w:pPr>
        <w:pStyle w:val="6"/>
        <w:autoSpaceDE w:val="0"/>
        <w:spacing w:before="0" w:beforeAutospacing="0" w:after="0" w:afterAutospacing="0" w:line="600" w:lineRule="atLeast"/>
        <w:ind w:firstLine="645"/>
        <w:jc w:val="both"/>
      </w:pPr>
      <w:r>
        <w:rPr>
          <w:rStyle w:val="10"/>
          <w:rFonts w:hint="eastAsia" w:ascii="方正仿宋_GBK" w:hAnsi="方正仿宋_GBK" w:eastAsia="方正仿宋_GBK" w:cs="方正仿宋_GBK"/>
          <w:sz w:val="31"/>
          <w:szCs w:val="31"/>
        </w:rPr>
        <w:t>2. 支出情况</w:t>
      </w:r>
      <w:r>
        <w:rPr>
          <w:rFonts w:hint="eastAsia" w:ascii="方正仿宋_GBK" w:hAnsi="方正仿宋_GBK" w:eastAsia="方正仿宋_GBK" w:cs="方正仿宋_GBK"/>
          <w:sz w:val="31"/>
          <w:szCs w:val="31"/>
        </w:rPr>
        <w:t>。2020年度一般公共预算财政拨款支出206,167.62万元，较上年决算数增加20,446.95万元，增长11.01%。主要原因是今年增加保障性安居工程支出5,695.69万元，清算补交以前年度职业年金等,</w:t>
      </w:r>
      <w:r>
        <w:rPr>
          <w:rFonts w:hint="eastAsia" w:ascii="方正仿宋_GBK" w:hAnsi="方正仿宋_GBK" w:eastAsia="方正仿宋_GBK" w:cs="方正仿宋_GBK"/>
          <w:color w:val="000000"/>
          <w:sz w:val="31"/>
          <w:szCs w:val="31"/>
        </w:rPr>
        <w:t>较年初预算数增加10,509.12万元，增加5.37%。</w:t>
      </w:r>
    </w:p>
    <w:p>
      <w:pPr>
        <w:pStyle w:val="6"/>
        <w:autoSpaceDE w:val="0"/>
        <w:spacing w:before="0" w:beforeAutospacing="0" w:after="0" w:afterAutospacing="0" w:line="600" w:lineRule="atLeast"/>
        <w:ind w:firstLine="645"/>
        <w:jc w:val="both"/>
      </w:pPr>
      <w:r>
        <w:rPr>
          <w:rStyle w:val="10"/>
          <w:rFonts w:hint="eastAsia" w:ascii="方正仿宋_GBK" w:hAnsi="方正仿宋_GBK" w:eastAsia="方正仿宋_GBK" w:cs="方正仿宋_GBK"/>
          <w:sz w:val="31"/>
          <w:szCs w:val="31"/>
        </w:rPr>
        <w:t>3. 结转结余情况</w:t>
      </w:r>
      <w:r>
        <w:rPr>
          <w:rFonts w:hint="eastAsia" w:ascii="方正仿宋_GBK" w:hAnsi="方正仿宋_GBK" w:eastAsia="方正仿宋_GBK" w:cs="方正仿宋_GBK"/>
          <w:sz w:val="31"/>
          <w:szCs w:val="31"/>
        </w:rPr>
        <w:t>。2020年度年末一般公共预算财政拨款结转和结余24,218.87万元，较上年决算数减少9,824.8万元，下降28.86%，主要原因是加快了项目实施进度，严格按照实施进度拨付专项资金。</w:t>
      </w:r>
    </w:p>
    <w:p>
      <w:pPr>
        <w:pStyle w:val="6"/>
        <w:autoSpaceDE w:val="0"/>
        <w:spacing w:before="0" w:beforeAutospacing="0" w:after="0" w:afterAutospacing="0" w:line="600" w:lineRule="atLeast"/>
        <w:ind w:firstLine="645"/>
        <w:jc w:val="both"/>
      </w:pPr>
      <w:r>
        <w:rPr>
          <w:rStyle w:val="10"/>
          <w:rFonts w:hint="eastAsia" w:ascii="方正仿宋_GBK" w:hAnsi="方正仿宋_GBK" w:eastAsia="方正仿宋_GBK" w:cs="方正仿宋_GBK"/>
          <w:sz w:val="31"/>
          <w:szCs w:val="31"/>
        </w:rPr>
        <w:t>4. 比较情况</w:t>
      </w:r>
      <w:r>
        <w:rPr>
          <w:rFonts w:hint="eastAsia" w:ascii="方正仿宋_GBK" w:hAnsi="方正仿宋_GBK" w:eastAsia="方正仿宋_GBK" w:cs="方正仿宋_GBK"/>
          <w:sz w:val="31"/>
          <w:szCs w:val="31"/>
        </w:rPr>
        <w:t>。本部门2020年度一般公共预算财政拨款支出主要用于以下几个方面：</w:t>
      </w:r>
    </w:p>
    <w:p>
      <w:pPr>
        <w:pStyle w:val="6"/>
        <w:autoSpaceDE w:val="0"/>
        <w:spacing w:before="0" w:beforeAutospacing="0" w:after="0" w:afterAutospacing="0" w:line="600" w:lineRule="atLeast"/>
        <w:ind w:firstLine="645"/>
        <w:jc w:val="both"/>
      </w:pPr>
      <w:r>
        <w:rPr>
          <w:rFonts w:hint="eastAsia" w:ascii="方正仿宋_GBK" w:hAnsi="方正仿宋_GBK" w:eastAsia="方正仿宋_GBK" w:cs="方正仿宋_GBK"/>
          <w:sz w:val="31"/>
          <w:szCs w:val="31"/>
        </w:rPr>
        <w:t>（1）教育支出150,497.17万元，占73.00%，较年初预算数增加4,009.68万元，增加2.71%，主要原因是加快了项目实施进度，结转结余较往年减少。</w:t>
      </w:r>
    </w:p>
    <w:p>
      <w:pPr>
        <w:pStyle w:val="6"/>
        <w:autoSpaceDE w:val="0"/>
        <w:spacing w:before="0" w:beforeAutospacing="0" w:after="0" w:afterAutospacing="0" w:line="600" w:lineRule="atLeast"/>
        <w:ind w:firstLine="645"/>
        <w:jc w:val="both"/>
      </w:pPr>
      <w:r>
        <w:rPr>
          <w:rFonts w:hint="eastAsia" w:ascii="方正仿宋_GBK" w:hAnsi="方正仿宋_GBK" w:eastAsia="方正仿宋_GBK" w:cs="方正仿宋_GBK"/>
          <w:sz w:val="31"/>
          <w:szCs w:val="31"/>
        </w:rPr>
        <w:t>（2）文化旅游体育与传媒支出18.73万元，占0.01%，较年初预算数增加18.73万元，增长100%，主要原因是年初预算无此项目，属调整预算增加项目。</w:t>
      </w:r>
    </w:p>
    <w:p>
      <w:pPr>
        <w:pStyle w:val="6"/>
        <w:autoSpaceDE w:val="0"/>
        <w:spacing w:before="0" w:beforeAutospacing="0" w:after="0" w:afterAutospacing="0" w:line="600" w:lineRule="atLeast"/>
        <w:ind w:firstLine="645"/>
        <w:jc w:val="both"/>
      </w:pPr>
      <w:r>
        <w:rPr>
          <w:rFonts w:hint="eastAsia" w:ascii="方正仿宋_GBK" w:hAnsi="方正仿宋_GBK" w:eastAsia="方正仿宋_GBK" w:cs="方正仿宋_GBK"/>
          <w:sz w:val="31"/>
          <w:szCs w:val="31"/>
        </w:rPr>
        <w:t>（3）社会保障与就业支出30，858.25万元，占14.97%，较年初预算数增加6,718.97万元，增长27.83%，主要原因是清算补缴以前年度职业年金。</w:t>
      </w:r>
    </w:p>
    <w:p>
      <w:pPr>
        <w:pStyle w:val="6"/>
        <w:autoSpaceDE w:val="0"/>
        <w:spacing w:before="0" w:beforeAutospacing="0" w:after="0" w:afterAutospacing="0" w:line="600" w:lineRule="atLeast"/>
        <w:ind w:firstLine="645"/>
        <w:jc w:val="both"/>
      </w:pPr>
      <w:r>
        <w:rPr>
          <w:rFonts w:hint="eastAsia" w:ascii="方正仿宋_GBK" w:hAnsi="方正仿宋_GBK" w:eastAsia="方正仿宋_GBK" w:cs="方正仿宋_GBK"/>
          <w:sz w:val="31"/>
          <w:szCs w:val="31"/>
        </w:rPr>
        <w:t>（4）卫生健康支出8,297.61万元，占4.02%，较年初预算数减少380.18万元，下降4.38%，主要原因是教职工缴费总基数下降。</w:t>
      </w:r>
    </w:p>
    <w:p>
      <w:pPr>
        <w:pStyle w:val="6"/>
        <w:autoSpaceDE w:val="0"/>
        <w:spacing w:before="0" w:beforeAutospacing="0" w:after="0" w:afterAutospacing="0" w:line="600" w:lineRule="atLeast"/>
        <w:ind w:firstLine="645"/>
        <w:jc w:val="both"/>
      </w:pPr>
      <w:r>
        <w:rPr>
          <w:rFonts w:hint="eastAsia" w:ascii="方正仿宋_GBK" w:hAnsi="方正仿宋_GBK" w:eastAsia="方正仿宋_GBK" w:cs="方正仿宋_GBK"/>
          <w:sz w:val="31"/>
          <w:szCs w:val="31"/>
        </w:rPr>
        <w:t>（5）农林水支出210万元，较年初预算数增加210万元，增长100%，主要原因是年初预算无此项目，属调整预算增加项目。</w:t>
      </w:r>
    </w:p>
    <w:p>
      <w:pPr>
        <w:pStyle w:val="6"/>
        <w:autoSpaceDE w:val="0"/>
        <w:spacing w:before="0" w:beforeAutospacing="0" w:after="0" w:afterAutospacing="0" w:line="600" w:lineRule="atLeast"/>
        <w:ind w:firstLine="645"/>
        <w:jc w:val="both"/>
      </w:pPr>
      <w:r>
        <w:rPr>
          <w:rFonts w:hint="eastAsia" w:ascii="方正仿宋_GBK" w:hAnsi="方正仿宋_GBK" w:eastAsia="方正仿宋_GBK" w:cs="方正仿宋_GBK"/>
          <w:sz w:val="31"/>
          <w:szCs w:val="31"/>
        </w:rPr>
        <w:t>（6）住房保障支出13,697.17万元，占6.64%，较年初预算数减少294.41万元，下降2.10%，主要原因一是年中退休人员不再缴纳住房公积金；二是年中新分、调进、调出人员调整追加安排的住房公积金未实现支付。</w:t>
      </w:r>
    </w:p>
    <w:p>
      <w:pPr>
        <w:pStyle w:val="6"/>
        <w:autoSpaceDE w:val="0"/>
        <w:spacing w:before="0" w:beforeAutospacing="0" w:after="0" w:afterAutospacing="0" w:line="600" w:lineRule="atLeast"/>
        <w:ind w:firstLine="645"/>
        <w:jc w:val="both"/>
      </w:pPr>
      <w:r>
        <w:rPr>
          <w:rStyle w:val="10"/>
          <w:rFonts w:hint="eastAsia" w:ascii="方正楷体_GBK" w:hAnsi="方正楷体_GBK" w:eastAsia="方正楷体_GBK" w:cs="方正楷体_GBK"/>
          <w:sz w:val="31"/>
          <w:szCs w:val="31"/>
        </w:rPr>
        <w:t>（四）一般公共预算财政拨款基本支出决算情况说明</w:t>
      </w:r>
    </w:p>
    <w:p>
      <w:pPr>
        <w:pStyle w:val="6"/>
        <w:autoSpaceDE w:val="0"/>
        <w:spacing w:before="0" w:beforeAutospacing="0" w:after="0" w:afterAutospacing="0" w:line="600" w:lineRule="atLeast"/>
        <w:ind w:firstLine="645"/>
        <w:jc w:val="both"/>
      </w:pPr>
      <w:r>
        <w:rPr>
          <w:rFonts w:hint="eastAsia" w:ascii="方正仿宋_GBK" w:hAnsi="方正仿宋_GBK" w:eastAsia="方正仿宋_GBK" w:cs="方正仿宋_GBK"/>
          <w:sz w:val="31"/>
          <w:szCs w:val="31"/>
        </w:rPr>
        <w:t>2020年度一般公共预算财政拨款基本支出170,536.14万元。其中：人员经费为159,865.52万元，较上年决算数增加13,192.77万元，增长8.99%，</w:t>
      </w:r>
      <w:r>
        <w:rPr>
          <w:rFonts w:hint="eastAsia" w:ascii="方正仿宋_GBK" w:hAnsi="方正仿宋_GBK" w:eastAsia="方正仿宋_GBK" w:cs="方正仿宋_GBK"/>
          <w:color w:val="000000"/>
          <w:sz w:val="31"/>
          <w:szCs w:val="31"/>
        </w:rPr>
        <w:t>主要原因是年中发放2019年在职人员超额绩效（年终考核部分）等</w:t>
      </w:r>
      <w:r>
        <w:rPr>
          <w:rFonts w:hint="eastAsia" w:ascii="方正仿宋_GBK" w:hAnsi="方正仿宋_GBK" w:eastAsia="方正仿宋_GBK" w:cs="方正仿宋_GBK"/>
          <w:sz w:val="31"/>
          <w:szCs w:val="31"/>
        </w:rPr>
        <w:t>。人员经费用途主要包括基本工资、津贴补贴、奖金、社会保障缴费等。公用经费10,670.63 万元，较上年决算数减少410.54万元，下降3.7%，主要原因是2020年初疫情影响导致水电、差旅等费用支出减少。公用经费用途主要包括办公费、印 刷费、水费、电费、邮电费、差旅费、维修费、会议费、培训费、公务接待费、劳务费、工会经费、福利费、公务用车运行维护费、其他交通费用等。</w:t>
      </w:r>
    </w:p>
    <w:p>
      <w:pPr>
        <w:pStyle w:val="6"/>
        <w:autoSpaceDE w:val="0"/>
        <w:spacing w:before="0" w:beforeAutospacing="0" w:after="0" w:afterAutospacing="0" w:line="600" w:lineRule="atLeast"/>
        <w:ind w:firstLine="645"/>
        <w:jc w:val="both"/>
      </w:pPr>
      <w:r>
        <w:rPr>
          <w:rStyle w:val="10"/>
          <w:rFonts w:hint="eastAsia" w:ascii="方正楷体_GBK" w:hAnsi="方正楷体_GBK" w:eastAsia="方正楷体_GBK" w:cs="方正楷体_GBK"/>
          <w:sz w:val="31"/>
          <w:szCs w:val="31"/>
        </w:rPr>
        <w:t>（五）政府性基金预算收支决算情况说明</w:t>
      </w:r>
    </w:p>
    <w:p>
      <w:pPr>
        <w:pStyle w:val="6"/>
        <w:autoSpaceDE w:val="0"/>
        <w:spacing w:before="0" w:beforeAutospacing="0" w:after="0" w:afterAutospacing="0" w:line="600" w:lineRule="atLeast"/>
        <w:ind w:firstLine="645"/>
        <w:jc w:val="both"/>
      </w:pPr>
      <w:r>
        <w:rPr>
          <w:rFonts w:hint="eastAsia" w:ascii="方正仿宋_GBK" w:hAnsi="方正仿宋_GBK" w:eastAsia="方正仿宋_GBK" w:cs="方正仿宋_GBK"/>
          <w:sz w:val="31"/>
          <w:szCs w:val="31"/>
        </w:rPr>
        <w:t>2020 年度政府性基金预算财政拨款年初结转结余261.99万元，年末结转结余593.03万元。本年收入11,514.50万元，较上年决算数增加 11,417.50万元，增长11771%，主要原因是抗疫特别国债安排4,160万，地方自行试点项目收益专项债券收入安排7,200万元用于基础设施 建设安排。</w:t>
      </w:r>
    </w:p>
    <w:p>
      <w:pPr>
        <w:pStyle w:val="6"/>
        <w:autoSpaceDE w:val="0"/>
        <w:spacing w:before="0" w:beforeAutospacing="0" w:after="0" w:afterAutospacing="0" w:line="600" w:lineRule="atLeast"/>
        <w:ind w:firstLine="645"/>
        <w:jc w:val="both"/>
      </w:pPr>
      <w:r>
        <w:rPr>
          <w:rStyle w:val="10"/>
          <w:rFonts w:hint="eastAsia" w:ascii="方正楷体_GBK" w:hAnsi="方正楷体_GBK" w:eastAsia="方正楷体_GBK" w:cs="方正楷体_GBK"/>
          <w:sz w:val="31"/>
          <w:szCs w:val="31"/>
        </w:rPr>
        <w:t>（六）国有资本经营预算财政拨款支出决算情况说明</w:t>
      </w:r>
    </w:p>
    <w:p>
      <w:pPr>
        <w:pStyle w:val="6"/>
        <w:autoSpaceDE w:val="0"/>
        <w:spacing w:before="0" w:beforeAutospacing="0" w:after="0" w:afterAutospacing="0" w:line="600" w:lineRule="atLeast"/>
        <w:ind w:firstLine="645"/>
        <w:jc w:val="both"/>
      </w:pPr>
      <w:r>
        <w:rPr>
          <w:rFonts w:hint="eastAsia" w:ascii="方正仿宋_GBK" w:hAnsi="方正仿宋_GBK" w:eastAsia="方正仿宋_GBK" w:cs="方正仿宋_GBK"/>
          <w:sz w:val="31"/>
          <w:szCs w:val="31"/>
        </w:rPr>
        <w:t>本部门2020年度无国有资本经营预算财政拨款支出。</w:t>
      </w:r>
    </w:p>
    <w:p>
      <w:pPr>
        <w:pStyle w:val="6"/>
        <w:autoSpaceDE w:val="0"/>
        <w:spacing w:before="0" w:beforeAutospacing="0" w:after="0" w:afterAutospacing="0" w:line="600" w:lineRule="atLeast"/>
        <w:ind w:firstLine="645"/>
        <w:jc w:val="both"/>
      </w:pPr>
      <w:r>
        <w:rPr>
          <w:rFonts w:hint="eastAsia" w:ascii="方正黑体_GBK" w:hAnsi="方正黑体_GBK" w:eastAsia="方正黑体_GBK" w:cs="方正黑体_GBK"/>
          <w:sz w:val="31"/>
          <w:szCs w:val="31"/>
        </w:rPr>
        <w:t>三、“三公”经费情况说明</w:t>
      </w:r>
    </w:p>
    <w:p>
      <w:pPr>
        <w:pStyle w:val="6"/>
        <w:autoSpaceDE w:val="0"/>
        <w:spacing w:before="0" w:beforeAutospacing="0" w:after="0" w:afterAutospacing="0" w:line="600" w:lineRule="atLeast"/>
        <w:ind w:firstLine="645"/>
        <w:jc w:val="both"/>
      </w:pPr>
      <w:r>
        <w:rPr>
          <w:rStyle w:val="10"/>
          <w:rFonts w:hint="eastAsia" w:ascii="方正楷体_GBK" w:hAnsi="方正楷体_GBK" w:eastAsia="方正楷体_GBK" w:cs="方正楷体_GBK"/>
          <w:sz w:val="31"/>
          <w:szCs w:val="31"/>
        </w:rPr>
        <w:t>1．“三公”经费支出总体情况说明</w:t>
      </w:r>
    </w:p>
    <w:p>
      <w:pPr>
        <w:pStyle w:val="6"/>
        <w:autoSpaceDE w:val="0"/>
        <w:spacing w:before="0" w:beforeAutospacing="0" w:after="0" w:afterAutospacing="0" w:line="600" w:lineRule="atLeast"/>
        <w:ind w:firstLine="645"/>
        <w:jc w:val="both"/>
      </w:pPr>
      <w:r>
        <w:rPr>
          <w:rFonts w:hint="eastAsia" w:ascii="方正仿宋_GBK" w:hAnsi="方正仿宋_GBK" w:eastAsia="方正仿宋_GBK" w:cs="方正仿宋_GBK"/>
          <w:sz w:val="31"/>
          <w:szCs w:val="31"/>
        </w:rPr>
        <w:t>2020 年度“三公”经费支出共计51.37万元，较年初预算数减少45.41万元，下降46.92%，较上年支出数减少45.20万元，下降46.81%，较年 初预算和上年决算下降的主要原因：一是认真贯彻落实中央八项规定精神和厉行节</w:t>
      </w:r>
      <w:bookmarkStart w:id="0" w:name="_GoBack"/>
      <w:bookmarkEnd w:id="0"/>
      <w:r>
        <w:rPr>
          <w:rFonts w:hint="eastAsia" w:ascii="方正仿宋_GBK" w:hAnsi="方正仿宋_GBK" w:eastAsia="方正仿宋_GBK" w:cs="方正仿宋_GBK"/>
          <w:sz w:val="31"/>
          <w:szCs w:val="31"/>
        </w:rPr>
        <w:t>约要求，按只减不增的要求从严控制“三公”经费，全年实际支出较预算和去 年决算均有所下降。二是我部门今年实施公车改革，严格落实公车使用规定，规范公车管理，公车运行维护成本大幅下降。三是强化公务接待支出管理，严格遵守公 务接待开支范围和开支标准，严格控制陪餐人数，应由接待对象承担的费用，改为一律由接待对象自行支付，公务接待费大幅下降。四是进一步规范因公出国（境） 活动，今年未安排部门人员出国出访。</w:t>
      </w:r>
    </w:p>
    <w:p>
      <w:pPr>
        <w:pStyle w:val="6"/>
        <w:autoSpaceDE w:val="0"/>
        <w:spacing w:before="0" w:beforeAutospacing="0" w:after="0" w:afterAutospacing="0" w:line="600" w:lineRule="atLeast"/>
        <w:ind w:firstLine="645"/>
        <w:jc w:val="both"/>
      </w:pPr>
      <w:r>
        <w:rPr>
          <w:rStyle w:val="10"/>
          <w:rFonts w:hint="eastAsia" w:ascii="方正楷体_GBK" w:hAnsi="方正楷体_GBK" w:eastAsia="方正楷体_GBK" w:cs="方正楷体_GBK"/>
          <w:sz w:val="31"/>
          <w:szCs w:val="31"/>
        </w:rPr>
        <w:t>2．“三公”经费分项支出情况</w:t>
      </w:r>
    </w:p>
    <w:p>
      <w:pPr>
        <w:pStyle w:val="6"/>
        <w:autoSpaceDE w:val="0"/>
        <w:spacing w:before="0" w:beforeAutospacing="0" w:after="0" w:afterAutospacing="0" w:line="600" w:lineRule="atLeast"/>
        <w:ind w:firstLine="645"/>
        <w:jc w:val="both"/>
      </w:pPr>
      <w:r>
        <w:rPr>
          <w:rFonts w:hint="eastAsia" w:ascii="方正仿宋_GBK" w:hAnsi="方正仿宋_GBK" w:eastAsia="方正仿宋_GBK" w:cs="方正仿宋_GBK"/>
          <w:sz w:val="31"/>
          <w:szCs w:val="31"/>
        </w:rPr>
        <w:t>2020年度本部门因公出国（境）费用0.00万元。费用支出较年初预算数增加0.00万元，增长0.00%。较上年支出数增加0.00万元，增长0.00%，主要原因是本单位2020年度未发生因公出国（境）费用支出。</w:t>
      </w:r>
    </w:p>
    <w:p>
      <w:pPr>
        <w:pStyle w:val="6"/>
        <w:autoSpaceDE w:val="0"/>
        <w:spacing w:before="0" w:beforeAutospacing="0" w:after="0" w:afterAutospacing="0" w:line="600" w:lineRule="atLeast"/>
        <w:ind w:firstLine="645"/>
        <w:jc w:val="both"/>
      </w:pPr>
      <w:r>
        <w:rPr>
          <w:rFonts w:hint="eastAsia" w:ascii="方正仿宋_GBK" w:hAnsi="方正仿宋_GBK" w:eastAsia="方正仿宋_GBK" w:cs="方正仿宋_GBK"/>
          <w:sz w:val="31"/>
          <w:szCs w:val="31"/>
        </w:rPr>
        <w:t>公务车购置费0万元，上年购置公务用车1辆，购置费14.3万元，较上年下降100%，主要原因是本年未安排公务车采购。</w:t>
      </w:r>
    </w:p>
    <w:p>
      <w:pPr>
        <w:pStyle w:val="6"/>
        <w:autoSpaceDE w:val="0"/>
        <w:spacing w:before="0" w:beforeAutospacing="0" w:after="0" w:afterAutospacing="0" w:line="600" w:lineRule="atLeast"/>
        <w:ind w:firstLine="645"/>
        <w:jc w:val="both"/>
      </w:pPr>
      <w:r>
        <w:rPr>
          <w:rFonts w:hint="eastAsia" w:ascii="方正仿宋_GBK" w:hAnsi="方正仿宋_GBK" w:eastAsia="方正仿宋_GBK" w:cs="方正仿宋_GBK"/>
          <w:sz w:val="31"/>
          <w:szCs w:val="31"/>
        </w:rPr>
        <w:t>公务车运行维护费27.62万元，主要用于公务车辆燃油、维修、停车、洗车、路桥、保险等。费用支出较年初预算数减少15.99万元，下降36.67%，主要原因是我部门严格落实公车使用规定，规范公车管理，公车运行维护费用控制在预算内。</w:t>
      </w:r>
    </w:p>
    <w:p>
      <w:pPr>
        <w:pStyle w:val="6"/>
        <w:autoSpaceDE w:val="0"/>
        <w:spacing w:before="0" w:beforeAutospacing="0" w:after="0" w:afterAutospacing="0" w:line="600" w:lineRule="atLeast"/>
        <w:ind w:firstLine="645"/>
        <w:jc w:val="both"/>
      </w:pPr>
      <w:r>
        <w:rPr>
          <w:rFonts w:hint="eastAsia" w:ascii="方正仿宋_GBK" w:hAnsi="方正仿宋_GBK" w:eastAsia="方正仿宋_GBK" w:cs="方正仿宋_GBK"/>
          <w:sz w:val="31"/>
          <w:szCs w:val="31"/>
        </w:rPr>
        <w:t>公务接待费23.75 万元，主要用于机关及下属事业部门按规定开支的各类公务接待，含与区外其他单位（部门）业务往来、上下级公务处理、公务办理等出具公函的公务接待。费用支 出较年初预算数减少29.41万元，下降55.32%，较上年支出数减少10.25万元，下降30.15%，较年初预算和上年决算下降的主要原因是严格遵 守公务接待开支范围和开支标准，严格控制陪餐人数，应由接待对象承担的费用一律改由接待对象自行支付，公务接待费大幅下降。</w:t>
      </w:r>
    </w:p>
    <w:p>
      <w:pPr>
        <w:pStyle w:val="6"/>
        <w:autoSpaceDE w:val="0"/>
        <w:spacing w:before="0" w:beforeAutospacing="0" w:after="0" w:afterAutospacing="0" w:line="600" w:lineRule="atLeast"/>
        <w:ind w:firstLine="645"/>
        <w:jc w:val="both"/>
      </w:pPr>
      <w:r>
        <w:rPr>
          <w:rStyle w:val="10"/>
          <w:rFonts w:hint="eastAsia" w:ascii="方正楷体_GBK" w:hAnsi="方正楷体_GBK" w:eastAsia="方正楷体_GBK" w:cs="方正楷体_GBK"/>
          <w:sz w:val="31"/>
          <w:szCs w:val="31"/>
        </w:rPr>
        <w:t>3．“三公”经费实物量情况</w:t>
      </w:r>
    </w:p>
    <w:p>
      <w:pPr>
        <w:pStyle w:val="6"/>
        <w:autoSpaceDE w:val="0"/>
        <w:spacing w:before="0" w:beforeAutospacing="0" w:after="0" w:afterAutospacing="0" w:line="600" w:lineRule="atLeast"/>
        <w:ind w:firstLine="645"/>
        <w:jc w:val="both"/>
      </w:pPr>
      <w:r>
        <w:rPr>
          <w:rFonts w:hint="eastAsia" w:ascii="方正仿宋_GBK" w:hAnsi="方正仿宋_GBK" w:eastAsia="方正仿宋_GBK" w:cs="方正仿宋_GBK"/>
          <w:sz w:val="31"/>
          <w:szCs w:val="31"/>
        </w:rPr>
        <w:t>2020年度本部门因公出国（境）共计0个团组，0人；公务车保有量为12辆；国内公务接待552批次5,042人，其中：国内外事接待0批次、0人；国（境）外公务接待0批次、0人。2020年本部门人均接待费47.10元，车均维护费2.30万元。</w:t>
      </w:r>
    </w:p>
    <w:p>
      <w:pPr>
        <w:pStyle w:val="6"/>
        <w:autoSpaceDE w:val="0"/>
        <w:spacing w:before="0" w:beforeAutospacing="0" w:after="0" w:afterAutospacing="0" w:line="600" w:lineRule="atLeast"/>
        <w:ind w:firstLine="600"/>
        <w:jc w:val="both"/>
      </w:pPr>
      <w:r>
        <w:rPr>
          <w:rFonts w:hint="eastAsia" w:ascii="方正黑体_GBK" w:hAnsi="方正黑体_GBK" w:eastAsia="方正黑体_GBK" w:cs="方正黑体_GBK"/>
          <w:sz w:val="30"/>
          <w:szCs w:val="30"/>
        </w:rPr>
        <w:t>  </w:t>
      </w:r>
      <w:r>
        <w:rPr>
          <w:rFonts w:hint="eastAsia" w:ascii="方正黑体_GBK" w:hAnsi="方正黑体_GBK" w:eastAsia="方正黑体_GBK" w:cs="方正黑体_GBK"/>
          <w:sz w:val="31"/>
          <w:szCs w:val="31"/>
        </w:rPr>
        <w:t>四、其他需要说明的事项</w:t>
      </w:r>
    </w:p>
    <w:p>
      <w:pPr>
        <w:pStyle w:val="6"/>
        <w:autoSpaceDE w:val="0"/>
        <w:spacing w:before="0" w:beforeAutospacing="0" w:after="0" w:afterAutospacing="0" w:line="600" w:lineRule="atLeast"/>
        <w:ind w:firstLine="645"/>
        <w:jc w:val="both"/>
      </w:pPr>
      <w:r>
        <w:rPr>
          <w:rStyle w:val="10"/>
          <w:rFonts w:hint="eastAsia" w:ascii="方正仿宋_GBK" w:hAnsi="方正仿宋_GBK" w:eastAsia="方正仿宋_GBK" w:cs="方正仿宋_GBK"/>
          <w:sz w:val="31"/>
          <w:szCs w:val="31"/>
        </w:rPr>
        <w:t>1．机关运行经费情况说明。</w:t>
      </w:r>
      <w:r>
        <w:rPr>
          <w:rFonts w:hint="eastAsia" w:ascii="方正仿宋_GBK" w:hAnsi="方正仿宋_GBK" w:eastAsia="方正仿宋_GBK" w:cs="方正仿宋_GBK"/>
          <w:sz w:val="31"/>
          <w:szCs w:val="31"/>
        </w:rPr>
        <w:t>2020 年度本部门机关运行经费支出90.63万元，机关运行经费主要用于开支办公费、差旅费、邮电费、其他交通费用（公务员交通补贴）等。机关运行经费较上年决 算数增加1.92万元，增长2.16%，主要原因一是物价上涨造成运行成本增加，二是扶贫工作等要求下村到校次数增多。</w:t>
      </w:r>
    </w:p>
    <w:p>
      <w:pPr>
        <w:pStyle w:val="6"/>
        <w:autoSpaceDE w:val="0"/>
        <w:spacing w:before="0" w:beforeAutospacing="0" w:after="0" w:afterAutospacing="0" w:line="600" w:lineRule="atLeast"/>
        <w:ind w:firstLine="645"/>
        <w:jc w:val="both"/>
      </w:pPr>
      <w:r>
        <w:rPr>
          <w:rFonts w:hint="eastAsia" w:ascii="方正仿宋_GBK" w:hAnsi="方正仿宋_GBK" w:eastAsia="方正仿宋_GBK" w:cs="方正仿宋_GBK"/>
          <w:sz w:val="31"/>
          <w:szCs w:val="31"/>
        </w:rPr>
        <w:t>此外，本年度一般公共预算财政拨款会议费支出120.56 万元，较上年决算数减少28.94万元，下降19.36%，主要原因是严格控制会议成本，会议次数减少。本年度一般公共预算财政拨款培训费支出 957.95万元，较上年决算数减少253.42万元，下降20.92%，主要原因是由于疫情影响有些培训采取网络培训，线下培训次数减少。</w:t>
      </w:r>
    </w:p>
    <w:p>
      <w:pPr>
        <w:pStyle w:val="6"/>
        <w:autoSpaceDE w:val="0"/>
        <w:spacing w:before="0" w:beforeAutospacing="0" w:after="0" w:afterAutospacing="0" w:line="600" w:lineRule="atLeast"/>
        <w:ind w:firstLine="645"/>
        <w:jc w:val="both"/>
      </w:pPr>
      <w:r>
        <w:rPr>
          <w:rStyle w:val="10"/>
          <w:rFonts w:hint="eastAsia" w:ascii="方正仿宋_GBK" w:hAnsi="方正仿宋_GBK" w:eastAsia="方正仿宋_GBK" w:cs="方正仿宋_GBK"/>
          <w:sz w:val="31"/>
          <w:szCs w:val="31"/>
        </w:rPr>
        <w:t>2．国有资产占用情况说明。</w:t>
      </w:r>
      <w:r>
        <w:rPr>
          <w:rFonts w:hint="eastAsia" w:ascii="方正仿宋_GBK" w:hAnsi="方正仿宋_GBK" w:eastAsia="方正仿宋_GBK" w:cs="方正仿宋_GBK"/>
          <w:sz w:val="31"/>
          <w:szCs w:val="31"/>
        </w:rPr>
        <w:t>截至2020 年12月31日，本部门共有车辆13辆，其中：副部（省）级及以上领导用车0辆、主要领导干部用车2辆、机要通信用车0辆、应急保障用车10辆、执法执勤 用车0辆，特种专业技术用车1辆，离退休干部用车0辆，其他用车0辆。单价50万元（含）以上通用设备6台（套），单价100万元（含）以上专用设备0台 （套）。</w:t>
      </w:r>
    </w:p>
    <w:p>
      <w:pPr>
        <w:pStyle w:val="6"/>
        <w:autoSpaceDE w:val="0"/>
        <w:spacing w:before="0" w:beforeAutospacing="0" w:after="0" w:afterAutospacing="0" w:line="600" w:lineRule="atLeast"/>
        <w:ind w:firstLine="645"/>
        <w:jc w:val="both"/>
      </w:pPr>
      <w:r>
        <w:rPr>
          <w:rStyle w:val="10"/>
          <w:rFonts w:hint="eastAsia" w:ascii="方正仿宋_GBK" w:hAnsi="方正仿宋_GBK" w:eastAsia="方正仿宋_GBK" w:cs="方正仿宋_GBK"/>
          <w:sz w:val="31"/>
          <w:szCs w:val="31"/>
        </w:rPr>
        <w:t>3．政府采购支出情况说明。</w:t>
      </w:r>
      <w:r>
        <w:rPr>
          <w:rFonts w:hint="eastAsia" w:ascii="方正仿宋_GBK" w:hAnsi="方正仿宋_GBK" w:eastAsia="方正仿宋_GBK" w:cs="方正仿宋_GBK"/>
          <w:sz w:val="31"/>
          <w:szCs w:val="31"/>
        </w:rPr>
        <w:t>2020 年度部门政府采购支出总额9,668.29万元，其中：政府采购货物支出5,075.80万元、政府采购工程支出4,361.31万元、政府采购服务支出 231.18万元。授予中小企业合同金额9,492.27万元，占政府采购支出总额的98.18%，其中：授予小微企业合同金额8,603.73万元，占 政府采购支出总额的88.99%。主要用于采购办公设备、教学仪器装备，改善办公教学条件。</w:t>
      </w:r>
    </w:p>
    <w:p>
      <w:pPr>
        <w:pStyle w:val="6"/>
        <w:autoSpaceDE w:val="0"/>
        <w:spacing w:before="0" w:beforeAutospacing="0" w:after="0" w:afterAutospacing="0" w:line="600" w:lineRule="atLeast"/>
        <w:ind w:firstLine="600"/>
        <w:jc w:val="both"/>
      </w:pPr>
      <w:r>
        <w:rPr>
          <w:rFonts w:hint="eastAsia" w:ascii="方正黑体_GBK" w:hAnsi="方正黑体_GBK" w:eastAsia="方正黑体_GBK" w:cs="方正黑体_GBK"/>
          <w:sz w:val="30"/>
          <w:szCs w:val="30"/>
        </w:rPr>
        <w:t>  </w:t>
      </w:r>
      <w:r>
        <w:rPr>
          <w:rFonts w:hint="eastAsia" w:ascii="方正黑体_GBK" w:hAnsi="方正黑体_GBK" w:eastAsia="方正黑体_GBK" w:cs="方正黑体_GBK"/>
          <w:sz w:val="31"/>
          <w:szCs w:val="31"/>
        </w:rPr>
        <w:t>五、预算绩效管理情况说明</w:t>
      </w:r>
    </w:p>
    <w:p>
      <w:pPr>
        <w:pStyle w:val="6"/>
        <w:autoSpaceDE w:val="0"/>
        <w:spacing w:before="0" w:beforeAutospacing="0" w:after="0" w:afterAutospacing="0" w:line="600" w:lineRule="atLeast"/>
        <w:ind w:firstLine="645"/>
        <w:jc w:val="both"/>
      </w:pPr>
      <w:r>
        <w:rPr>
          <w:rStyle w:val="10"/>
          <w:rFonts w:hint="eastAsia" w:ascii="方正楷体_GBK" w:hAnsi="方正楷体_GBK" w:eastAsia="方正楷体_GBK" w:cs="方正楷体_GBK"/>
          <w:sz w:val="31"/>
          <w:szCs w:val="31"/>
        </w:rPr>
        <w:t>（一）预算绩效管理工作开展情况</w:t>
      </w:r>
    </w:p>
    <w:p>
      <w:pPr>
        <w:pStyle w:val="6"/>
        <w:autoSpaceDE w:val="0"/>
        <w:spacing w:before="0" w:beforeAutospacing="0" w:after="0" w:afterAutospacing="0" w:line="600" w:lineRule="atLeast"/>
        <w:ind w:firstLine="645"/>
        <w:jc w:val="both"/>
      </w:pPr>
      <w:r>
        <w:rPr>
          <w:rFonts w:hint="eastAsia" w:ascii="方正仿宋_GBK" w:hAnsi="方正仿宋_GBK" w:eastAsia="方正仿宋_GBK" w:cs="方正仿宋_GBK"/>
          <w:sz w:val="31"/>
          <w:szCs w:val="31"/>
        </w:rPr>
        <w:t>根据预算绩效管理要求，本部门对18 个项目开展了绩效自评，其中，以填报目标自评表形式开展自评17项，涉及资金44,479万元；以委托第三方形式开展绩效自评1项，涉及资金1,639万 元，从评价情况来看，发现的问题及原因主要是部分项目资金因进度推行缓慢、资金调度等原因执行率较低。下一步改进措施是协调相关部门尽可能减少学校项目繁 琐的前期手续，以便加快项目进度，提高资金执行率。</w:t>
      </w:r>
    </w:p>
    <w:p>
      <w:pPr>
        <w:pStyle w:val="6"/>
        <w:autoSpaceDE w:val="0"/>
        <w:spacing w:before="0" w:beforeAutospacing="0" w:after="0" w:afterAutospacing="0" w:line="600" w:lineRule="atLeast"/>
        <w:ind w:firstLine="645"/>
        <w:jc w:val="both"/>
      </w:pPr>
      <w:r>
        <w:rPr>
          <w:rStyle w:val="10"/>
          <w:rFonts w:hint="eastAsia" w:ascii="方正楷体_GBK" w:hAnsi="方正楷体_GBK" w:eastAsia="方正楷体_GBK" w:cs="方正楷体_GBK"/>
          <w:sz w:val="31"/>
          <w:szCs w:val="31"/>
        </w:rPr>
        <w:t>（二）绩效自评结果</w:t>
      </w:r>
    </w:p>
    <w:p>
      <w:pPr>
        <w:pStyle w:val="6"/>
        <w:autoSpaceDE w:val="0"/>
        <w:spacing w:before="0" w:beforeAutospacing="0" w:after="0" w:afterAutospacing="0" w:line="600" w:lineRule="atLeast"/>
        <w:ind w:firstLine="645"/>
        <w:jc w:val="both"/>
      </w:pPr>
      <w:r>
        <w:rPr>
          <w:rStyle w:val="10"/>
          <w:rFonts w:hint="eastAsia" w:ascii="方正仿宋_GBK" w:hAnsi="方正仿宋_GBK" w:eastAsia="方正仿宋_GBK" w:cs="方正仿宋_GBK"/>
          <w:sz w:val="31"/>
          <w:szCs w:val="31"/>
        </w:rPr>
        <w:t>绩效目标自评表</w:t>
      </w:r>
    </w:p>
    <w:tbl>
      <w:tblPr>
        <w:tblStyle w:val="7"/>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720"/>
        <w:gridCol w:w="2160"/>
        <w:gridCol w:w="1305"/>
        <w:gridCol w:w="660"/>
        <w:gridCol w:w="1095"/>
        <w:gridCol w:w="1095"/>
        <w:gridCol w:w="1140"/>
        <w:gridCol w:w="66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72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项目名称</w:t>
            </w:r>
          </w:p>
        </w:tc>
        <w:tc>
          <w:tcPr>
            <w:tcW w:w="4125" w:type="dxa"/>
            <w:gridSpan w:val="3"/>
            <w:tcBorders>
              <w:top w:val="single" w:color="auto" w:sz="6" w:space="0"/>
              <w:left w:val="nil"/>
              <w:bottom w:val="single" w:color="auto" w:sz="6" w:space="0"/>
              <w:right w:val="single" w:color="auto" w:sz="6" w:space="0"/>
            </w:tcBorders>
            <w:noWrap w:val="0"/>
            <w:tcMar>
              <w:left w:w="105" w:type="dxa"/>
              <w:right w:w="105" w:type="dxa"/>
            </w:tcMar>
            <w:vAlign w:val="center"/>
          </w:tcPr>
          <w:p>
            <w:pPr>
              <w:pStyle w:val="6"/>
              <w:wordWrap w:val="0"/>
              <w:jc w:val="center"/>
            </w:pPr>
            <w:r>
              <w:rPr>
                <w:rFonts w:hint="eastAsia"/>
                <w:color w:val="000000"/>
                <w:sz w:val="19"/>
                <w:szCs w:val="19"/>
              </w:rPr>
              <w:t>2020年农村义务教育学生营养改善计划资金</w:t>
            </w:r>
          </w:p>
        </w:tc>
        <w:tc>
          <w:tcPr>
            <w:tcW w:w="1095"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自评总分</w:t>
            </w:r>
            <w:r>
              <w:rPr>
                <w:rFonts w:hint="eastAsia"/>
                <w:color w:val="000000"/>
                <w:sz w:val="19"/>
                <w:szCs w:val="19"/>
              </w:rPr>
              <w:br w:type="textWrapping"/>
            </w:r>
            <w:r>
              <w:rPr>
                <w:rFonts w:hint="eastAsia"/>
                <w:color w:val="000000"/>
                <w:sz w:val="19"/>
                <w:szCs w:val="19"/>
              </w:rPr>
              <w:t>（分</w:t>
            </w:r>
            <w:r>
              <w:rPr>
                <w:rFonts w:ascii="Times New Roman" w:hAnsi="Times New Roman" w:cs="Times New Roman"/>
                <w:color w:val="000000"/>
                <w:sz w:val="19"/>
                <w:szCs w:val="19"/>
              </w:rPr>
              <w:t>)</w:t>
            </w:r>
          </w:p>
        </w:tc>
        <w:tc>
          <w:tcPr>
            <w:tcW w:w="2895" w:type="dxa"/>
            <w:gridSpan w:val="3"/>
            <w:tcBorders>
              <w:top w:val="single" w:color="auto" w:sz="6" w:space="0"/>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99.39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72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业务主管部门</w:t>
            </w:r>
          </w:p>
        </w:tc>
        <w:tc>
          <w:tcPr>
            <w:tcW w:w="4125" w:type="dxa"/>
            <w:gridSpan w:val="3"/>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重庆市綦江区教育委员会</w:t>
            </w:r>
          </w:p>
        </w:tc>
        <w:tc>
          <w:tcPr>
            <w:tcW w:w="1095"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联系人</w:t>
            </w:r>
            <w:r>
              <w:rPr>
                <w:rFonts w:hint="eastAsia"/>
                <w:color w:val="000000"/>
                <w:sz w:val="19"/>
                <w:szCs w:val="19"/>
              </w:rPr>
              <w:br w:type="textWrapping"/>
            </w:r>
            <w:r>
              <w:rPr>
                <w:rFonts w:hint="eastAsia"/>
                <w:color w:val="000000"/>
                <w:sz w:val="19"/>
                <w:szCs w:val="19"/>
              </w:rPr>
              <w:t>及电话</w:t>
            </w:r>
          </w:p>
        </w:tc>
        <w:tc>
          <w:tcPr>
            <w:tcW w:w="2895" w:type="dxa"/>
            <w:gridSpan w:val="3"/>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刘绪芬</w:t>
            </w:r>
            <w:r>
              <w:rPr>
                <w:rFonts w:ascii="Times New Roman" w:hAnsi="Times New Roman" w:cs="Times New Roman"/>
                <w:color w:val="000000"/>
                <w:sz w:val="19"/>
                <w:szCs w:val="19"/>
              </w:rPr>
              <w:t>13983947829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720" w:type="dxa"/>
            <w:vMerge w:val="restart"/>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项目资金（万元）</w:t>
            </w:r>
          </w:p>
        </w:tc>
        <w:tc>
          <w:tcPr>
            <w:tcW w:w="2160" w:type="dxa"/>
            <w:tcBorders>
              <w:top w:val="nil"/>
              <w:left w:val="nil"/>
              <w:bottom w:val="single" w:color="auto" w:sz="6" w:space="0"/>
              <w:right w:val="nil"/>
            </w:tcBorders>
            <w:noWrap w:val="0"/>
            <w:tcMar>
              <w:left w:w="105" w:type="dxa"/>
              <w:right w:w="105" w:type="dxa"/>
            </w:tcMar>
            <w:vAlign w:val="center"/>
          </w:tcPr>
          <w:p>
            <w:pPr>
              <w:widowControl/>
              <w:jc w:val="left"/>
            </w:pPr>
          </w:p>
        </w:tc>
        <w:tc>
          <w:tcPr>
            <w:tcW w:w="1965" w:type="dxa"/>
            <w:gridSpan w:val="2"/>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全年预算数（</w:t>
            </w:r>
            <w:r>
              <w:rPr>
                <w:rFonts w:ascii="Times New Roman" w:hAnsi="Times New Roman" w:cs="Times New Roman"/>
                <w:color w:val="000000"/>
                <w:sz w:val="19"/>
                <w:szCs w:val="19"/>
              </w:rPr>
              <w:t>A</w:t>
            </w:r>
            <w:r>
              <w:rPr>
                <w:rFonts w:hint="eastAsia"/>
                <w:color w:val="000000"/>
                <w:sz w:val="19"/>
                <w:szCs w:val="19"/>
              </w:rPr>
              <w:t>）</w:t>
            </w:r>
          </w:p>
        </w:tc>
        <w:tc>
          <w:tcPr>
            <w:tcW w:w="1095"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全年执行数（</w:t>
            </w:r>
            <w:r>
              <w:rPr>
                <w:rFonts w:ascii="Times New Roman" w:hAnsi="Times New Roman" w:cs="Times New Roman"/>
                <w:color w:val="000000"/>
                <w:sz w:val="19"/>
                <w:szCs w:val="19"/>
              </w:rPr>
              <w:t>B</w:t>
            </w:r>
            <w:r>
              <w:rPr>
                <w:rFonts w:hint="eastAsia"/>
                <w:color w:val="000000"/>
                <w:sz w:val="19"/>
                <w:szCs w:val="19"/>
              </w:rPr>
              <w:t>）</w:t>
            </w:r>
          </w:p>
        </w:tc>
        <w:tc>
          <w:tcPr>
            <w:tcW w:w="1095"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执行率</w:t>
            </w:r>
            <w:r>
              <w:rPr>
                <w:rFonts w:ascii="Times New Roman" w:hAnsi="Times New Roman" w:cs="Times New Roman"/>
                <w:color w:val="000000"/>
                <w:sz w:val="19"/>
                <w:szCs w:val="19"/>
              </w:rPr>
              <w:t>%</w:t>
            </w:r>
            <w:r>
              <w:rPr>
                <w:rFonts w:hint="eastAsia"/>
                <w:color w:val="000000"/>
                <w:sz w:val="19"/>
                <w:szCs w:val="19"/>
              </w:rPr>
              <w:t>（</w:t>
            </w:r>
            <w:r>
              <w:rPr>
                <w:rFonts w:ascii="Times New Roman" w:hAnsi="Times New Roman" w:cs="Times New Roman"/>
                <w:color w:val="000000"/>
                <w:sz w:val="19"/>
                <w:szCs w:val="19"/>
              </w:rPr>
              <w:t>B/A</w:t>
            </w:r>
            <w:r>
              <w:rPr>
                <w:rFonts w:hint="eastAsia"/>
                <w:color w:val="000000"/>
                <w:sz w:val="19"/>
                <w:szCs w:val="19"/>
              </w:rPr>
              <w:t>）</w:t>
            </w:r>
          </w:p>
        </w:tc>
        <w:tc>
          <w:tcPr>
            <w:tcW w:w="1800" w:type="dxa"/>
            <w:gridSpan w:val="2"/>
            <w:tcBorders>
              <w:top w:val="single" w:color="auto" w:sz="6" w:space="0"/>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执行率得分（分）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720"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rPr>
            </w:pPr>
          </w:p>
        </w:tc>
        <w:tc>
          <w:tcPr>
            <w:tcW w:w="2160" w:type="dxa"/>
            <w:tcBorders>
              <w:top w:val="nil"/>
              <w:left w:val="nil"/>
              <w:bottom w:val="single" w:color="auto" w:sz="6" w:space="0"/>
              <w:right w:val="single" w:color="auto" w:sz="6" w:space="0"/>
            </w:tcBorders>
            <w:noWrap w:val="0"/>
            <w:tcMar>
              <w:left w:w="105" w:type="dxa"/>
              <w:right w:w="105" w:type="dxa"/>
            </w:tcMar>
            <w:vAlign w:val="center"/>
          </w:tcPr>
          <w:p>
            <w:pPr>
              <w:pStyle w:val="6"/>
            </w:pPr>
            <w:r>
              <w:rPr>
                <w:rFonts w:hint="eastAsia"/>
                <w:color w:val="000000"/>
                <w:sz w:val="19"/>
                <w:szCs w:val="19"/>
              </w:rPr>
              <w:t>年度资金总额：</w:t>
            </w:r>
          </w:p>
        </w:tc>
        <w:tc>
          <w:tcPr>
            <w:tcW w:w="1965" w:type="dxa"/>
            <w:gridSpan w:val="2"/>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938</w:t>
            </w:r>
          </w:p>
        </w:tc>
        <w:tc>
          <w:tcPr>
            <w:tcW w:w="1095"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928</w:t>
            </w:r>
          </w:p>
        </w:tc>
        <w:tc>
          <w:tcPr>
            <w:tcW w:w="1095"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98.93%</w:t>
            </w:r>
          </w:p>
        </w:tc>
        <w:tc>
          <w:tcPr>
            <w:tcW w:w="1800" w:type="dxa"/>
            <w:gridSpan w:val="2"/>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9.89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720"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rPr>
            </w:pPr>
          </w:p>
        </w:tc>
        <w:tc>
          <w:tcPr>
            <w:tcW w:w="216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其中：中央补助</w:t>
            </w:r>
          </w:p>
        </w:tc>
        <w:tc>
          <w:tcPr>
            <w:tcW w:w="1965" w:type="dxa"/>
            <w:gridSpan w:val="2"/>
            <w:tcBorders>
              <w:top w:val="nil"/>
              <w:left w:val="nil"/>
              <w:bottom w:val="single" w:color="auto" w:sz="6" w:space="0"/>
              <w:right w:val="single" w:color="auto" w:sz="6" w:space="0"/>
            </w:tcBorders>
            <w:noWrap w:val="0"/>
            <w:tcMar>
              <w:left w:w="105" w:type="dxa"/>
              <w:right w:w="105" w:type="dxa"/>
            </w:tcMar>
            <w:vAlign w:val="center"/>
          </w:tcPr>
          <w:p>
            <w:pPr>
              <w:widowControl/>
              <w:jc w:val="left"/>
            </w:pPr>
          </w:p>
        </w:tc>
        <w:tc>
          <w:tcPr>
            <w:tcW w:w="1095" w:type="dxa"/>
            <w:tcBorders>
              <w:top w:val="nil"/>
              <w:left w:val="nil"/>
              <w:bottom w:val="single" w:color="auto" w:sz="6" w:space="0"/>
              <w:right w:val="single" w:color="auto" w:sz="6" w:space="0"/>
            </w:tcBorders>
            <w:noWrap w:val="0"/>
            <w:tcMar>
              <w:left w:w="105" w:type="dxa"/>
              <w:right w:w="105" w:type="dxa"/>
            </w:tcMar>
            <w:vAlign w:val="center"/>
          </w:tcPr>
          <w:p>
            <w:pPr>
              <w:widowControl/>
              <w:jc w:val="left"/>
            </w:pPr>
          </w:p>
        </w:tc>
        <w:tc>
          <w:tcPr>
            <w:tcW w:w="1095" w:type="dxa"/>
            <w:tcBorders>
              <w:top w:val="nil"/>
              <w:left w:val="nil"/>
              <w:bottom w:val="single" w:color="auto" w:sz="6" w:space="0"/>
              <w:right w:val="single" w:color="auto" w:sz="6" w:space="0"/>
            </w:tcBorders>
            <w:noWrap w:val="0"/>
            <w:tcMar>
              <w:left w:w="105" w:type="dxa"/>
              <w:right w:w="105" w:type="dxa"/>
            </w:tcMar>
            <w:vAlign w:val="center"/>
          </w:tcPr>
          <w:p>
            <w:pPr>
              <w:widowControl/>
              <w:jc w:val="left"/>
            </w:pPr>
          </w:p>
        </w:tc>
        <w:tc>
          <w:tcPr>
            <w:tcW w:w="1800" w:type="dxa"/>
            <w:gridSpan w:val="2"/>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720"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rPr>
            </w:pPr>
          </w:p>
        </w:tc>
        <w:tc>
          <w:tcPr>
            <w:tcW w:w="216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     市级补助</w:t>
            </w:r>
          </w:p>
        </w:tc>
        <w:tc>
          <w:tcPr>
            <w:tcW w:w="1965" w:type="dxa"/>
            <w:gridSpan w:val="2"/>
            <w:tcBorders>
              <w:top w:val="nil"/>
              <w:left w:val="nil"/>
              <w:bottom w:val="single" w:color="auto" w:sz="6" w:space="0"/>
              <w:right w:val="single" w:color="auto" w:sz="6" w:space="0"/>
            </w:tcBorders>
            <w:noWrap w:val="0"/>
            <w:tcMar>
              <w:left w:w="105" w:type="dxa"/>
              <w:right w:w="105" w:type="dxa"/>
            </w:tcMar>
            <w:vAlign w:val="center"/>
          </w:tcPr>
          <w:p>
            <w:pPr>
              <w:widowControl/>
              <w:jc w:val="left"/>
            </w:pPr>
          </w:p>
        </w:tc>
        <w:tc>
          <w:tcPr>
            <w:tcW w:w="1095" w:type="dxa"/>
            <w:tcBorders>
              <w:top w:val="nil"/>
              <w:left w:val="nil"/>
              <w:bottom w:val="single" w:color="auto" w:sz="6" w:space="0"/>
              <w:right w:val="single" w:color="auto" w:sz="6" w:space="0"/>
            </w:tcBorders>
            <w:noWrap w:val="0"/>
            <w:tcMar>
              <w:left w:w="105" w:type="dxa"/>
              <w:right w:w="105" w:type="dxa"/>
            </w:tcMar>
            <w:vAlign w:val="center"/>
          </w:tcPr>
          <w:p>
            <w:pPr>
              <w:widowControl/>
              <w:jc w:val="left"/>
            </w:pPr>
          </w:p>
        </w:tc>
        <w:tc>
          <w:tcPr>
            <w:tcW w:w="1095" w:type="dxa"/>
            <w:tcBorders>
              <w:top w:val="nil"/>
              <w:left w:val="nil"/>
              <w:bottom w:val="single" w:color="auto" w:sz="6" w:space="0"/>
              <w:right w:val="single" w:color="auto" w:sz="6" w:space="0"/>
            </w:tcBorders>
            <w:noWrap w:val="0"/>
            <w:tcMar>
              <w:left w:w="105" w:type="dxa"/>
              <w:right w:w="105" w:type="dxa"/>
            </w:tcMar>
            <w:vAlign w:val="center"/>
          </w:tcPr>
          <w:p>
            <w:pPr>
              <w:widowControl/>
              <w:jc w:val="left"/>
            </w:pPr>
          </w:p>
        </w:tc>
        <w:tc>
          <w:tcPr>
            <w:tcW w:w="1800" w:type="dxa"/>
            <w:gridSpan w:val="2"/>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720"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rPr>
            </w:pPr>
          </w:p>
        </w:tc>
        <w:tc>
          <w:tcPr>
            <w:tcW w:w="216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     区级资金</w:t>
            </w:r>
          </w:p>
        </w:tc>
        <w:tc>
          <w:tcPr>
            <w:tcW w:w="1965" w:type="dxa"/>
            <w:gridSpan w:val="2"/>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938</w:t>
            </w:r>
          </w:p>
        </w:tc>
        <w:tc>
          <w:tcPr>
            <w:tcW w:w="1095"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928</w:t>
            </w:r>
          </w:p>
        </w:tc>
        <w:tc>
          <w:tcPr>
            <w:tcW w:w="1095" w:type="dxa"/>
            <w:tcBorders>
              <w:top w:val="nil"/>
              <w:left w:val="nil"/>
              <w:bottom w:val="single" w:color="auto" w:sz="6" w:space="0"/>
              <w:right w:val="single" w:color="auto" w:sz="6" w:space="0"/>
            </w:tcBorders>
            <w:noWrap w:val="0"/>
            <w:tcMar>
              <w:left w:w="105" w:type="dxa"/>
              <w:right w:w="105" w:type="dxa"/>
            </w:tcMar>
            <w:vAlign w:val="center"/>
          </w:tcPr>
          <w:p>
            <w:pPr>
              <w:widowControl/>
              <w:jc w:val="left"/>
            </w:pPr>
          </w:p>
        </w:tc>
        <w:tc>
          <w:tcPr>
            <w:tcW w:w="1800" w:type="dxa"/>
            <w:gridSpan w:val="2"/>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720"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rPr>
            </w:pPr>
          </w:p>
        </w:tc>
        <w:tc>
          <w:tcPr>
            <w:tcW w:w="216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     其他资金</w:t>
            </w:r>
          </w:p>
        </w:tc>
        <w:tc>
          <w:tcPr>
            <w:tcW w:w="1965" w:type="dxa"/>
            <w:gridSpan w:val="2"/>
            <w:tcBorders>
              <w:top w:val="nil"/>
              <w:left w:val="nil"/>
              <w:bottom w:val="single" w:color="auto" w:sz="6" w:space="0"/>
              <w:right w:val="single" w:color="auto" w:sz="6" w:space="0"/>
            </w:tcBorders>
            <w:noWrap w:val="0"/>
            <w:tcMar>
              <w:left w:w="105" w:type="dxa"/>
              <w:right w:w="105" w:type="dxa"/>
            </w:tcMar>
            <w:vAlign w:val="center"/>
          </w:tcPr>
          <w:p>
            <w:pPr>
              <w:widowControl/>
              <w:jc w:val="left"/>
            </w:pPr>
          </w:p>
        </w:tc>
        <w:tc>
          <w:tcPr>
            <w:tcW w:w="1095" w:type="dxa"/>
            <w:tcBorders>
              <w:top w:val="nil"/>
              <w:left w:val="nil"/>
              <w:bottom w:val="single" w:color="auto" w:sz="6" w:space="0"/>
              <w:right w:val="single" w:color="auto" w:sz="6" w:space="0"/>
            </w:tcBorders>
            <w:noWrap w:val="0"/>
            <w:tcMar>
              <w:left w:w="105" w:type="dxa"/>
              <w:right w:w="105" w:type="dxa"/>
            </w:tcMar>
            <w:vAlign w:val="center"/>
          </w:tcPr>
          <w:p>
            <w:pPr>
              <w:widowControl/>
              <w:jc w:val="left"/>
            </w:pPr>
          </w:p>
        </w:tc>
        <w:tc>
          <w:tcPr>
            <w:tcW w:w="1095" w:type="dxa"/>
            <w:tcBorders>
              <w:top w:val="nil"/>
              <w:left w:val="nil"/>
              <w:bottom w:val="single" w:color="auto" w:sz="6" w:space="0"/>
              <w:right w:val="single" w:color="auto" w:sz="6" w:space="0"/>
            </w:tcBorders>
            <w:noWrap w:val="0"/>
            <w:tcMar>
              <w:left w:w="105" w:type="dxa"/>
              <w:right w:w="105" w:type="dxa"/>
            </w:tcMar>
            <w:vAlign w:val="center"/>
          </w:tcPr>
          <w:p>
            <w:pPr>
              <w:widowControl/>
              <w:jc w:val="left"/>
            </w:pPr>
          </w:p>
        </w:tc>
        <w:tc>
          <w:tcPr>
            <w:tcW w:w="1800" w:type="dxa"/>
            <w:gridSpan w:val="2"/>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720" w:type="dxa"/>
            <w:vMerge w:val="restart"/>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年度总体目标</w:t>
            </w:r>
          </w:p>
        </w:tc>
        <w:tc>
          <w:tcPr>
            <w:tcW w:w="4125" w:type="dxa"/>
            <w:gridSpan w:val="3"/>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年初设定目标</w:t>
            </w:r>
          </w:p>
        </w:tc>
        <w:tc>
          <w:tcPr>
            <w:tcW w:w="3990" w:type="dxa"/>
            <w:gridSpan w:val="4"/>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全年目标实际完成情况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20" w:hRule="atLeast"/>
          <w:jc w:val="center"/>
        </w:trPr>
        <w:tc>
          <w:tcPr>
            <w:tcW w:w="720"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rPr>
            </w:pPr>
          </w:p>
        </w:tc>
        <w:tc>
          <w:tcPr>
            <w:tcW w:w="4125" w:type="dxa"/>
            <w:gridSpan w:val="3"/>
            <w:tcBorders>
              <w:top w:val="nil"/>
              <w:left w:val="nil"/>
              <w:bottom w:val="single" w:color="auto" w:sz="6" w:space="0"/>
              <w:right w:val="single" w:color="auto" w:sz="6" w:space="0"/>
            </w:tcBorders>
            <w:noWrap w:val="0"/>
            <w:tcMar>
              <w:left w:w="105" w:type="dxa"/>
              <w:right w:w="105" w:type="dxa"/>
            </w:tcMar>
            <w:vAlign w:val="center"/>
          </w:tcPr>
          <w:p>
            <w:pPr>
              <w:pStyle w:val="6"/>
            </w:pPr>
            <w:r>
              <w:rPr>
                <w:rFonts w:hint="eastAsia"/>
                <w:color w:val="000000"/>
                <w:sz w:val="19"/>
                <w:szCs w:val="19"/>
              </w:rPr>
              <w:t>    改善全区边远学生营养状况，增加午餐营养，提高学生身体素质，降低营养不良检出率，营养不良率低于全市平均水平，同时保障学校食堂正常运转，改善就餐环境，促进中小学生身体健康发展，营养改善计划的实施，让社会充分肯定。</w:t>
            </w:r>
          </w:p>
        </w:tc>
        <w:tc>
          <w:tcPr>
            <w:tcW w:w="3990" w:type="dxa"/>
            <w:gridSpan w:val="4"/>
            <w:tcBorders>
              <w:top w:val="nil"/>
              <w:left w:val="nil"/>
              <w:bottom w:val="single" w:color="auto" w:sz="6" w:space="0"/>
              <w:right w:val="single" w:color="auto" w:sz="6" w:space="0"/>
            </w:tcBorders>
            <w:noWrap w:val="0"/>
            <w:tcMar>
              <w:left w:w="105" w:type="dxa"/>
              <w:right w:w="105" w:type="dxa"/>
            </w:tcMar>
            <w:vAlign w:val="center"/>
          </w:tcPr>
          <w:p>
            <w:pPr>
              <w:pStyle w:val="6"/>
            </w:pPr>
            <w:r>
              <w:rPr>
                <w:rFonts w:hint="eastAsia"/>
                <w:color w:val="000000"/>
                <w:sz w:val="19"/>
                <w:szCs w:val="19"/>
              </w:rPr>
              <w:t>   投入</w:t>
            </w:r>
            <w:r>
              <w:rPr>
                <w:rFonts w:ascii="Times New Roman" w:hAnsi="Times New Roman" w:cs="Times New Roman"/>
                <w:color w:val="000000"/>
                <w:sz w:val="19"/>
                <w:szCs w:val="19"/>
              </w:rPr>
              <w:t>485</w:t>
            </w:r>
            <w:r>
              <w:rPr>
                <w:rFonts w:hint="eastAsia"/>
                <w:color w:val="000000"/>
                <w:sz w:val="19"/>
                <w:szCs w:val="19"/>
              </w:rPr>
              <w:t>万资金改善全区边远学校</w:t>
            </w:r>
            <w:r>
              <w:rPr>
                <w:rFonts w:ascii="Times New Roman" w:hAnsi="Times New Roman" w:cs="Times New Roman"/>
                <w:color w:val="000000"/>
                <w:sz w:val="19"/>
                <w:szCs w:val="19"/>
              </w:rPr>
              <w:t>15122</w:t>
            </w:r>
            <w:r>
              <w:rPr>
                <w:rFonts w:hint="eastAsia"/>
                <w:color w:val="000000"/>
                <w:sz w:val="19"/>
                <w:szCs w:val="19"/>
              </w:rPr>
              <w:t>名学生午餐，增加午餐营养，降低营养不良检出率；</w:t>
            </w:r>
            <w:r>
              <w:rPr>
                <w:rFonts w:ascii="Times New Roman" w:hAnsi="Times New Roman" w:cs="Times New Roman"/>
                <w:color w:val="000000"/>
                <w:sz w:val="19"/>
                <w:szCs w:val="19"/>
              </w:rPr>
              <w:t>356</w:t>
            </w:r>
            <w:r>
              <w:rPr>
                <w:rFonts w:hint="eastAsia"/>
                <w:color w:val="000000"/>
                <w:sz w:val="19"/>
                <w:szCs w:val="19"/>
              </w:rPr>
              <w:t>万元解决</w:t>
            </w:r>
            <w:r>
              <w:rPr>
                <w:rFonts w:ascii="Times New Roman" w:hAnsi="Times New Roman" w:cs="Times New Roman"/>
                <w:color w:val="000000"/>
                <w:sz w:val="19"/>
                <w:szCs w:val="19"/>
              </w:rPr>
              <w:t>45</w:t>
            </w:r>
            <w:r>
              <w:rPr>
                <w:rFonts w:hint="eastAsia"/>
                <w:color w:val="000000"/>
                <w:sz w:val="19"/>
                <w:szCs w:val="19"/>
              </w:rPr>
              <w:t>所学校食堂运行困难；</w:t>
            </w:r>
            <w:r>
              <w:rPr>
                <w:rFonts w:ascii="Times New Roman" w:hAnsi="Times New Roman" w:cs="Times New Roman"/>
                <w:color w:val="000000"/>
                <w:sz w:val="19"/>
                <w:szCs w:val="19"/>
              </w:rPr>
              <w:t>97</w:t>
            </w:r>
            <w:r>
              <w:rPr>
                <w:rFonts w:hint="eastAsia"/>
                <w:color w:val="000000"/>
                <w:sz w:val="19"/>
                <w:szCs w:val="19"/>
              </w:rPr>
              <w:t>万元改善</w:t>
            </w:r>
            <w:r>
              <w:rPr>
                <w:rFonts w:ascii="Times New Roman" w:hAnsi="Times New Roman" w:cs="Times New Roman"/>
                <w:color w:val="000000"/>
                <w:sz w:val="19"/>
                <w:szCs w:val="19"/>
              </w:rPr>
              <w:t>9</w:t>
            </w:r>
            <w:r>
              <w:rPr>
                <w:rFonts w:hint="eastAsia"/>
                <w:color w:val="000000"/>
                <w:sz w:val="19"/>
                <w:szCs w:val="19"/>
              </w:rPr>
              <w:t>所学校学生就餐环境。通过营养专项资金投入，促进中小学生身体健康发展，营养改善计划效果明显，得到社会充分肯定。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720" w:type="dxa"/>
            <w:vMerge w:val="restart"/>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绩效指标</w:t>
            </w:r>
          </w:p>
        </w:tc>
        <w:tc>
          <w:tcPr>
            <w:tcW w:w="216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t>指标名称</w:t>
            </w:r>
            <w:r>
              <w:rPr>
                <w:rFonts w:hint="eastAsia"/>
                <w:color w:val="000000"/>
                <w:sz w:val="19"/>
                <w:szCs w:val="19"/>
              </w:rPr>
              <w:br w:type="textWrapping"/>
            </w:r>
            <w:r>
              <w:rPr>
                <w:rFonts w:hint="eastAsia"/>
                <w:color w:val="000000"/>
                <w:sz w:val="19"/>
                <w:szCs w:val="19"/>
              </w:rPr>
              <w:t>（三级指标）</w:t>
            </w:r>
          </w:p>
        </w:tc>
        <w:tc>
          <w:tcPr>
            <w:tcW w:w="1305"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计量单位</w:t>
            </w:r>
          </w:p>
        </w:tc>
        <w:tc>
          <w:tcPr>
            <w:tcW w:w="66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指标权重</w:t>
            </w:r>
          </w:p>
        </w:tc>
        <w:tc>
          <w:tcPr>
            <w:tcW w:w="1095" w:type="dxa"/>
            <w:tcBorders>
              <w:top w:val="nil"/>
              <w:left w:val="nil"/>
              <w:bottom w:val="single" w:color="auto" w:sz="6" w:space="0"/>
              <w:right w:val="single" w:color="auto" w:sz="6" w:space="0"/>
            </w:tcBorders>
            <w:noWrap w:val="0"/>
            <w:tcMar>
              <w:left w:w="105" w:type="dxa"/>
              <w:right w:w="105" w:type="dxa"/>
            </w:tcMar>
            <w:vAlign w:val="center"/>
          </w:tcPr>
          <w:p>
            <w:pPr>
              <w:pStyle w:val="6"/>
              <w:jc w:val="center"/>
              <w:rPr>
                <w:sz w:val="19"/>
                <w:szCs w:val="19"/>
              </w:rPr>
            </w:pPr>
            <w:r>
              <w:rPr>
                <w:rFonts w:hint="eastAsia"/>
                <w:color w:val="000000"/>
                <w:sz w:val="19"/>
                <w:szCs w:val="19"/>
              </w:rPr>
              <w:t>指标值</w:t>
            </w:r>
          </w:p>
        </w:tc>
        <w:tc>
          <w:tcPr>
            <w:tcW w:w="1095"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全年完成值</w:t>
            </w:r>
          </w:p>
        </w:tc>
        <w:tc>
          <w:tcPr>
            <w:tcW w:w="114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得分系数（</w:t>
            </w:r>
            <w:r>
              <w:rPr>
                <w:rFonts w:ascii="Times New Roman" w:hAnsi="Times New Roman" w:cs="Times New Roman"/>
                <w:color w:val="000000"/>
                <w:sz w:val="19"/>
                <w:szCs w:val="19"/>
              </w:rPr>
              <w:t>%</w:t>
            </w:r>
            <w:r>
              <w:rPr>
                <w:rFonts w:hint="eastAsia"/>
                <w:color w:val="000000"/>
                <w:sz w:val="19"/>
                <w:szCs w:val="19"/>
              </w:rPr>
              <w:t>）</w:t>
            </w:r>
          </w:p>
        </w:tc>
        <w:tc>
          <w:tcPr>
            <w:tcW w:w="66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指标得分</w:t>
            </w:r>
            <w:r>
              <w:rPr>
                <w:rFonts w:hint="eastAsia"/>
                <w:color w:val="000000"/>
                <w:sz w:val="19"/>
                <w:szCs w:val="19"/>
              </w:rPr>
              <w:br w:type="textWrapping"/>
            </w:r>
            <w:r>
              <w:rPr>
                <w:rFonts w:hint="eastAsia"/>
                <w:color w:val="000000"/>
                <w:sz w:val="19"/>
                <w:szCs w:val="19"/>
              </w:rPr>
              <w:t>（分</w:t>
            </w:r>
            <w:r>
              <w:rPr>
                <w:rFonts w:ascii="Times New Roman" w:hAnsi="Times New Roman" w:cs="Times New Roman"/>
                <w:color w:val="000000"/>
                <w:sz w:val="19"/>
                <w:szCs w:val="19"/>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720"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rPr>
            </w:pPr>
          </w:p>
        </w:tc>
        <w:tc>
          <w:tcPr>
            <w:tcW w:w="216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营养午餐享受人数</w:t>
            </w:r>
          </w:p>
        </w:tc>
        <w:tc>
          <w:tcPr>
            <w:tcW w:w="1305"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人</w:t>
            </w:r>
          </w:p>
        </w:tc>
        <w:tc>
          <w:tcPr>
            <w:tcW w:w="66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10</w:t>
            </w:r>
          </w:p>
        </w:tc>
        <w:tc>
          <w:tcPr>
            <w:tcW w:w="1095" w:type="dxa"/>
            <w:tcBorders>
              <w:top w:val="nil"/>
              <w:left w:val="nil"/>
              <w:bottom w:val="single" w:color="auto" w:sz="6" w:space="0"/>
              <w:right w:val="nil"/>
            </w:tcBorders>
            <w:noWrap w:val="0"/>
            <w:tcMar>
              <w:left w:w="105" w:type="dxa"/>
              <w:right w:w="105" w:type="dxa"/>
            </w:tcMar>
            <w:vAlign w:val="center"/>
          </w:tcPr>
          <w:p>
            <w:pPr>
              <w:pStyle w:val="6"/>
              <w:jc w:val="center"/>
            </w:pPr>
            <w:r>
              <w:rPr>
                <w:rFonts w:hint="eastAsia"/>
                <w:color w:val="000000"/>
                <w:sz w:val="19"/>
                <w:szCs w:val="19"/>
              </w:rPr>
              <w:t>15000</w:t>
            </w:r>
          </w:p>
        </w:tc>
        <w:tc>
          <w:tcPr>
            <w:tcW w:w="1095" w:type="dxa"/>
            <w:tcBorders>
              <w:top w:val="nil"/>
              <w:left w:val="single" w:color="auto" w:sz="6" w:space="0"/>
              <w:bottom w:val="single" w:color="auto" w:sz="6" w:space="0"/>
              <w:right w:val="nil"/>
            </w:tcBorders>
            <w:noWrap w:val="0"/>
            <w:tcMar>
              <w:left w:w="105" w:type="dxa"/>
              <w:right w:w="105" w:type="dxa"/>
            </w:tcMar>
            <w:vAlign w:val="center"/>
          </w:tcPr>
          <w:p>
            <w:pPr>
              <w:pStyle w:val="6"/>
              <w:jc w:val="center"/>
            </w:pPr>
            <w:r>
              <w:rPr>
                <w:rFonts w:hint="eastAsia"/>
                <w:color w:val="000000"/>
                <w:sz w:val="19"/>
                <w:szCs w:val="19"/>
              </w:rPr>
              <w:t>15122</w:t>
            </w:r>
          </w:p>
        </w:tc>
        <w:tc>
          <w:tcPr>
            <w:tcW w:w="114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100</w:t>
            </w:r>
          </w:p>
        </w:tc>
        <w:tc>
          <w:tcPr>
            <w:tcW w:w="66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720"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rPr>
            </w:pPr>
          </w:p>
        </w:tc>
        <w:tc>
          <w:tcPr>
            <w:tcW w:w="216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营养午餐运行补助学校数</w:t>
            </w:r>
          </w:p>
        </w:tc>
        <w:tc>
          <w:tcPr>
            <w:tcW w:w="1305"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所</w:t>
            </w:r>
          </w:p>
        </w:tc>
        <w:tc>
          <w:tcPr>
            <w:tcW w:w="66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10</w:t>
            </w:r>
          </w:p>
        </w:tc>
        <w:tc>
          <w:tcPr>
            <w:tcW w:w="1095" w:type="dxa"/>
            <w:tcBorders>
              <w:top w:val="nil"/>
              <w:left w:val="nil"/>
              <w:bottom w:val="single" w:color="auto" w:sz="6" w:space="0"/>
              <w:right w:val="nil"/>
            </w:tcBorders>
            <w:noWrap w:val="0"/>
            <w:tcMar>
              <w:left w:w="105" w:type="dxa"/>
              <w:right w:w="105" w:type="dxa"/>
            </w:tcMar>
            <w:vAlign w:val="center"/>
          </w:tcPr>
          <w:p>
            <w:pPr>
              <w:pStyle w:val="6"/>
              <w:jc w:val="center"/>
            </w:pPr>
            <w:r>
              <w:rPr>
                <w:rFonts w:hint="eastAsia"/>
                <w:color w:val="000000"/>
                <w:sz w:val="19"/>
                <w:szCs w:val="19"/>
              </w:rPr>
              <w:t>45</w:t>
            </w:r>
          </w:p>
        </w:tc>
        <w:tc>
          <w:tcPr>
            <w:tcW w:w="1095" w:type="dxa"/>
            <w:tcBorders>
              <w:top w:val="nil"/>
              <w:left w:val="single" w:color="auto" w:sz="6" w:space="0"/>
              <w:bottom w:val="single" w:color="auto" w:sz="6" w:space="0"/>
              <w:right w:val="nil"/>
            </w:tcBorders>
            <w:noWrap w:val="0"/>
            <w:tcMar>
              <w:left w:w="105" w:type="dxa"/>
              <w:right w:w="105" w:type="dxa"/>
            </w:tcMar>
            <w:vAlign w:val="center"/>
          </w:tcPr>
          <w:p>
            <w:pPr>
              <w:pStyle w:val="6"/>
              <w:jc w:val="center"/>
            </w:pPr>
            <w:r>
              <w:rPr>
                <w:rFonts w:hint="eastAsia"/>
                <w:color w:val="000000"/>
                <w:sz w:val="19"/>
                <w:szCs w:val="19"/>
              </w:rPr>
              <w:t>45</w:t>
            </w:r>
          </w:p>
        </w:tc>
        <w:tc>
          <w:tcPr>
            <w:tcW w:w="114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100</w:t>
            </w:r>
          </w:p>
        </w:tc>
        <w:tc>
          <w:tcPr>
            <w:tcW w:w="660" w:type="dxa"/>
            <w:tcBorders>
              <w:top w:val="nil"/>
              <w:left w:val="nil"/>
              <w:bottom w:val="nil"/>
              <w:right w:val="single" w:color="auto" w:sz="6" w:space="0"/>
            </w:tcBorders>
            <w:noWrap w:val="0"/>
            <w:tcMar>
              <w:left w:w="105" w:type="dxa"/>
              <w:right w:w="105" w:type="dxa"/>
            </w:tcMar>
            <w:vAlign w:val="center"/>
          </w:tcPr>
          <w:p>
            <w:pPr>
              <w:pStyle w:val="6"/>
              <w:jc w:val="center"/>
            </w:pPr>
            <w:r>
              <w:rPr>
                <w:rFonts w:hint="eastAsia"/>
                <w:color w:val="000000"/>
                <w:sz w:val="19"/>
                <w:szCs w:val="19"/>
              </w:rPr>
              <w:t>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720"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rPr>
            </w:pPr>
          </w:p>
        </w:tc>
        <w:tc>
          <w:tcPr>
            <w:tcW w:w="216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改善就餐条件受益学校数</w:t>
            </w:r>
          </w:p>
        </w:tc>
        <w:tc>
          <w:tcPr>
            <w:tcW w:w="1305"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所</w:t>
            </w:r>
          </w:p>
        </w:tc>
        <w:tc>
          <w:tcPr>
            <w:tcW w:w="66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10</w:t>
            </w:r>
          </w:p>
        </w:tc>
        <w:tc>
          <w:tcPr>
            <w:tcW w:w="1095" w:type="dxa"/>
            <w:tcBorders>
              <w:top w:val="nil"/>
              <w:left w:val="nil"/>
              <w:bottom w:val="single" w:color="auto" w:sz="6" w:space="0"/>
              <w:right w:val="nil"/>
            </w:tcBorders>
            <w:noWrap w:val="0"/>
            <w:tcMar>
              <w:left w:w="105" w:type="dxa"/>
              <w:right w:w="105" w:type="dxa"/>
            </w:tcMar>
            <w:vAlign w:val="center"/>
          </w:tcPr>
          <w:p>
            <w:pPr>
              <w:pStyle w:val="6"/>
              <w:jc w:val="center"/>
            </w:pPr>
            <w:r>
              <w:rPr>
                <w:rFonts w:hint="eastAsia"/>
                <w:color w:val="000000"/>
                <w:sz w:val="19"/>
                <w:szCs w:val="19"/>
              </w:rPr>
              <w:t>9</w:t>
            </w:r>
          </w:p>
        </w:tc>
        <w:tc>
          <w:tcPr>
            <w:tcW w:w="1095" w:type="dxa"/>
            <w:tcBorders>
              <w:top w:val="nil"/>
              <w:left w:val="single" w:color="auto" w:sz="6" w:space="0"/>
              <w:bottom w:val="single" w:color="auto" w:sz="6" w:space="0"/>
              <w:right w:val="nil"/>
            </w:tcBorders>
            <w:noWrap w:val="0"/>
            <w:tcMar>
              <w:left w:w="105" w:type="dxa"/>
              <w:right w:w="105" w:type="dxa"/>
            </w:tcMar>
            <w:vAlign w:val="center"/>
          </w:tcPr>
          <w:p>
            <w:pPr>
              <w:pStyle w:val="6"/>
              <w:jc w:val="center"/>
            </w:pPr>
            <w:r>
              <w:rPr>
                <w:rFonts w:hint="eastAsia"/>
                <w:color w:val="000000"/>
                <w:sz w:val="19"/>
                <w:szCs w:val="19"/>
              </w:rPr>
              <w:t>9</w:t>
            </w:r>
          </w:p>
        </w:tc>
        <w:tc>
          <w:tcPr>
            <w:tcW w:w="114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100</w:t>
            </w:r>
          </w:p>
        </w:tc>
        <w:tc>
          <w:tcPr>
            <w:tcW w:w="660" w:type="dxa"/>
            <w:tcBorders>
              <w:top w:val="single" w:color="auto" w:sz="6" w:space="0"/>
              <w:left w:val="nil"/>
              <w:bottom w:val="nil"/>
              <w:right w:val="single" w:color="auto" w:sz="6" w:space="0"/>
            </w:tcBorders>
            <w:noWrap w:val="0"/>
            <w:tcMar>
              <w:left w:w="105" w:type="dxa"/>
              <w:right w:w="105" w:type="dxa"/>
            </w:tcMar>
            <w:vAlign w:val="center"/>
          </w:tcPr>
          <w:p>
            <w:pPr>
              <w:pStyle w:val="6"/>
              <w:jc w:val="center"/>
            </w:pPr>
            <w:r>
              <w:rPr>
                <w:rFonts w:hint="eastAsia"/>
                <w:color w:val="000000"/>
                <w:sz w:val="19"/>
                <w:szCs w:val="19"/>
              </w:rPr>
              <w:t>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720"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rPr>
            </w:pPr>
          </w:p>
        </w:tc>
        <w:tc>
          <w:tcPr>
            <w:tcW w:w="216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营养资金的按时到位率</w:t>
            </w:r>
          </w:p>
        </w:tc>
        <w:tc>
          <w:tcPr>
            <w:tcW w:w="1305"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w:t>
            </w:r>
          </w:p>
        </w:tc>
        <w:tc>
          <w:tcPr>
            <w:tcW w:w="66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10</w:t>
            </w:r>
          </w:p>
        </w:tc>
        <w:tc>
          <w:tcPr>
            <w:tcW w:w="1095" w:type="dxa"/>
            <w:tcBorders>
              <w:top w:val="nil"/>
              <w:left w:val="nil"/>
              <w:bottom w:val="single" w:color="auto" w:sz="6" w:space="0"/>
              <w:right w:val="nil"/>
            </w:tcBorders>
            <w:noWrap w:val="0"/>
            <w:tcMar>
              <w:left w:w="105" w:type="dxa"/>
              <w:right w:w="105" w:type="dxa"/>
            </w:tcMar>
            <w:vAlign w:val="center"/>
          </w:tcPr>
          <w:p>
            <w:pPr>
              <w:pStyle w:val="6"/>
              <w:jc w:val="center"/>
            </w:pPr>
            <w:r>
              <w:rPr>
                <w:rFonts w:hint="eastAsia"/>
                <w:color w:val="000000"/>
                <w:sz w:val="19"/>
                <w:szCs w:val="19"/>
              </w:rPr>
              <w:t>100</w:t>
            </w:r>
          </w:p>
        </w:tc>
        <w:tc>
          <w:tcPr>
            <w:tcW w:w="1095" w:type="dxa"/>
            <w:tcBorders>
              <w:top w:val="nil"/>
              <w:left w:val="single" w:color="auto" w:sz="6" w:space="0"/>
              <w:bottom w:val="single" w:color="auto" w:sz="6" w:space="0"/>
              <w:right w:val="nil"/>
            </w:tcBorders>
            <w:noWrap w:val="0"/>
            <w:tcMar>
              <w:left w:w="105" w:type="dxa"/>
              <w:right w:w="105" w:type="dxa"/>
            </w:tcMar>
            <w:vAlign w:val="center"/>
          </w:tcPr>
          <w:p>
            <w:pPr>
              <w:pStyle w:val="6"/>
              <w:jc w:val="center"/>
            </w:pPr>
            <w:r>
              <w:rPr>
                <w:rFonts w:hint="eastAsia"/>
                <w:color w:val="000000"/>
                <w:sz w:val="19"/>
                <w:szCs w:val="19"/>
              </w:rPr>
              <w:t>95</w:t>
            </w:r>
          </w:p>
        </w:tc>
        <w:tc>
          <w:tcPr>
            <w:tcW w:w="114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95</w:t>
            </w:r>
          </w:p>
        </w:tc>
        <w:tc>
          <w:tcPr>
            <w:tcW w:w="660" w:type="dxa"/>
            <w:tcBorders>
              <w:top w:val="single" w:color="auto" w:sz="6" w:space="0"/>
              <w:left w:val="nil"/>
              <w:bottom w:val="nil"/>
              <w:right w:val="single" w:color="auto" w:sz="6" w:space="0"/>
            </w:tcBorders>
            <w:noWrap w:val="0"/>
            <w:tcMar>
              <w:left w:w="105" w:type="dxa"/>
              <w:right w:w="105" w:type="dxa"/>
            </w:tcMar>
            <w:vAlign w:val="center"/>
          </w:tcPr>
          <w:p>
            <w:pPr>
              <w:pStyle w:val="6"/>
              <w:jc w:val="center"/>
            </w:pPr>
            <w:r>
              <w:rPr>
                <w:rFonts w:hint="eastAsia"/>
                <w:color w:val="000000"/>
                <w:sz w:val="19"/>
                <w:szCs w:val="19"/>
              </w:rPr>
              <w:t>9.5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rPr>
            </w:pPr>
          </w:p>
        </w:tc>
        <w:tc>
          <w:tcPr>
            <w:tcW w:w="216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营养午餐标准</w:t>
            </w:r>
          </w:p>
        </w:tc>
        <w:tc>
          <w:tcPr>
            <w:tcW w:w="1305"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元</w:t>
            </w:r>
            <w:r>
              <w:rPr>
                <w:rFonts w:ascii="Times New Roman" w:hAnsi="Times New Roman" w:cs="Times New Roman"/>
                <w:color w:val="000000"/>
                <w:sz w:val="19"/>
                <w:szCs w:val="19"/>
              </w:rPr>
              <w:t>/</w:t>
            </w:r>
            <w:r>
              <w:rPr>
                <w:rFonts w:hint="eastAsia"/>
                <w:color w:val="000000"/>
                <w:sz w:val="19"/>
                <w:szCs w:val="19"/>
              </w:rPr>
              <w:t>天</w:t>
            </w:r>
          </w:p>
        </w:tc>
        <w:tc>
          <w:tcPr>
            <w:tcW w:w="66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10</w:t>
            </w:r>
          </w:p>
        </w:tc>
        <w:tc>
          <w:tcPr>
            <w:tcW w:w="1095" w:type="dxa"/>
            <w:tcBorders>
              <w:top w:val="nil"/>
              <w:left w:val="nil"/>
              <w:bottom w:val="single" w:color="auto" w:sz="6" w:space="0"/>
              <w:right w:val="nil"/>
            </w:tcBorders>
            <w:noWrap w:val="0"/>
            <w:tcMar>
              <w:left w:w="105" w:type="dxa"/>
              <w:right w:w="105" w:type="dxa"/>
            </w:tcMar>
            <w:vAlign w:val="center"/>
          </w:tcPr>
          <w:p>
            <w:pPr>
              <w:pStyle w:val="6"/>
              <w:jc w:val="center"/>
            </w:pPr>
            <w:r>
              <w:rPr>
                <w:rFonts w:hint="eastAsia"/>
                <w:color w:val="000000"/>
                <w:sz w:val="19"/>
                <w:szCs w:val="19"/>
              </w:rPr>
              <w:t>4</w:t>
            </w:r>
          </w:p>
        </w:tc>
        <w:tc>
          <w:tcPr>
            <w:tcW w:w="1095" w:type="dxa"/>
            <w:tcBorders>
              <w:top w:val="nil"/>
              <w:left w:val="single" w:color="auto" w:sz="6" w:space="0"/>
              <w:bottom w:val="single" w:color="auto" w:sz="6" w:space="0"/>
              <w:right w:val="nil"/>
            </w:tcBorders>
            <w:noWrap w:val="0"/>
            <w:tcMar>
              <w:left w:w="105" w:type="dxa"/>
              <w:right w:w="105" w:type="dxa"/>
            </w:tcMar>
            <w:vAlign w:val="center"/>
          </w:tcPr>
          <w:p>
            <w:pPr>
              <w:pStyle w:val="6"/>
              <w:jc w:val="center"/>
            </w:pPr>
            <w:r>
              <w:rPr>
                <w:rFonts w:hint="eastAsia"/>
                <w:color w:val="000000"/>
                <w:sz w:val="19"/>
                <w:szCs w:val="19"/>
              </w:rPr>
              <w:t>4</w:t>
            </w:r>
          </w:p>
        </w:tc>
        <w:tc>
          <w:tcPr>
            <w:tcW w:w="114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100</w:t>
            </w:r>
          </w:p>
        </w:tc>
        <w:tc>
          <w:tcPr>
            <w:tcW w:w="660"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720"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rPr>
            </w:pPr>
          </w:p>
        </w:tc>
        <w:tc>
          <w:tcPr>
            <w:tcW w:w="216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营养不良检出率</w:t>
            </w:r>
          </w:p>
        </w:tc>
        <w:tc>
          <w:tcPr>
            <w:tcW w:w="1305"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w:t>
            </w:r>
          </w:p>
        </w:tc>
        <w:tc>
          <w:tcPr>
            <w:tcW w:w="66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30</w:t>
            </w:r>
          </w:p>
        </w:tc>
        <w:tc>
          <w:tcPr>
            <w:tcW w:w="1095" w:type="dxa"/>
            <w:tcBorders>
              <w:top w:val="nil"/>
              <w:left w:val="nil"/>
              <w:bottom w:val="single" w:color="auto" w:sz="6" w:space="0"/>
              <w:right w:val="nil"/>
            </w:tcBorders>
            <w:noWrap w:val="0"/>
            <w:tcMar>
              <w:left w:w="105" w:type="dxa"/>
              <w:right w:w="105" w:type="dxa"/>
            </w:tcMar>
            <w:vAlign w:val="center"/>
          </w:tcPr>
          <w:p>
            <w:pPr>
              <w:pStyle w:val="6"/>
              <w:jc w:val="center"/>
            </w:pPr>
            <w:r>
              <w:rPr>
                <w:rFonts w:hint="eastAsia"/>
                <w:color w:val="000000"/>
                <w:sz w:val="19"/>
                <w:szCs w:val="19"/>
              </w:rPr>
              <w:t>低于全市平均</w:t>
            </w:r>
          </w:p>
        </w:tc>
        <w:tc>
          <w:tcPr>
            <w:tcW w:w="1095" w:type="dxa"/>
            <w:tcBorders>
              <w:top w:val="nil"/>
              <w:left w:val="single" w:color="auto" w:sz="6" w:space="0"/>
              <w:bottom w:val="single" w:color="auto" w:sz="6" w:space="0"/>
              <w:right w:val="nil"/>
            </w:tcBorders>
            <w:noWrap w:val="0"/>
            <w:tcMar>
              <w:left w:w="105" w:type="dxa"/>
              <w:right w:w="105" w:type="dxa"/>
            </w:tcMar>
            <w:vAlign w:val="center"/>
          </w:tcPr>
          <w:p>
            <w:pPr>
              <w:pStyle w:val="6"/>
              <w:jc w:val="center"/>
              <w:rPr>
                <w:sz w:val="19"/>
                <w:szCs w:val="19"/>
              </w:rPr>
            </w:pPr>
            <w:r>
              <w:rPr>
                <w:rFonts w:hint="eastAsia"/>
                <w:color w:val="000000"/>
                <w:sz w:val="19"/>
                <w:szCs w:val="19"/>
              </w:rPr>
              <w:t>低于全市平均</w:t>
            </w:r>
          </w:p>
        </w:tc>
        <w:tc>
          <w:tcPr>
            <w:tcW w:w="114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100</w:t>
            </w:r>
          </w:p>
        </w:tc>
        <w:tc>
          <w:tcPr>
            <w:tcW w:w="66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30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720"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rPr>
            </w:pPr>
          </w:p>
        </w:tc>
        <w:tc>
          <w:tcPr>
            <w:tcW w:w="216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学校满意率</w:t>
            </w:r>
          </w:p>
        </w:tc>
        <w:tc>
          <w:tcPr>
            <w:tcW w:w="1305"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百分比</w:t>
            </w:r>
          </w:p>
        </w:tc>
        <w:tc>
          <w:tcPr>
            <w:tcW w:w="66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5</w:t>
            </w:r>
          </w:p>
        </w:tc>
        <w:tc>
          <w:tcPr>
            <w:tcW w:w="1095" w:type="dxa"/>
            <w:tcBorders>
              <w:top w:val="nil"/>
              <w:left w:val="nil"/>
              <w:bottom w:val="single" w:color="auto" w:sz="6" w:space="0"/>
              <w:right w:val="nil"/>
            </w:tcBorders>
            <w:noWrap w:val="0"/>
            <w:tcMar>
              <w:left w:w="105" w:type="dxa"/>
              <w:right w:w="105" w:type="dxa"/>
            </w:tcMar>
            <w:vAlign w:val="center"/>
          </w:tcPr>
          <w:p>
            <w:pPr>
              <w:pStyle w:val="6"/>
              <w:jc w:val="center"/>
            </w:pPr>
            <w:r>
              <w:rPr>
                <w:rFonts w:hint="eastAsia"/>
                <w:color w:val="000000"/>
                <w:sz w:val="19"/>
                <w:szCs w:val="19"/>
              </w:rPr>
              <w:t>95</w:t>
            </w:r>
          </w:p>
        </w:tc>
        <w:tc>
          <w:tcPr>
            <w:tcW w:w="1095" w:type="dxa"/>
            <w:tcBorders>
              <w:top w:val="nil"/>
              <w:left w:val="single" w:color="auto" w:sz="6" w:space="0"/>
              <w:bottom w:val="single" w:color="auto" w:sz="6" w:space="0"/>
              <w:right w:val="nil"/>
            </w:tcBorders>
            <w:noWrap w:val="0"/>
            <w:tcMar>
              <w:left w:w="105" w:type="dxa"/>
              <w:right w:w="105" w:type="dxa"/>
            </w:tcMar>
            <w:vAlign w:val="center"/>
          </w:tcPr>
          <w:p>
            <w:pPr>
              <w:pStyle w:val="6"/>
              <w:jc w:val="center"/>
            </w:pPr>
            <w:r>
              <w:rPr>
                <w:rFonts w:hint="eastAsia"/>
                <w:color w:val="000000"/>
                <w:sz w:val="19"/>
                <w:szCs w:val="19"/>
              </w:rPr>
              <w:t>95</w:t>
            </w:r>
          </w:p>
        </w:tc>
        <w:tc>
          <w:tcPr>
            <w:tcW w:w="114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100</w:t>
            </w:r>
          </w:p>
        </w:tc>
        <w:tc>
          <w:tcPr>
            <w:tcW w:w="66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720"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rPr>
            </w:pPr>
          </w:p>
        </w:tc>
        <w:tc>
          <w:tcPr>
            <w:tcW w:w="216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学生满意率</w:t>
            </w:r>
          </w:p>
        </w:tc>
        <w:tc>
          <w:tcPr>
            <w:tcW w:w="1305"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百分比</w:t>
            </w:r>
          </w:p>
        </w:tc>
        <w:tc>
          <w:tcPr>
            <w:tcW w:w="66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5</w:t>
            </w:r>
          </w:p>
        </w:tc>
        <w:tc>
          <w:tcPr>
            <w:tcW w:w="1095" w:type="dxa"/>
            <w:tcBorders>
              <w:top w:val="nil"/>
              <w:left w:val="nil"/>
              <w:bottom w:val="single" w:color="auto" w:sz="6" w:space="0"/>
              <w:right w:val="nil"/>
            </w:tcBorders>
            <w:noWrap w:val="0"/>
            <w:tcMar>
              <w:left w:w="105" w:type="dxa"/>
              <w:right w:w="105" w:type="dxa"/>
            </w:tcMar>
            <w:vAlign w:val="center"/>
          </w:tcPr>
          <w:p>
            <w:pPr>
              <w:pStyle w:val="6"/>
              <w:jc w:val="center"/>
            </w:pPr>
            <w:r>
              <w:rPr>
                <w:rFonts w:hint="eastAsia"/>
                <w:color w:val="000000"/>
                <w:sz w:val="19"/>
                <w:szCs w:val="19"/>
              </w:rPr>
              <w:t>95</w:t>
            </w:r>
          </w:p>
        </w:tc>
        <w:tc>
          <w:tcPr>
            <w:tcW w:w="1095" w:type="dxa"/>
            <w:tcBorders>
              <w:top w:val="nil"/>
              <w:left w:val="single" w:color="auto" w:sz="6" w:space="0"/>
              <w:bottom w:val="single" w:color="auto" w:sz="6" w:space="0"/>
              <w:right w:val="nil"/>
            </w:tcBorders>
            <w:noWrap w:val="0"/>
            <w:tcMar>
              <w:left w:w="105" w:type="dxa"/>
              <w:right w:w="105" w:type="dxa"/>
            </w:tcMar>
            <w:vAlign w:val="center"/>
          </w:tcPr>
          <w:p>
            <w:pPr>
              <w:pStyle w:val="6"/>
              <w:jc w:val="center"/>
            </w:pPr>
            <w:r>
              <w:rPr>
                <w:rFonts w:hint="eastAsia"/>
                <w:color w:val="000000"/>
                <w:sz w:val="19"/>
                <w:szCs w:val="19"/>
              </w:rPr>
              <w:t>95</w:t>
            </w:r>
          </w:p>
        </w:tc>
        <w:tc>
          <w:tcPr>
            <w:tcW w:w="114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100</w:t>
            </w:r>
          </w:p>
        </w:tc>
        <w:tc>
          <w:tcPr>
            <w:tcW w:w="66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color w:val="000000"/>
                <w:sz w:val="19"/>
                <w:szCs w:val="19"/>
              </w:rPr>
              <w:t>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45" w:hRule="atLeast"/>
          <w:jc w:val="center"/>
        </w:trPr>
        <w:tc>
          <w:tcPr>
            <w:tcW w:w="720" w:type="dxa"/>
            <w:tcBorders>
              <w:top w:val="nil"/>
              <w:left w:val="single" w:color="auto" w:sz="6" w:space="0"/>
              <w:bottom w:val="single" w:color="auto" w:sz="6" w:space="0"/>
              <w:right w:val="single" w:color="auto" w:sz="6" w:space="0"/>
            </w:tcBorders>
            <w:noWrap w:val="0"/>
            <w:tcMar>
              <w:top w:w="15" w:type="dxa"/>
              <w:left w:w="15" w:type="dxa"/>
              <w:right w:w="15" w:type="dxa"/>
            </w:tcMar>
            <w:vAlign w:val="center"/>
          </w:tcPr>
          <w:p>
            <w:pPr>
              <w:pStyle w:val="6"/>
              <w:jc w:val="center"/>
              <w:textAlignment w:val="center"/>
            </w:pPr>
            <w:r>
              <w:rPr>
                <w:rFonts w:hint="eastAsia"/>
                <w:color w:val="000000"/>
                <w:sz w:val="18"/>
                <w:szCs w:val="18"/>
              </w:rPr>
              <w:t>未完成绩效目标或偏离较多的原因、改进措施及其他说明</w:t>
            </w:r>
          </w:p>
        </w:tc>
        <w:tc>
          <w:tcPr>
            <w:tcW w:w="8115" w:type="dxa"/>
            <w:gridSpan w:val="7"/>
            <w:tcBorders>
              <w:top w:val="nil"/>
              <w:left w:val="nil"/>
              <w:bottom w:val="single" w:color="auto" w:sz="6" w:space="0"/>
              <w:right w:val="single" w:color="auto" w:sz="6" w:space="0"/>
            </w:tcBorders>
            <w:noWrap w:val="0"/>
            <w:tcMar>
              <w:top w:w="15" w:type="dxa"/>
              <w:left w:w="15" w:type="dxa"/>
              <w:right w:w="15" w:type="dxa"/>
            </w:tcMar>
            <w:vAlign w:val="center"/>
          </w:tcPr>
          <w:p>
            <w:pPr>
              <w:widowControl/>
              <w:jc w:val="left"/>
            </w:pPr>
          </w:p>
        </w:tc>
      </w:tr>
    </w:tbl>
    <w:p>
      <w:pPr>
        <w:pStyle w:val="6"/>
        <w:autoSpaceDE w:val="0"/>
        <w:spacing w:before="0" w:beforeAutospacing="0" w:after="0" w:afterAutospacing="0" w:line="600" w:lineRule="atLeast"/>
        <w:ind w:firstLine="645"/>
        <w:jc w:val="both"/>
      </w:pPr>
      <w:r>
        <w:rPr>
          <w:rFonts w:hint="eastAsia" w:ascii="方正仿宋_GBK" w:hAnsi="方正仿宋_GBK" w:eastAsia="方正仿宋_GBK" w:cs="方正仿宋_GBK"/>
          <w:sz w:val="31"/>
          <w:szCs w:val="31"/>
        </w:rPr>
        <w:t>2020 年农村义务教育学生营养改善计划资金项目绩效目标自评综述：根据年初设定的绩效目标，改善全区约15,000人次边远学生营养状况，增加午餐营养，提高学 生身体素质，降低营养不良检出率，营养不良率低于全市平均水平，同时保障约54所学校食堂正常运转，改善就餐环境，促进中小学生身体健康发展，营养改善计 划的实施，让社会充分肯定。项目全年预算数为938万元，执行数为928万元，支付率为98.93%。主要产出和效果：一是投入485万资金改善全区边远 学校15,122名学生午餐，增加午餐营养，降低营养不良检出率，二是投入453万元解决45所学校食堂运行困难、改善9所学校学生就餐环境。</w:t>
      </w:r>
    </w:p>
    <w:p>
      <w:pPr>
        <w:pStyle w:val="6"/>
        <w:autoSpaceDE w:val="0"/>
        <w:spacing w:before="0" w:beforeAutospacing="0" w:after="0" w:afterAutospacing="0" w:line="600" w:lineRule="atLeast"/>
        <w:ind w:firstLine="645"/>
        <w:jc w:val="both"/>
      </w:pPr>
      <w:r>
        <w:rPr>
          <w:rStyle w:val="10"/>
          <w:rFonts w:hint="eastAsia" w:ascii="方正楷体_GBK" w:hAnsi="方正楷体_GBK" w:eastAsia="方正楷体_GBK" w:cs="方正楷体_GBK"/>
          <w:sz w:val="31"/>
          <w:szCs w:val="31"/>
        </w:rPr>
        <w:t>（三）重点绩效评价结果</w:t>
      </w:r>
    </w:p>
    <w:p>
      <w:pPr>
        <w:pStyle w:val="6"/>
        <w:autoSpaceDE w:val="0"/>
        <w:spacing w:before="0" w:beforeAutospacing="0" w:after="0" w:afterAutospacing="0" w:line="600" w:lineRule="atLeast"/>
        <w:ind w:firstLine="645"/>
        <w:jc w:val="both"/>
      </w:pPr>
      <w:r>
        <w:rPr>
          <w:rFonts w:hint="eastAsia" w:ascii="方正仿宋_GBK" w:hAnsi="方正仿宋_GBK" w:eastAsia="方正仿宋_GBK" w:cs="方正仿宋_GBK"/>
          <w:sz w:val="31"/>
          <w:szCs w:val="31"/>
        </w:rPr>
        <w:t>2019年义务教育薄弱环节改善与能力提升纳入区财政局重点绩效评价。</w:t>
      </w:r>
    </w:p>
    <w:p>
      <w:pPr>
        <w:pStyle w:val="6"/>
        <w:autoSpaceDE w:val="0"/>
        <w:spacing w:before="0" w:beforeAutospacing="0" w:after="0" w:afterAutospacing="0" w:line="600" w:lineRule="atLeast"/>
        <w:ind w:firstLine="645"/>
        <w:jc w:val="both"/>
      </w:pPr>
      <w:r>
        <w:rPr>
          <w:rFonts w:hint="eastAsia" w:ascii="方正仿宋_GBK" w:hAnsi="方正仿宋_GBK" w:eastAsia="方正仿宋_GBK" w:cs="方正仿宋_GBK"/>
          <w:sz w:val="31"/>
          <w:szCs w:val="31"/>
        </w:rPr>
        <w:t>项目概况：本项目涉及43个建设类子项目，7个设备购置子项目。主要建设内容为校舍新建，校园围墙修建，“校中村”治理，学校维修改造，厕所改造，教学多媒体设备购置和生活设备购置等。</w:t>
      </w:r>
    </w:p>
    <w:p>
      <w:pPr>
        <w:pStyle w:val="6"/>
        <w:autoSpaceDE w:val="0"/>
        <w:spacing w:before="0" w:beforeAutospacing="0" w:after="0" w:afterAutospacing="0" w:line="600" w:lineRule="atLeast"/>
        <w:ind w:firstLine="645"/>
        <w:jc w:val="both"/>
      </w:pPr>
      <w:r>
        <w:rPr>
          <w:rFonts w:hint="eastAsia" w:ascii="方正仿宋_GBK" w:hAnsi="方正仿宋_GBK" w:eastAsia="方正仿宋_GBK" w:cs="方正仿宋_GBK"/>
          <w:sz w:val="31"/>
          <w:szCs w:val="31"/>
        </w:rPr>
        <w:t>项目资金预算情况：纳入本次绩效评价的该项目年度资金预算金额共2,356.00万元，其中中央资金1,743.00万元，市级资金613.00万元，资金到位率100%。</w:t>
      </w:r>
    </w:p>
    <w:p>
      <w:pPr>
        <w:pStyle w:val="6"/>
        <w:autoSpaceDE w:val="0"/>
        <w:spacing w:before="0" w:beforeAutospacing="0" w:after="0" w:afterAutospacing="0" w:line="600" w:lineRule="atLeast"/>
        <w:ind w:firstLine="645"/>
        <w:jc w:val="both"/>
      </w:pPr>
      <w:r>
        <w:rPr>
          <w:rFonts w:hint="eastAsia" w:ascii="方正仿宋_GBK" w:hAnsi="方正仿宋_GBK" w:eastAsia="方正仿宋_GBK" w:cs="方正仿宋_GBK"/>
          <w:sz w:val="31"/>
          <w:szCs w:val="31"/>
        </w:rPr>
        <w:t>项目实施单位：重庆市綦江区教育信息技术与装备中心（以下简称“技装中心”）、重庆市綦江区教育管理服务中心（以下简称“服务中心”）、各项目实施学校。</w:t>
      </w:r>
    </w:p>
    <w:p>
      <w:pPr>
        <w:pStyle w:val="6"/>
        <w:autoSpaceDE w:val="0"/>
        <w:spacing w:line="600" w:lineRule="atLeast"/>
        <w:ind w:firstLine="645"/>
      </w:pPr>
      <w:r>
        <w:rPr>
          <w:rFonts w:hint="eastAsia" w:ascii="方正仿宋_GBK" w:hAnsi="方正仿宋_GBK" w:eastAsia="方正仿宋_GBK" w:cs="方正仿宋_GBK"/>
          <w:sz w:val="31"/>
          <w:szCs w:val="31"/>
        </w:rPr>
        <w:t>绩效评分结果</w:t>
      </w:r>
      <w:r>
        <w:rPr>
          <w:rFonts w:ascii="黑体" w:eastAsia="黑体" w:cs="黑体"/>
          <w:sz w:val="30"/>
          <w:szCs w:val="30"/>
          <w:shd w:val="clear" w:color="auto" w:fill="FFFFFF"/>
        </w:rPr>
        <w:t>：</w:t>
      </w:r>
      <w:r>
        <w:rPr>
          <w:rFonts w:ascii="仿宋" w:hAnsi="仿宋" w:eastAsia="仿宋" w:cs="仿宋"/>
          <w:color w:val="000000"/>
          <w:sz w:val="30"/>
          <w:szCs w:val="30"/>
        </w:rPr>
        <w:t>通过综合评价，重庆市綦江区</w:t>
      </w:r>
      <w:r>
        <w:rPr>
          <w:rFonts w:hint="eastAsia" w:ascii="仿宋" w:hAnsi="仿宋" w:eastAsia="仿宋" w:cs="仿宋"/>
          <w:color w:val="000000"/>
          <w:sz w:val="30"/>
          <w:szCs w:val="30"/>
        </w:rPr>
        <w:t>2019年义务教育薄弱环节改善与能力提升项目综合得分为89.3分，评价等级为良。具体评分情况如下：</w:t>
      </w:r>
    </w:p>
    <w:tbl>
      <w:tblPr>
        <w:tblStyle w:val="7"/>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2580"/>
        <w:gridCol w:w="2580"/>
        <w:gridCol w:w="258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58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6"/>
              <w:jc w:val="center"/>
            </w:pPr>
            <w:r>
              <w:rPr>
                <w:rStyle w:val="10"/>
                <w:rFonts w:hint="eastAsia" w:ascii="仿宋" w:hAnsi="仿宋" w:eastAsia="仿宋" w:cs="仿宋"/>
                <w:shd w:val="clear" w:color="auto" w:fill="FFFFFF"/>
              </w:rPr>
              <w:t>一级指标</w:t>
            </w:r>
          </w:p>
        </w:tc>
        <w:tc>
          <w:tcPr>
            <w:tcW w:w="2580"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6"/>
              <w:jc w:val="center"/>
            </w:pPr>
            <w:r>
              <w:rPr>
                <w:rStyle w:val="10"/>
                <w:rFonts w:hint="eastAsia" w:ascii="仿宋" w:hAnsi="仿宋" w:eastAsia="仿宋" w:cs="仿宋"/>
                <w:shd w:val="clear" w:color="auto" w:fill="FFFFFF"/>
              </w:rPr>
              <w:t>标准分值</w:t>
            </w:r>
          </w:p>
        </w:tc>
        <w:tc>
          <w:tcPr>
            <w:tcW w:w="2580"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6"/>
              <w:jc w:val="center"/>
            </w:pPr>
            <w:r>
              <w:rPr>
                <w:rStyle w:val="10"/>
                <w:rFonts w:hint="eastAsia" w:ascii="仿宋" w:hAnsi="仿宋" w:eastAsia="仿宋" w:cs="仿宋"/>
                <w:shd w:val="clear" w:color="auto" w:fill="FFFFFF"/>
              </w:rPr>
              <w:t>评分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58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jc w:val="center"/>
            </w:pPr>
            <w:r>
              <w:rPr>
                <w:rFonts w:hint="eastAsia" w:ascii="仿宋" w:hAnsi="仿宋" w:eastAsia="仿宋" w:cs="仿宋"/>
                <w:shd w:val="clear" w:color="auto" w:fill="FFFFFF"/>
              </w:rPr>
              <w:t>决策</w:t>
            </w:r>
          </w:p>
        </w:tc>
        <w:tc>
          <w:tcPr>
            <w:tcW w:w="258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ascii="仿宋" w:hAnsi="仿宋" w:eastAsia="仿宋" w:cs="仿宋"/>
                <w:shd w:val="clear" w:color="auto" w:fill="FFFFFF"/>
              </w:rPr>
              <w:t>20</w:t>
            </w:r>
          </w:p>
        </w:tc>
        <w:tc>
          <w:tcPr>
            <w:tcW w:w="258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ascii="仿宋" w:hAnsi="仿宋" w:eastAsia="仿宋" w:cs="仿宋"/>
                <w:shd w:val="clear" w:color="auto" w:fill="FFFFFF"/>
              </w:rPr>
              <w:t>16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58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jc w:val="center"/>
            </w:pPr>
            <w:r>
              <w:rPr>
                <w:rFonts w:hint="eastAsia" w:ascii="仿宋" w:hAnsi="仿宋" w:eastAsia="仿宋" w:cs="仿宋"/>
                <w:shd w:val="clear" w:color="auto" w:fill="FFFFFF"/>
              </w:rPr>
              <w:t>过程</w:t>
            </w:r>
          </w:p>
        </w:tc>
        <w:tc>
          <w:tcPr>
            <w:tcW w:w="258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ascii="仿宋" w:hAnsi="仿宋" w:eastAsia="仿宋" w:cs="仿宋"/>
                <w:shd w:val="clear" w:color="auto" w:fill="FFFFFF"/>
              </w:rPr>
              <w:t>20</w:t>
            </w:r>
          </w:p>
        </w:tc>
        <w:tc>
          <w:tcPr>
            <w:tcW w:w="258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ascii="仿宋" w:hAnsi="仿宋" w:eastAsia="仿宋" w:cs="仿宋"/>
                <w:shd w:val="clear" w:color="auto" w:fill="FFFFFF"/>
              </w:rPr>
              <w:t>16.5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58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jc w:val="center"/>
            </w:pPr>
            <w:r>
              <w:rPr>
                <w:rFonts w:hint="eastAsia" w:ascii="仿宋" w:hAnsi="仿宋" w:eastAsia="仿宋" w:cs="仿宋"/>
                <w:shd w:val="clear" w:color="auto" w:fill="FFFFFF"/>
              </w:rPr>
              <w:t>产出</w:t>
            </w:r>
          </w:p>
        </w:tc>
        <w:tc>
          <w:tcPr>
            <w:tcW w:w="258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ascii="仿宋" w:hAnsi="仿宋" w:eastAsia="仿宋" w:cs="仿宋"/>
                <w:shd w:val="clear" w:color="auto" w:fill="FFFFFF"/>
              </w:rPr>
              <w:t>30</w:t>
            </w:r>
          </w:p>
        </w:tc>
        <w:tc>
          <w:tcPr>
            <w:tcW w:w="258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ascii="仿宋" w:hAnsi="仿宋" w:eastAsia="仿宋" w:cs="仿宋"/>
                <w:shd w:val="clear" w:color="auto" w:fill="FFFFFF"/>
              </w:rPr>
              <w:t>26.8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58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jc w:val="center"/>
            </w:pPr>
            <w:r>
              <w:rPr>
                <w:rFonts w:hint="eastAsia" w:ascii="仿宋" w:hAnsi="仿宋" w:eastAsia="仿宋" w:cs="仿宋"/>
                <w:shd w:val="clear" w:color="auto" w:fill="FFFFFF"/>
              </w:rPr>
              <w:t>效益</w:t>
            </w:r>
          </w:p>
        </w:tc>
        <w:tc>
          <w:tcPr>
            <w:tcW w:w="258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ascii="仿宋" w:hAnsi="仿宋" w:eastAsia="仿宋" w:cs="仿宋"/>
                <w:shd w:val="clear" w:color="auto" w:fill="FFFFFF"/>
              </w:rPr>
              <w:t>30</w:t>
            </w:r>
          </w:p>
        </w:tc>
        <w:tc>
          <w:tcPr>
            <w:tcW w:w="258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Fonts w:hint="eastAsia" w:ascii="仿宋" w:hAnsi="仿宋" w:eastAsia="仿宋" w:cs="仿宋"/>
                <w:shd w:val="clear" w:color="auto" w:fill="FFFFFF"/>
              </w:rPr>
              <w:t>30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58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6"/>
              <w:jc w:val="center"/>
            </w:pPr>
            <w:r>
              <w:rPr>
                <w:rStyle w:val="10"/>
                <w:rFonts w:hint="eastAsia" w:ascii="仿宋" w:hAnsi="仿宋" w:eastAsia="仿宋" w:cs="仿宋"/>
                <w:shd w:val="clear" w:color="auto" w:fill="FFFFFF"/>
              </w:rPr>
              <w:t>小计</w:t>
            </w:r>
          </w:p>
        </w:tc>
        <w:tc>
          <w:tcPr>
            <w:tcW w:w="258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Style w:val="10"/>
                <w:rFonts w:hint="eastAsia" w:ascii="仿宋" w:hAnsi="仿宋" w:eastAsia="仿宋" w:cs="仿宋"/>
                <w:shd w:val="clear" w:color="auto" w:fill="FFFFFF"/>
              </w:rPr>
              <w:t>100</w:t>
            </w:r>
          </w:p>
        </w:tc>
        <w:tc>
          <w:tcPr>
            <w:tcW w:w="2580" w:type="dxa"/>
            <w:tcBorders>
              <w:top w:val="nil"/>
              <w:left w:val="nil"/>
              <w:bottom w:val="single" w:color="auto" w:sz="6" w:space="0"/>
              <w:right w:val="single" w:color="auto" w:sz="6" w:space="0"/>
            </w:tcBorders>
            <w:noWrap w:val="0"/>
            <w:tcMar>
              <w:left w:w="105" w:type="dxa"/>
              <w:right w:w="105" w:type="dxa"/>
            </w:tcMar>
            <w:vAlign w:val="center"/>
          </w:tcPr>
          <w:p>
            <w:pPr>
              <w:pStyle w:val="6"/>
              <w:jc w:val="center"/>
            </w:pPr>
            <w:r>
              <w:rPr>
                <w:rStyle w:val="10"/>
                <w:rFonts w:hint="eastAsia" w:ascii="仿宋" w:hAnsi="仿宋" w:eastAsia="仿宋" w:cs="仿宋"/>
                <w:shd w:val="clear" w:color="auto" w:fill="FFFFFF"/>
              </w:rPr>
              <w:t>89.3</w:t>
            </w:r>
          </w:p>
        </w:tc>
      </w:tr>
    </w:tbl>
    <w:p>
      <w:pPr>
        <w:pStyle w:val="6"/>
        <w:autoSpaceDE w:val="0"/>
        <w:spacing w:line="600" w:lineRule="atLeast"/>
        <w:ind w:firstLine="600"/>
      </w:pPr>
      <w:r>
        <w:rPr>
          <w:rFonts w:hint="eastAsia" w:ascii="仿宋" w:hAnsi="仿宋" w:eastAsia="仿宋" w:cs="仿宋"/>
          <w:color w:val="000000"/>
          <w:sz w:val="30"/>
          <w:szCs w:val="30"/>
        </w:rPr>
        <w:t>重庆市綦江区2019年义务教育薄弱环节改善与能力提升项目的实施缩短了城乡教育之间的差距，均衡了教育资源，提高学校现代化教育水平及教育质量，</w:t>
      </w:r>
      <w:r>
        <w:rPr>
          <w:rFonts w:hint="eastAsia" w:ascii="仿宋" w:hAnsi="仿宋" w:eastAsia="仿宋" w:cs="仿宋"/>
          <w:sz w:val="30"/>
          <w:szCs w:val="30"/>
        </w:rPr>
        <w:t>同时“校中村”治理加强了校区安全能力建设。在项目管理过程中，相关部门注重过程管理，及时制定相关制度，提高了资金使用效益。但也存在以下问题和不</w:t>
      </w:r>
      <w:r>
        <w:rPr>
          <w:rFonts w:hint="eastAsia" w:ascii="仿宋" w:hAnsi="仿宋" w:eastAsia="仿宋" w:cs="仿宋"/>
          <w:color w:val="000000"/>
          <w:sz w:val="30"/>
          <w:szCs w:val="30"/>
        </w:rPr>
        <w:t>足，包括：项目未设置绩效目标；部分项目质量保证金未按合同约定方式扣留；部分项目未按规定执行招投标程序；部分项目结算不及时；部分项目建成后未投入使用，暂未产生效益等问题，需进一步加强及改善。</w:t>
      </w:r>
    </w:p>
    <w:p>
      <w:pPr>
        <w:pStyle w:val="6"/>
        <w:autoSpaceDE w:val="0"/>
        <w:spacing w:before="0" w:beforeAutospacing="0" w:after="0" w:afterAutospacing="0" w:line="600" w:lineRule="atLeast"/>
        <w:ind w:firstLine="600"/>
        <w:jc w:val="both"/>
      </w:pPr>
      <w:r>
        <w:rPr>
          <w:rFonts w:hint="eastAsia" w:ascii="方正黑体_GBK" w:hAnsi="方正黑体_GBK" w:eastAsia="方正黑体_GBK" w:cs="方正黑体_GBK"/>
          <w:sz w:val="30"/>
          <w:szCs w:val="30"/>
        </w:rPr>
        <w:t>  </w:t>
      </w:r>
      <w:r>
        <w:rPr>
          <w:rFonts w:hint="eastAsia" w:ascii="方正黑体_GBK" w:hAnsi="方正黑体_GBK" w:eastAsia="方正黑体_GBK" w:cs="方正黑体_GBK"/>
          <w:sz w:val="31"/>
          <w:szCs w:val="31"/>
        </w:rPr>
        <w:t>六、专业名词解释</w:t>
      </w:r>
    </w:p>
    <w:p>
      <w:pPr>
        <w:pStyle w:val="6"/>
        <w:autoSpaceDE w:val="0"/>
        <w:spacing w:before="0" w:beforeAutospacing="0" w:after="0" w:afterAutospacing="0" w:line="600" w:lineRule="atLeast"/>
        <w:ind w:firstLine="645"/>
        <w:jc w:val="both"/>
      </w:pPr>
      <w:r>
        <w:rPr>
          <w:rStyle w:val="10"/>
          <w:rFonts w:hint="eastAsia" w:ascii="方正仿宋_GBK" w:hAnsi="方正仿宋_GBK" w:eastAsia="方正仿宋_GBK" w:cs="方正仿宋_GBK"/>
          <w:sz w:val="31"/>
          <w:szCs w:val="31"/>
        </w:rPr>
        <w:t>（一）财政拨款收入</w:t>
      </w:r>
      <w:r>
        <w:rPr>
          <w:rFonts w:hint="eastAsia" w:ascii="方正仿宋_GBK" w:hAnsi="方正仿宋_GBK" w:eastAsia="方正仿宋_GBK" w:cs="方正仿宋_GBK"/>
          <w:sz w:val="31"/>
          <w:szCs w:val="31"/>
        </w:rPr>
        <w:t>：指本年度从本级财政部门取得的财政拨款，包括一般公共预算财政拨款和政府性基金预算财政拨款。</w:t>
      </w:r>
    </w:p>
    <w:p>
      <w:pPr>
        <w:pStyle w:val="6"/>
        <w:autoSpaceDE w:val="0"/>
        <w:spacing w:before="0" w:beforeAutospacing="0" w:after="0" w:afterAutospacing="0" w:line="600" w:lineRule="atLeast"/>
        <w:ind w:firstLine="645"/>
        <w:jc w:val="both"/>
      </w:pPr>
      <w:r>
        <w:rPr>
          <w:rStyle w:val="10"/>
          <w:rFonts w:hint="eastAsia" w:ascii="方正仿宋_GBK" w:hAnsi="方正仿宋_GBK" w:eastAsia="方正仿宋_GBK" w:cs="方正仿宋_GBK"/>
          <w:sz w:val="31"/>
          <w:szCs w:val="31"/>
        </w:rPr>
        <w:t>（二）事业收入</w:t>
      </w:r>
      <w:r>
        <w:rPr>
          <w:rFonts w:hint="eastAsia" w:ascii="方正仿宋_GBK" w:hAnsi="方正仿宋_GBK" w:eastAsia="方正仿宋_GBK" w:cs="方正仿宋_GBK"/>
          <w:sz w:val="31"/>
          <w:szCs w:val="31"/>
        </w:rPr>
        <w:t>：指事业单位开展专业业务活动及其辅助活动取得的现金流入；事业单位收到的财政专户实际核拨的教育收费等资金在此反映。</w:t>
      </w:r>
    </w:p>
    <w:p>
      <w:pPr>
        <w:pStyle w:val="6"/>
        <w:autoSpaceDE w:val="0"/>
        <w:spacing w:before="0" w:beforeAutospacing="0" w:after="0" w:afterAutospacing="0" w:line="600" w:lineRule="atLeast"/>
        <w:ind w:firstLine="645"/>
        <w:jc w:val="both"/>
      </w:pPr>
      <w:r>
        <w:rPr>
          <w:rStyle w:val="10"/>
          <w:rFonts w:hint="eastAsia" w:ascii="方正仿宋_GBK" w:hAnsi="方正仿宋_GBK" w:eastAsia="方正仿宋_GBK" w:cs="方正仿宋_GBK"/>
          <w:sz w:val="31"/>
          <w:szCs w:val="31"/>
        </w:rPr>
        <w:t>（三）经营收入</w:t>
      </w:r>
      <w:r>
        <w:rPr>
          <w:rFonts w:hint="eastAsia" w:ascii="方正仿宋_GBK" w:hAnsi="方正仿宋_GBK" w:eastAsia="方正仿宋_GBK" w:cs="方正仿宋_GBK"/>
          <w:sz w:val="31"/>
          <w:szCs w:val="31"/>
        </w:rPr>
        <w:t>：指事业单位在专业业务活动及其辅助活动之外开展非独立核算经营活动取得的现金流入。</w:t>
      </w:r>
    </w:p>
    <w:p>
      <w:pPr>
        <w:pStyle w:val="6"/>
        <w:autoSpaceDE w:val="0"/>
        <w:spacing w:before="0" w:beforeAutospacing="0" w:after="0" w:afterAutospacing="0" w:line="600" w:lineRule="atLeast"/>
        <w:ind w:firstLine="645"/>
        <w:jc w:val="both"/>
      </w:pPr>
      <w:r>
        <w:rPr>
          <w:rStyle w:val="10"/>
          <w:rFonts w:hint="eastAsia" w:ascii="方正仿宋_GBK" w:hAnsi="方正仿宋_GBK" w:eastAsia="方正仿宋_GBK" w:cs="方正仿宋_GBK"/>
          <w:sz w:val="31"/>
          <w:szCs w:val="31"/>
        </w:rPr>
        <w:t>（四）其他收入</w:t>
      </w:r>
      <w:r>
        <w:rPr>
          <w:rFonts w:hint="eastAsia" w:ascii="方正仿宋_GBK" w:hAnsi="方正仿宋_GBK" w:eastAsia="方正仿宋_GBK" w:cs="方正仿宋_GBK"/>
          <w:sz w:val="31"/>
          <w:szCs w:val="31"/>
        </w:rPr>
        <w:t>：指单位取得的除“财 政拨款收入”、“事业收入”、“经营收入”等以外的收入，包括未纳入财政预算或财政专户管理的投资收益、银行存款利息收入、租金收入、捐赠收入，现金盘盈 收入、存货盘盈收入、收回已核销的应收及预付款项、无法偿付的应付及预收款项等。各单位从本级财政部门以外的同级单位取得的经费、从非本级财政部门取得的 经费，以及行政单位收到的财政专户管理资金反映在本项内。</w:t>
      </w:r>
    </w:p>
    <w:p>
      <w:pPr>
        <w:pStyle w:val="6"/>
        <w:autoSpaceDE w:val="0"/>
        <w:spacing w:before="0" w:beforeAutospacing="0" w:after="0" w:afterAutospacing="0" w:line="600" w:lineRule="atLeast"/>
        <w:ind w:firstLine="645"/>
        <w:jc w:val="both"/>
      </w:pPr>
      <w:r>
        <w:rPr>
          <w:rStyle w:val="10"/>
          <w:rFonts w:hint="eastAsia" w:ascii="方正仿宋_GBK" w:hAnsi="方正仿宋_GBK" w:eastAsia="方正仿宋_GBK" w:cs="方正仿宋_GBK"/>
          <w:sz w:val="31"/>
          <w:szCs w:val="31"/>
        </w:rPr>
        <w:t>（五）用事业基金弥补收支差额</w:t>
      </w:r>
      <w:r>
        <w:rPr>
          <w:rFonts w:hint="eastAsia" w:ascii="方正仿宋_GBK" w:hAnsi="方正仿宋_GBK" w:eastAsia="方正仿宋_GBK" w:cs="方正仿宋_GBK"/>
          <w:sz w:val="31"/>
          <w:szCs w:val="31"/>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6"/>
        <w:autoSpaceDE w:val="0"/>
        <w:spacing w:before="0" w:beforeAutospacing="0" w:after="0" w:afterAutospacing="0" w:line="600" w:lineRule="atLeast"/>
        <w:ind w:firstLine="645"/>
        <w:jc w:val="both"/>
      </w:pPr>
      <w:r>
        <w:rPr>
          <w:rStyle w:val="10"/>
          <w:rFonts w:hint="eastAsia" w:ascii="方正仿宋_GBK" w:hAnsi="方正仿宋_GBK" w:eastAsia="方正仿宋_GBK" w:cs="方正仿宋_GBK"/>
          <w:sz w:val="31"/>
          <w:szCs w:val="31"/>
        </w:rPr>
        <w:t>（六）年初结转和结余</w:t>
      </w:r>
      <w:r>
        <w:rPr>
          <w:rFonts w:hint="eastAsia" w:ascii="方正仿宋_GBK" w:hAnsi="方正仿宋_GBK" w:eastAsia="方正仿宋_GBK" w:cs="方正仿宋_GBK"/>
          <w:sz w:val="31"/>
          <w:szCs w:val="31"/>
        </w:rPr>
        <w:t>：指单位上年结转本年使用的基本支出结转、项目支出结转和结余、经营结余。</w:t>
      </w:r>
    </w:p>
    <w:p>
      <w:pPr>
        <w:pStyle w:val="6"/>
        <w:autoSpaceDE w:val="0"/>
        <w:spacing w:before="0" w:beforeAutospacing="0" w:after="0" w:afterAutospacing="0" w:line="600" w:lineRule="atLeast"/>
        <w:ind w:firstLine="645"/>
        <w:jc w:val="both"/>
      </w:pPr>
      <w:r>
        <w:rPr>
          <w:rStyle w:val="10"/>
          <w:rFonts w:hint="eastAsia" w:ascii="方正仿宋_GBK" w:hAnsi="方正仿宋_GBK" w:eastAsia="方正仿宋_GBK" w:cs="方正仿宋_GBK"/>
          <w:sz w:val="31"/>
          <w:szCs w:val="31"/>
        </w:rPr>
        <w:t>（七）结余分配</w:t>
      </w:r>
      <w:r>
        <w:rPr>
          <w:rFonts w:hint="eastAsia" w:ascii="方正仿宋_GBK" w:hAnsi="方正仿宋_GBK" w:eastAsia="方正仿宋_GBK" w:cs="方正仿宋_GBK"/>
          <w:sz w:val="31"/>
          <w:szCs w:val="31"/>
        </w:rPr>
        <w:t>：指单位按照国家有关规定，缴纳所得税、提取专用基金、转入事业基金等当年结余的分配情况。</w:t>
      </w:r>
    </w:p>
    <w:p>
      <w:pPr>
        <w:pStyle w:val="6"/>
        <w:autoSpaceDE w:val="0"/>
        <w:spacing w:before="0" w:beforeAutospacing="0" w:after="0" w:afterAutospacing="0" w:line="600" w:lineRule="atLeast"/>
        <w:ind w:firstLine="645"/>
        <w:jc w:val="both"/>
      </w:pPr>
      <w:r>
        <w:rPr>
          <w:rStyle w:val="10"/>
          <w:rFonts w:hint="eastAsia" w:ascii="方正仿宋_GBK" w:hAnsi="方正仿宋_GBK" w:eastAsia="方正仿宋_GBK" w:cs="方正仿宋_GBK"/>
          <w:sz w:val="31"/>
          <w:szCs w:val="31"/>
        </w:rPr>
        <w:t>（八）年末结转和结余</w:t>
      </w:r>
      <w:r>
        <w:rPr>
          <w:rFonts w:hint="eastAsia" w:ascii="方正仿宋_GBK" w:hAnsi="方正仿宋_GBK" w:eastAsia="方正仿宋_GBK" w:cs="方正仿宋_GBK"/>
          <w:sz w:val="31"/>
          <w:szCs w:val="31"/>
        </w:rPr>
        <w:t>：指单位结转下年的基本支出结转、项目支出结转和结余、经营结余。</w:t>
      </w:r>
    </w:p>
    <w:p>
      <w:pPr>
        <w:pStyle w:val="6"/>
        <w:autoSpaceDE w:val="0"/>
        <w:spacing w:before="0" w:beforeAutospacing="0" w:after="0" w:afterAutospacing="0" w:line="600" w:lineRule="atLeast"/>
        <w:ind w:firstLine="645"/>
        <w:jc w:val="both"/>
      </w:pPr>
      <w:r>
        <w:rPr>
          <w:rStyle w:val="10"/>
          <w:rFonts w:hint="eastAsia" w:ascii="方正仿宋_GBK" w:hAnsi="方正仿宋_GBK" w:eastAsia="方正仿宋_GBK" w:cs="方正仿宋_GBK"/>
          <w:sz w:val="31"/>
          <w:szCs w:val="31"/>
        </w:rPr>
        <w:t>（九）基本支出</w:t>
      </w:r>
      <w:r>
        <w:rPr>
          <w:rFonts w:hint="eastAsia" w:ascii="方正仿宋_GBK" w:hAnsi="方正仿宋_GBK" w:eastAsia="方正仿宋_GBK" w:cs="方正仿宋_GBK"/>
          <w:sz w:val="31"/>
          <w:szCs w:val="31"/>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autoSpaceDE w:val="0"/>
        <w:spacing w:before="0" w:beforeAutospacing="0" w:after="0" w:afterAutospacing="0" w:line="600" w:lineRule="atLeast"/>
        <w:ind w:firstLine="645"/>
        <w:jc w:val="both"/>
      </w:pPr>
      <w:r>
        <w:rPr>
          <w:rStyle w:val="10"/>
          <w:rFonts w:hint="eastAsia" w:ascii="方正仿宋_GBK" w:hAnsi="方正仿宋_GBK" w:eastAsia="方正仿宋_GBK" w:cs="方正仿宋_GBK"/>
          <w:sz w:val="31"/>
          <w:szCs w:val="31"/>
        </w:rPr>
        <w:t>（十）项目支出</w:t>
      </w:r>
      <w:r>
        <w:rPr>
          <w:rFonts w:hint="eastAsia" w:ascii="方正仿宋_GBK" w:hAnsi="方正仿宋_GBK" w:eastAsia="方正仿宋_GBK" w:cs="方正仿宋_GBK"/>
          <w:sz w:val="31"/>
          <w:szCs w:val="31"/>
        </w:rPr>
        <w:t>：指在基本支出之外为完成特定行政任务和事业发展目标所发生的支出。</w:t>
      </w:r>
    </w:p>
    <w:p>
      <w:pPr>
        <w:pStyle w:val="6"/>
        <w:autoSpaceDE w:val="0"/>
        <w:spacing w:before="0" w:beforeAutospacing="0" w:after="0" w:afterAutospacing="0" w:line="600" w:lineRule="atLeast"/>
        <w:ind w:firstLine="645"/>
        <w:jc w:val="both"/>
      </w:pPr>
      <w:r>
        <w:rPr>
          <w:rStyle w:val="10"/>
          <w:rFonts w:hint="eastAsia" w:ascii="方正仿宋_GBK" w:hAnsi="方正仿宋_GBK" w:eastAsia="方正仿宋_GBK" w:cs="方正仿宋_GBK"/>
          <w:sz w:val="31"/>
          <w:szCs w:val="31"/>
        </w:rPr>
        <w:t>（十一）经营支出</w:t>
      </w:r>
      <w:r>
        <w:rPr>
          <w:rFonts w:hint="eastAsia" w:ascii="方正仿宋_GBK" w:hAnsi="方正仿宋_GBK" w:eastAsia="方正仿宋_GBK" w:cs="方正仿宋_GBK"/>
          <w:sz w:val="31"/>
          <w:szCs w:val="31"/>
        </w:rPr>
        <w:t>：指事业单位在专业业务活动及其辅助活动之外开展非独立核算经营活动发生的支出。</w:t>
      </w:r>
    </w:p>
    <w:p>
      <w:pPr>
        <w:pStyle w:val="6"/>
        <w:autoSpaceDE w:val="0"/>
        <w:spacing w:before="0" w:beforeAutospacing="0" w:after="0" w:afterAutospacing="0" w:line="600" w:lineRule="atLeast"/>
        <w:ind w:firstLine="645"/>
        <w:jc w:val="both"/>
      </w:pPr>
      <w:r>
        <w:rPr>
          <w:rStyle w:val="10"/>
          <w:rFonts w:hint="eastAsia" w:ascii="方正仿宋_GBK" w:hAnsi="方正仿宋_GBK" w:eastAsia="方正仿宋_GBK" w:cs="方正仿宋_GBK"/>
          <w:sz w:val="31"/>
          <w:szCs w:val="31"/>
        </w:rPr>
        <w:t>（十二）“三公”经费</w:t>
      </w:r>
      <w:r>
        <w:rPr>
          <w:rFonts w:hint="eastAsia" w:ascii="方正仿宋_GBK" w:hAnsi="方正仿宋_GBK" w:eastAsia="方正仿宋_GBK" w:cs="方正仿宋_GBK"/>
          <w:sz w:val="31"/>
          <w:szCs w:val="31"/>
        </w:rPr>
        <w:t>：  指 用一般公共预算财政拨款安排的因公出国（境）费、公务用车购置及运行维护费、公务接待费。其中，因公出国（境）费反映单位公务出国（境）的国际旅费、国外 城市间交通费、住宿费、伙食费、培训费、公杂费等支出；公务用车购置费反映单位公务用车购置支出（含车辆购置税）；公务用车运行维护费反映单位按规定保留 的公务用车燃料费、维修费、过路过桥费、保险费、安全奖励费用等支出；公务接待费反映单位按规定开支的各类公务接待（含外宾接待）支出。</w:t>
      </w:r>
    </w:p>
    <w:p>
      <w:pPr>
        <w:pStyle w:val="6"/>
        <w:autoSpaceDE w:val="0"/>
        <w:spacing w:before="0" w:beforeAutospacing="0" w:after="0" w:afterAutospacing="0" w:line="600" w:lineRule="atLeast"/>
        <w:ind w:firstLine="645"/>
        <w:jc w:val="both"/>
      </w:pPr>
      <w:r>
        <w:rPr>
          <w:rStyle w:val="10"/>
          <w:rFonts w:hint="eastAsia" w:ascii="方正仿宋_GBK" w:hAnsi="方正仿宋_GBK" w:eastAsia="方正仿宋_GBK" w:cs="方正仿宋_GBK"/>
          <w:sz w:val="31"/>
          <w:szCs w:val="31"/>
        </w:rPr>
        <w:t>（十三）机关运行经费</w:t>
      </w:r>
      <w:r>
        <w:rPr>
          <w:rFonts w:hint="eastAsia" w:ascii="方正仿宋_GBK" w:hAnsi="方正仿宋_GBK" w:eastAsia="方正仿宋_GBK" w:cs="方正仿宋_GBK"/>
          <w:sz w:val="31"/>
          <w:szCs w:val="31"/>
        </w:rPr>
        <w:t>： 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6"/>
        <w:autoSpaceDE w:val="0"/>
        <w:spacing w:before="0" w:beforeAutospacing="0" w:after="0" w:afterAutospacing="0" w:line="600" w:lineRule="atLeast"/>
        <w:ind w:firstLine="645"/>
        <w:jc w:val="both"/>
      </w:pPr>
      <w:r>
        <w:rPr>
          <w:rStyle w:val="10"/>
          <w:rFonts w:hint="eastAsia" w:ascii="方正仿宋_GBK" w:hAnsi="方正仿宋_GBK" w:eastAsia="方正仿宋_GBK" w:cs="方正仿宋_GBK"/>
          <w:sz w:val="31"/>
          <w:szCs w:val="31"/>
        </w:rPr>
        <w:t>（十四）工资福利支出（支出经济分类科目类级）</w:t>
      </w:r>
      <w:r>
        <w:rPr>
          <w:rFonts w:hint="eastAsia" w:ascii="方正仿宋_GBK" w:hAnsi="方正仿宋_GBK" w:eastAsia="方正仿宋_GBK" w:cs="方正仿宋_GBK"/>
          <w:sz w:val="31"/>
          <w:szCs w:val="31"/>
        </w:rPr>
        <w:t>：反映单位开支的在职职工和编制外长期聘用人员的各类劳动报酬，以及为上述人员缴纳的各项社会保险费等。</w:t>
      </w:r>
    </w:p>
    <w:p>
      <w:pPr>
        <w:pStyle w:val="6"/>
        <w:autoSpaceDE w:val="0"/>
        <w:spacing w:before="0" w:beforeAutospacing="0" w:after="0" w:afterAutospacing="0" w:line="600" w:lineRule="atLeast"/>
        <w:ind w:firstLine="645"/>
        <w:jc w:val="both"/>
      </w:pPr>
      <w:r>
        <w:rPr>
          <w:rStyle w:val="10"/>
          <w:rFonts w:hint="eastAsia" w:ascii="方正仿宋_GBK" w:hAnsi="方正仿宋_GBK" w:eastAsia="方正仿宋_GBK" w:cs="方正仿宋_GBK"/>
          <w:sz w:val="31"/>
          <w:szCs w:val="31"/>
        </w:rPr>
        <w:t>（十五）商品和服务支出（支出经济分类科目类级）</w:t>
      </w:r>
      <w:r>
        <w:rPr>
          <w:rFonts w:hint="eastAsia" w:ascii="方正仿宋_GBK" w:hAnsi="方正仿宋_GBK" w:eastAsia="方正仿宋_GBK" w:cs="方正仿宋_GBK"/>
          <w:sz w:val="31"/>
          <w:szCs w:val="31"/>
        </w:rPr>
        <w:t>：反映单位购买商品和服务的支出（不包括用于购置固定资产的支出、战略性和应急储备支出）。</w:t>
      </w:r>
    </w:p>
    <w:p>
      <w:pPr>
        <w:pStyle w:val="6"/>
        <w:autoSpaceDE w:val="0"/>
        <w:spacing w:before="0" w:beforeAutospacing="0" w:after="0" w:afterAutospacing="0" w:line="600" w:lineRule="atLeast"/>
        <w:ind w:firstLine="645"/>
        <w:jc w:val="both"/>
      </w:pPr>
      <w:r>
        <w:rPr>
          <w:rStyle w:val="10"/>
          <w:rFonts w:hint="eastAsia" w:ascii="方正仿宋_GBK" w:hAnsi="方正仿宋_GBK" w:eastAsia="方正仿宋_GBK" w:cs="方正仿宋_GBK"/>
          <w:sz w:val="31"/>
          <w:szCs w:val="31"/>
        </w:rPr>
        <w:t>（十六）对个人和家庭的补助（支出经济分类科目类级）</w:t>
      </w:r>
      <w:r>
        <w:rPr>
          <w:rFonts w:hint="eastAsia" w:ascii="方正仿宋_GBK" w:hAnsi="方正仿宋_GBK" w:eastAsia="方正仿宋_GBK" w:cs="方正仿宋_GBK"/>
          <w:sz w:val="31"/>
          <w:szCs w:val="31"/>
        </w:rPr>
        <w:t>：反映用于对个人和家庭的补助支出。</w:t>
      </w:r>
    </w:p>
    <w:p>
      <w:pPr>
        <w:pStyle w:val="6"/>
        <w:autoSpaceDE w:val="0"/>
        <w:spacing w:before="0" w:beforeAutospacing="0" w:after="0" w:afterAutospacing="0" w:line="600" w:lineRule="atLeast"/>
        <w:ind w:firstLine="645"/>
        <w:jc w:val="both"/>
      </w:pPr>
      <w:r>
        <w:rPr>
          <w:rStyle w:val="10"/>
          <w:rFonts w:hint="eastAsia" w:ascii="方正仿宋_GBK" w:hAnsi="方正仿宋_GBK" w:eastAsia="方正仿宋_GBK" w:cs="方正仿宋_GBK"/>
          <w:sz w:val="31"/>
          <w:szCs w:val="31"/>
        </w:rPr>
        <w:t>（十七）其他资本性支出（支出经济分类科目类级）</w:t>
      </w:r>
      <w:r>
        <w:rPr>
          <w:rFonts w:hint="eastAsia" w:ascii="方正仿宋_GBK" w:hAnsi="方正仿宋_GBK" w:eastAsia="方正仿宋_GBK" w:cs="方正仿宋_GBK"/>
          <w:sz w:val="31"/>
          <w:szCs w:val="31"/>
        </w:rPr>
        <w:t>：反映非各级发展与改革部门集中安排的用于购置固定资产、战略性和应急性储备、土地和无形资产，以及构建基础设施、大型修缮和财政支持企业更新改造所发生的支出。</w:t>
      </w:r>
    </w:p>
    <w:p>
      <w:pPr>
        <w:pStyle w:val="6"/>
        <w:autoSpaceDE w:val="0"/>
        <w:spacing w:before="0" w:beforeAutospacing="0" w:after="0" w:afterAutospacing="0" w:line="600" w:lineRule="atLeast"/>
        <w:ind w:firstLine="600"/>
        <w:jc w:val="both"/>
      </w:pPr>
      <w:r>
        <w:rPr>
          <w:rFonts w:hint="eastAsia" w:ascii="方正黑体_GBK" w:hAnsi="方正黑体_GBK" w:eastAsia="方正黑体_GBK" w:cs="方正黑体_GBK"/>
          <w:sz w:val="30"/>
          <w:szCs w:val="30"/>
        </w:rPr>
        <w:t>  </w:t>
      </w:r>
      <w:r>
        <w:rPr>
          <w:rFonts w:hint="eastAsia" w:ascii="方正黑体_GBK" w:hAnsi="方正黑体_GBK" w:eastAsia="方正黑体_GBK" w:cs="方正黑体_GBK"/>
          <w:sz w:val="31"/>
          <w:szCs w:val="31"/>
        </w:rPr>
        <w:t>七、决算公开联系方式及信息反馈渠道</w:t>
      </w:r>
    </w:p>
    <w:p>
      <w:pPr>
        <w:pStyle w:val="6"/>
        <w:autoSpaceDE w:val="0"/>
        <w:spacing w:before="0" w:beforeAutospacing="0" w:after="0" w:afterAutospacing="0" w:line="600" w:lineRule="atLeast"/>
        <w:ind w:firstLine="645"/>
        <w:jc w:val="both"/>
      </w:pPr>
      <w:r>
        <w:rPr>
          <w:rFonts w:hint="eastAsia" w:ascii="方正仿宋_GBK" w:hAnsi="方正仿宋_GBK" w:eastAsia="方正仿宋_GBK" w:cs="方正仿宋_GBK"/>
          <w:sz w:val="31"/>
          <w:szCs w:val="31"/>
        </w:rPr>
        <w:t>本部门决算公开信息反馈和联系方式：023-85880807</w:t>
      </w:r>
    </w:p>
    <w:p>
      <w:pPr>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right;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a1WfN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qbI8fYAas24D5qXhvR9y6uQHdGbWg4o2f5EPwTiKeziLK4dERH5ULd5eXlEiMFRdVovFVUZh949D&#10;hPRBekuy0dCIsyuS8v0nSGPqKSXXcv5GG4N+Xhv3wIGY2cNy52OH2UrDZpja3vj2gGx6HHtDHW45&#10;JeajQ1XzhpyMeDI2J2MXot52ZYVyPQjvdgmbKL3lCiPsVBjnVdhNu5UX4t97ybr/n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Qa1WfNAQAAlwMAAA4AAAAAAAAAAQAgAAAAHwEAAGRycy9l&#10;Mm9Eb2MueG1sUEsFBgAAAAAGAAYAWQEAAF4FA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A7A"/>
    <w:rsid w:val="00005106"/>
    <w:rsid w:val="000056B1"/>
    <w:rsid w:val="00005F70"/>
    <w:rsid w:val="00016C29"/>
    <w:rsid w:val="000C369F"/>
    <w:rsid w:val="000C73FC"/>
    <w:rsid w:val="000D6F7A"/>
    <w:rsid w:val="000F166E"/>
    <w:rsid w:val="00121CA4"/>
    <w:rsid w:val="00145768"/>
    <w:rsid w:val="0015043D"/>
    <w:rsid w:val="00174D90"/>
    <w:rsid w:val="001D5E87"/>
    <w:rsid w:val="002173AC"/>
    <w:rsid w:val="00231566"/>
    <w:rsid w:val="00243D55"/>
    <w:rsid w:val="002607C5"/>
    <w:rsid w:val="00267112"/>
    <w:rsid w:val="00293E95"/>
    <w:rsid w:val="002A0457"/>
    <w:rsid w:val="002B2635"/>
    <w:rsid w:val="002C1DD0"/>
    <w:rsid w:val="00331462"/>
    <w:rsid w:val="00335A33"/>
    <w:rsid w:val="003422A6"/>
    <w:rsid w:val="00350C4F"/>
    <w:rsid w:val="00362ECA"/>
    <w:rsid w:val="003701D4"/>
    <w:rsid w:val="0037367D"/>
    <w:rsid w:val="00374ADB"/>
    <w:rsid w:val="00381D1D"/>
    <w:rsid w:val="0039613F"/>
    <w:rsid w:val="003B78C8"/>
    <w:rsid w:val="003F4F51"/>
    <w:rsid w:val="00401BEB"/>
    <w:rsid w:val="00421131"/>
    <w:rsid w:val="00447D32"/>
    <w:rsid w:val="004B5C03"/>
    <w:rsid w:val="004D1519"/>
    <w:rsid w:val="004E5FD1"/>
    <w:rsid w:val="0050135A"/>
    <w:rsid w:val="005260F0"/>
    <w:rsid w:val="00537BF5"/>
    <w:rsid w:val="00563532"/>
    <w:rsid w:val="0058553D"/>
    <w:rsid w:val="005D2E9B"/>
    <w:rsid w:val="005E698E"/>
    <w:rsid w:val="00625EF5"/>
    <w:rsid w:val="006342C2"/>
    <w:rsid w:val="006478FD"/>
    <w:rsid w:val="00660397"/>
    <w:rsid w:val="006679C3"/>
    <w:rsid w:val="00681D4C"/>
    <w:rsid w:val="00697DEA"/>
    <w:rsid w:val="006C3FAA"/>
    <w:rsid w:val="006E69D2"/>
    <w:rsid w:val="0072544A"/>
    <w:rsid w:val="0075645A"/>
    <w:rsid w:val="0076295C"/>
    <w:rsid w:val="00771D70"/>
    <w:rsid w:val="00782A5B"/>
    <w:rsid w:val="007A0456"/>
    <w:rsid w:val="007A7101"/>
    <w:rsid w:val="008115E0"/>
    <w:rsid w:val="008406EF"/>
    <w:rsid w:val="00864F74"/>
    <w:rsid w:val="00866855"/>
    <w:rsid w:val="008C2499"/>
    <w:rsid w:val="008D585B"/>
    <w:rsid w:val="00904CD9"/>
    <w:rsid w:val="00910FB9"/>
    <w:rsid w:val="00920DD4"/>
    <w:rsid w:val="00943B50"/>
    <w:rsid w:val="00943D7C"/>
    <w:rsid w:val="00944D10"/>
    <w:rsid w:val="00952123"/>
    <w:rsid w:val="00955B33"/>
    <w:rsid w:val="009566ED"/>
    <w:rsid w:val="00963E9B"/>
    <w:rsid w:val="00993ACD"/>
    <w:rsid w:val="0099450B"/>
    <w:rsid w:val="00A0605B"/>
    <w:rsid w:val="00A64165"/>
    <w:rsid w:val="00A83EE1"/>
    <w:rsid w:val="00A84671"/>
    <w:rsid w:val="00A86DE9"/>
    <w:rsid w:val="00AD525A"/>
    <w:rsid w:val="00AE3A76"/>
    <w:rsid w:val="00AE73B3"/>
    <w:rsid w:val="00B20AA4"/>
    <w:rsid w:val="00B2393D"/>
    <w:rsid w:val="00B23EA4"/>
    <w:rsid w:val="00B253BE"/>
    <w:rsid w:val="00B45B41"/>
    <w:rsid w:val="00B534D3"/>
    <w:rsid w:val="00B74858"/>
    <w:rsid w:val="00B76CFF"/>
    <w:rsid w:val="00BA0228"/>
    <w:rsid w:val="00BC28ED"/>
    <w:rsid w:val="00BE04C2"/>
    <w:rsid w:val="00BE0962"/>
    <w:rsid w:val="00C04A7A"/>
    <w:rsid w:val="00C06F76"/>
    <w:rsid w:val="00C32898"/>
    <w:rsid w:val="00CB4B2F"/>
    <w:rsid w:val="00CB6A87"/>
    <w:rsid w:val="00CD5839"/>
    <w:rsid w:val="00CE2A0C"/>
    <w:rsid w:val="00CF1F61"/>
    <w:rsid w:val="00D00DAB"/>
    <w:rsid w:val="00D123C1"/>
    <w:rsid w:val="00D15336"/>
    <w:rsid w:val="00D425C8"/>
    <w:rsid w:val="00D53885"/>
    <w:rsid w:val="00D64CC0"/>
    <w:rsid w:val="00D873C2"/>
    <w:rsid w:val="00DA1BCF"/>
    <w:rsid w:val="00DD3ADC"/>
    <w:rsid w:val="00DE2E9F"/>
    <w:rsid w:val="00E06A83"/>
    <w:rsid w:val="00E07399"/>
    <w:rsid w:val="00E153A7"/>
    <w:rsid w:val="00E550CD"/>
    <w:rsid w:val="00E77587"/>
    <w:rsid w:val="00E777A7"/>
    <w:rsid w:val="00EC6767"/>
    <w:rsid w:val="00F16164"/>
    <w:rsid w:val="00F27A41"/>
    <w:rsid w:val="00F73496"/>
    <w:rsid w:val="00F84F12"/>
    <w:rsid w:val="00F90D68"/>
    <w:rsid w:val="00FA773E"/>
    <w:rsid w:val="00FB79E3"/>
    <w:rsid w:val="00FE39E6"/>
    <w:rsid w:val="012E3208"/>
    <w:rsid w:val="01BB0BBF"/>
    <w:rsid w:val="021E490D"/>
    <w:rsid w:val="05302AA7"/>
    <w:rsid w:val="09CC671E"/>
    <w:rsid w:val="0C0864D3"/>
    <w:rsid w:val="0C934C76"/>
    <w:rsid w:val="0C9630E2"/>
    <w:rsid w:val="0D393A50"/>
    <w:rsid w:val="11B546FB"/>
    <w:rsid w:val="13D94605"/>
    <w:rsid w:val="1939054C"/>
    <w:rsid w:val="1D3D2541"/>
    <w:rsid w:val="28AB0D2F"/>
    <w:rsid w:val="2FE5567F"/>
    <w:rsid w:val="314F2BC1"/>
    <w:rsid w:val="342C0F66"/>
    <w:rsid w:val="364D2CCC"/>
    <w:rsid w:val="42657747"/>
    <w:rsid w:val="44C77FDE"/>
    <w:rsid w:val="4C11198D"/>
    <w:rsid w:val="532B3743"/>
    <w:rsid w:val="57CD19E4"/>
    <w:rsid w:val="5C815A58"/>
    <w:rsid w:val="609E6223"/>
    <w:rsid w:val="66983C32"/>
    <w:rsid w:val="77163FAD"/>
    <w:rsid w:val="79401F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link w:val="12"/>
    <w:uiPriority w:val="0"/>
    <w:rPr>
      <w:sz w:val="18"/>
      <w:szCs w:val="18"/>
    </w:rPr>
  </w:style>
  <w:style w:type="paragraph" w:styleId="4">
    <w:name w:val="footer"/>
    <w:basedOn w:val="1"/>
    <w:link w:val="14"/>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table" w:styleId="8">
    <w:name w:val="Table Grid"/>
    <w:basedOn w:val="7"/>
    <w:uiPriority w:val="0"/>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paragraph" w:customStyle="1" w:styleId="11">
    <w:name w:val="列出段落"/>
    <w:basedOn w:val="1"/>
    <w:qFormat/>
    <w:uiPriority w:val="99"/>
    <w:pPr>
      <w:ind w:firstLine="420" w:firstLineChars="200"/>
    </w:pPr>
    <w:rPr>
      <w:rFonts w:ascii="Calibri" w:hAnsi="Calibri"/>
      <w:szCs w:val="22"/>
    </w:rPr>
  </w:style>
  <w:style w:type="character" w:customStyle="1" w:styleId="12">
    <w:name w:val=" Char Char1"/>
    <w:link w:val="3"/>
    <w:uiPriority w:val="0"/>
    <w:rPr>
      <w:kern w:val="2"/>
      <w:sz w:val="18"/>
      <w:szCs w:val="18"/>
    </w:rPr>
  </w:style>
  <w:style w:type="character" w:customStyle="1" w:styleId="13">
    <w:name w:val=" Char Char2"/>
    <w:link w:val="5"/>
    <w:uiPriority w:val="0"/>
    <w:rPr>
      <w:kern w:val="2"/>
      <w:sz w:val="18"/>
      <w:szCs w:val="18"/>
    </w:rPr>
  </w:style>
  <w:style w:type="character" w:customStyle="1" w:styleId="14">
    <w:name w:val=" Char Char"/>
    <w:link w:val="4"/>
    <w:uiPriority w:val="0"/>
    <w:rPr>
      <w:kern w:val="2"/>
      <w:sz w:val="18"/>
      <w:szCs w:val="18"/>
    </w:rPr>
  </w:style>
  <w:style w:type="table" w:customStyle="1" w:styleId="15">
    <w:name w:val="网格型1"/>
    <w:basedOn w:val="7"/>
    <w:qFormat/>
    <w:uiPriority w:val="39"/>
    <w:tblPr>
      <w:tblStyle w:val="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1354</Words>
  <Characters>7722</Characters>
  <Lines>64</Lines>
  <Paragraphs>18</Paragraphs>
  <TotalTime>1</TotalTime>
  <ScaleCrop>false</ScaleCrop>
  <LinksUpToDate>false</LinksUpToDate>
  <CharactersWithSpaces>9058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2020-11-17T09:26:00Z</dcterms:created>
  <dc:creator>微软用户</dc:creator>
  <cp:lastModifiedBy>区教委</cp:lastModifiedBy>
  <cp:lastPrinted>2021-10-28T02:36:00Z</cp:lastPrinted>
  <dcterms:modified xsi:type="dcterms:W3CDTF">2022-07-26T04:27:30Z</dcterms:modified>
  <dc:title>重庆市綦江区教育委员会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