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pacing w:line="620" w:lineRule="exact"/>
        <w:ind w:right="35" w:rightChars="11"/>
        <w:jc w:val="center"/>
        <w:rPr>
          <w:rFonts w:eastAsia="方正小标宋_GBK"/>
          <w:sz w:val="44"/>
          <w:szCs w:val="44"/>
        </w:rPr>
      </w:pPr>
    </w:p>
    <w:p>
      <w:pPr>
        <w:spacing w:line="620" w:lineRule="exact"/>
        <w:jc w:val="center"/>
        <w:rPr>
          <w:szCs w:val="32"/>
        </w:rPr>
      </w:pPr>
      <w:r>
        <w:rPr>
          <w:color w:val="000000"/>
          <w:spacing w:val="20"/>
          <w:szCs w:val="32"/>
        </w:rPr>
        <w:t>綦乡振</w:t>
      </w:r>
      <w:r>
        <w:rPr>
          <w:color w:val="000000"/>
          <w:szCs w:val="32"/>
        </w:rPr>
        <w:t>〔2024〕</w:t>
      </w:r>
      <w:r>
        <w:rPr>
          <w:rFonts w:hint="eastAsia"/>
          <w:color w:val="000000"/>
          <w:szCs w:val="32"/>
          <w:lang w:val="en-US" w:eastAsia="zh-CN"/>
        </w:rPr>
        <w:t>15</w:t>
      </w:r>
      <w:r>
        <w:rPr>
          <w:color w:val="000000"/>
          <w:spacing w:val="20"/>
          <w:szCs w:val="32"/>
        </w:rPr>
        <w:t>号</w: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重庆市綦江区乡村振兴局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5"/>
          <w:kern w:val="0"/>
          <w:sz w:val="44"/>
          <w:szCs w:val="44"/>
          <w:fitText w:val="4840" w:id="-980702720"/>
        </w:rPr>
        <w:t>重庆市綦江区财政</w:t>
      </w:r>
      <w:r>
        <w:rPr>
          <w:rFonts w:hint="eastAsia" w:ascii="方正小标宋_GBK" w:hAnsi="方正小标宋_GBK" w:eastAsia="方正小标宋_GBK" w:cs="方正小标宋_GBK"/>
          <w:spacing w:val="0"/>
          <w:kern w:val="0"/>
          <w:sz w:val="44"/>
          <w:szCs w:val="44"/>
          <w:fitText w:val="4840" w:id="-980702720"/>
        </w:rPr>
        <w:t>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关于下达</w:t>
      </w:r>
      <w:r>
        <w:rPr>
          <w:rFonts w:eastAsia="方正小标宋_GBK"/>
          <w:sz w:val="44"/>
          <w:szCs w:val="44"/>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第四批市级</w:t>
      </w:r>
      <w:r>
        <w:rPr>
          <w:rFonts w:hint="eastAsia" w:ascii="方正小标宋_GBK" w:hAnsi="方正小标宋_GBK" w:eastAsia="方正小标宋_GBK" w:cs="方正小标宋_GBK"/>
          <w:sz w:val="44"/>
          <w:szCs w:val="44"/>
        </w:rPr>
        <w:t>财政衔接推进</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乡村振兴补助资金项目计划的通知</w:t>
      </w:r>
    </w:p>
    <w:p>
      <w:pPr>
        <w:spacing w:line="576" w:lineRule="exact"/>
      </w:pPr>
    </w:p>
    <w:p>
      <w:pPr>
        <w:spacing w:line="576" w:lineRule="exact"/>
        <w:rPr>
          <w:rFonts w:hint="eastAsia" w:eastAsia="方正仿宋_GBK"/>
          <w:szCs w:val="32"/>
          <w:lang w:val="en-US" w:eastAsia="zh-CN"/>
        </w:rPr>
      </w:pPr>
      <w:r>
        <w:rPr>
          <w:rFonts w:hint="eastAsia"/>
          <w:szCs w:val="32"/>
          <w:lang w:val="en-US" w:eastAsia="zh-CN"/>
        </w:rPr>
        <w:t>通惠街道、石角镇、三角镇；区人社局、区商务委、</w:t>
      </w:r>
      <w:r>
        <w:rPr>
          <w:szCs w:val="32"/>
        </w:rPr>
        <w:t>区农业农村委（乡村振兴局）</w:t>
      </w:r>
      <w:r>
        <w:rPr>
          <w:rFonts w:hint="eastAsia"/>
          <w:szCs w:val="32"/>
          <w:lang w:val="en-US" w:eastAsia="zh-CN"/>
        </w:rPr>
        <w:t>：</w:t>
      </w:r>
    </w:p>
    <w:p>
      <w:pPr>
        <w:spacing w:line="576" w:lineRule="exact"/>
        <w:ind w:firstLine="640" w:firstLineChars="200"/>
        <w:rPr>
          <w:szCs w:val="32"/>
        </w:rPr>
      </w:pPr>
      <w:r>
        <w:rPr>
          <w:szCs w:val="32"/>
        </w:rPr>
        <w:t>根据工作要求，</w:t>
      </w:r>
      <w:r>
        <w:rPr>
          <w:rFonts w:hint="eastAsia"/>
          <w:szCs w:val="32"/>
        </w:rPr>
        <w:t>本次下达</w:t>
      </w:r>
      <w:r>
        <w:rPr>
          <w:szCs w:val="32"/>
        </w:rPr>
        <w:t>2024</w:t>
      </w:r>
      <w:r>
        <w:rPr>
          <w:rFonts w:hint="eastAsia"/>
          <w:szCs w:val="32"/>
        </w:rPr>
        <w:t>年度</w:t>
      </w:r>
      <w:r>
        <w:rPr>
          <w:rFonts w:hint="eastAsia"/>
          <w:szCs w:val="32"/>
          <w:lang w:eastAsia="zh-CN"/>
        </w:rPr>
        <w:t>第四批市级</w:t>
      </w:r>
      <w:r>
        <w:rPr>
          <w:rFonts w:hint="eastAsia"/>
          <w:szCs w:val="32"/>
        </w:rPr>
        <w:t>财政</w:t>
      </w:r>
      <w:r>
        <w:rPr>
          <w:szCs w:val="32"/>
        </w:rPr>
        <w:t>衔接推进乡村振兴补助</w:t>
      </w:r>
      <w:r>
        <w:rPr>
          <w:rFonts w:hint="eastAsia"/>
          <w:szCs w:val="32"/>
        </w:rPr>
        <w:t>资金（以下简称衔接资金）</w:t>
      </w:r>
      <w:r>
        <w:rPr>
          <w:rFonts w:hint="eastAsia"/>
          <w:szCs w:val="32"/>
          <w:u w:val="single"/>
          <w:lang w:val="en-US" w:eastAsia="zh-CN"/>
        </w:rPr>
        <w:t>700</w:t>
      </w:r>
      <w:r>
        <w:rPr>
          <w:rFonts w:hint="eastAsia"/>
          <w:szCs w:val="32"/>
        </w:rPr>
        <w:t>万元，主要用于</w:t>
      </w:r>
      <w:r>
        <w:rPr>
          <w:rFonts w:hint="eastAsia"/>
          <w:szCs w:val="32"/>
          <w:u w:val="single"/>
          <w:lang w:eastAsia="zh-CN"/>
        </w:rPr>
        <w:t>2024年綦江区脱贫人口跨省就业支持项目</w:t>
      </w:r>
      <w:r>
        <w:rPr>
          <w:rFonts w:hint="eastAsia"/>
          <w:szCs w:val="32"/>
        </w:rPr>
        <w:t>（详见附件）。具体要求如下：</w:t>
      </w:r>
    </w:p>
    <w:p>
      <w:pPr>
        <w:spacing w:line="576" w:lineRule="exact"/>
        <w:ind w:firstLine="640" w:firstLineChars="200"/>
        <w:rPr>
          <w:rFonts w:eastAsia="方正黑体_GBK"/>
          <w:szCs w:val="32"/>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《重庆市綦江区财政局等</w:t>
      </w:r>
      <w:r>
        <w:rPr>
          <w:szCs w:val="32"/>
        </w:rPr>
        <w:t>6</w:t>
      </w:r>
      <w:r>
        <w:rPr>
          <w:rFonts w:hint="eastAsia"/>
          <w:szCs w:val="32"/>
        </w:rPr>
        <w:t>部门关于印发&lt;重庆市綦江区财政衔接推进乡村振兴补助资金管理实施细则&gt;的通知》</w:t>
      </w:r>
      <w:r>
        <w:rPr>
          <w:szCs w:val="32"/>
        </w:rPr>
        <w:t>（</w:t>
      </w:r>
      <w:r>
        <w:rPr>
          <w:rFonts w:hint="eastAsia"/>
          <w:szCs w:val="32"/>
        </w:rPr>
        <w:t>綦江财发</w:t>
      </w:r>
      <w:r>
        <w:rPr>
          <w:szCs w:val="32"/>
        </w:rPr>
        <w:t>〔2022〕123号）要求，规范资金使用范围，提高资金使用绩效。根据《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〔2021〕33号），切实加强资金监管，</w:t>
      </w:r>
      <w:r>
        <w:rPr>
          <w:rFonts w:hint="eastAsia"/>
          <w:szCs w:val="32"/>
        </w:rPr>
        <w:t>强化绩效管理，</w:t>
      </w:r>
      <w:r>
        <w:rPr>
          <w:szCs w:val="32"/>
        </w:rPr>
        <w:t>全面落实公告公示制度，</w:t>
      </w:r>
      <w:r>
        <w:rPr>
          <w:rFonts w:hint="eastAsia"/>
          <w:szCs w:val="32"/>
        </w:rPr>
        <w:t>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二、保质保量推进项目建设。</w:t>
      </w:r>
      <w:r>
        <w:rPr>
          <w:color w:val="000000" w:themeColor="text1"/>
          <w:sz w:val="32"/>
          <w:szCs w:val="32"/>
        </w:rPr>
        <w:t>各</w:t>
      </w:r>
      <w:r>
        <w:rPr>
          <w:rFonts w:hint="eastAsia"/>
          <w:color w:val="000000" w:themeColor="text1"/>
          <w:sz w:val="32"/>
          <w:szCs w:val="32"/>
        </w:rPr>
        <w:t>项</w:t>
      </w:r>
      <w:r>
        <w:rPr>
          <w:rFonts w:hint="eastAsia"/>
          <w:sz w:val="32"/>
          <w:szCs w:val="32"/>
        </w:rPr>
        <w:t>目实施单位强化事前事中事后全链条监管，</w:t>
      </w:r>
      <w:r>
        <w:rPr>
          <w:sz w:val="32"/>
          <w:szCs w:val="32"/>
        </w:rPr>
        <w:t>确保形象进度</w:t>
      </w:r>
      <w:r>
        <w:rPr>
          <w:rFonts w:hint="eastAsia"/>
          <w:sz w:val="32"/>
          <w:szCs w:val="32"/>
        </w:rPr>
        <w:t>质量达标，投资进度真实有效，支付进度规范及时。①各项目单位要在项目计划文件下达</w:t>
      </w:r>
      <w:r>
        <w:rPr>
          <w:sz w:val="32"/>
          <w:szCs w:val="32"/>
        </w:rPr>
        <w:t>60</w:t>
      </w:r>
      <w:r>
        <w:rPr>
          <w:rFonts w:hint="eastAsia"/>
          <w:sz w:val="32"/>
          <w:szCs w:val="32"/>
        </w:rPr>
        <w:t>日内启动项目实施，逾期未启动的收回资金指标另行安排；②各项目单位按照工期计划达到节点要求，未达到要求将调度通报；③各项目单位按照</w:t>
      </w:r>
      <w:r>
        <w:rPr>
          <w:rFonts w:hint="eastAsia"/>
          <w:sz w:val="32"/>
          <w:szCs w:val="32"/>
          <w:lang w:eastAsia="zh-CN"/>
        </w:rPr>
        <w:t>当年</w:t>
      </w:r>
      <w:r>
        <w:rPr>
          <w:rFonts w:hint="eastAsia"/>
          <w:sz w:val="32"/>
          <w:szCs w:val="32"/>
          <w:lang w:val="en-US" w:eastAsia="zh-CN"/>
        </w:rPr>
        <w:t>预算执行率100%</w:t>
      </w:r>
      <w:r>
        <w:rPr>
          <w:rFonts w:hint="eastAsia"/>
          <w:sz w:val="32"/>
          <w:szCs w:val="32"/>
        </w:rPr>
        <w:t>支付进度要求执行，未达到要求将纳入年度考核并与次年资金分配挂钩；④各项目单位要落实监督管理责任，及时发现和纠正存在的风险和问题，创新监管制度，依据风险高低实施差异化监管。（具体要求详见附件）</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color w:val="000000" w:themeColor="text1"/>
          <w:szCs w:val="32"/>
          <w:shd w:val="clear" w:color="auto" w:fill="FFFFFF"/>
        </w:rPr>
        <w:t>三、合法合规落实项目管理。</w:t>
      </w:r>
      <w:r>
        <w:rPr>
          <w:color w:val="000000" w:themeColor="text1"/>
          <w:szCs w:val="32"/>
        </w:rPr>
        <w:t>项目实施按照相关规定签订廉政合同，按规定组织好项目的</w:t>
      </w:r>
      <w:r>
        <w:rPr>
          <w:rFonts w:hint="eastAsia"/>
          <w:color w:val="000000" w:themeColor="text1"/>
          <w:szCs w:val="32"/>
        </w:rPr>
        <w:t>评审、</w:t>
      </w:r>
      <w:r>
        <w:rPr>
          <w:color w:val="000000" w:themeColor="text1"/>
          <w:szCs w:val="32"/>
        </w:rPr>
        <w:t>招投标、政府采购、工程监理、竣工验收、绩效评价、审计评估等工作。加强对项目实施过程的安全检查，并作好相关记录，确保项目实施安全。</w:t>
      </w:r>
      <w:r>
        <w:rPr>
          <w:rFonts w:hint="eastAsia"/>
          <w:color w:val="000000" w:themeColor="text1"/>
          <w:szCs w:val="32"/>
        </w:rPr>
        <w:t>各单位</w:t>
      </w:r>
      <w:r>
        <w:rPr>
          <w:bCs/>
          <w:szCs w:val="32"/>
        </w:rPr>
        <w:t>认真贯彻落实《重庆市财政衔接推进乡村振兴补助资金项目公告公示实施办法》</w:t>
      </w:r>
      <w:r>
        <w:rPr>
          <w:rFonts w:hint="eastAsia"/>
          <w:bCs/>
          <w:szCs w:val="32"/>
        </w:rPr>
        <w:t>（渝委农办〔</w:t>
      </w:r>
      <w:r>
        <w:rPr>
          <w:bCs/>
          <w:szCs w:val="32"/>
        </w:rPr>
        <w:t>2021</w:t>
      </w:r>
      <w:r>
        <w:rPr>
          <w:rFonts w:hint="eastAsia"/>
          <w:bCs/>
          <w:szCs w:val="32"/>
        </w:rPr>
        <w:t>〕</w:t>
      </w:r>
      <w:r>
        <w:rPr>
          <w:bCs/>
          <w:szCs w:val="32"/>
        </w:rPr>
        <w:t>31</w:t>
      </w:r>
      <w:r>
        <w:rPr>
          <w:rFonts w:hint="eastAsia"/>
          <w:bCs/>
          <w:szCs w:val="32"/>
        </w:rPr>
        <w:t>号）</w:t>
      </w:r>
      <w:r>
        <w:rPr>
          <w:bCs/>
          <w:szCs w:val="32"/>
        </w:rPr>
        <w:t>文件精神，全面落实区镇村三级公告公示制度，主动接受群众和社会监督。</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bCs/>
          <w:szCs w:val="32"/>
        </w:rPr>
        <w:t>四、严肃查处腐败和作风问题。</w:t>
      </w:r>
      <w:r>
        <w:rPr>
          <w:bCs/>
          <w:szCs w:val="32"/>
        </w:rPr>
        <w:t>畅通举报渠道，主动接受群众、社会各界监督。进一步健全监督检查机制，及时开展项目实施情况检查，督促项目实施单位限期整改，对拒不整改或整改工作不力、达不到整改效果的严肃追责问责，绝不手软。对衔接资金项目建设中存在的腐败和作风问题要加强线索搜集、重点关注，严禁套取、骗取项目资金，不得重复享受项目补助资金。若有违规违纪问题将移交纪检监察机关处理，违法行为将移送司法机关处理，确保衔接资金用到实处，保障群众利益。</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五、管好用好项目库。</w:t>
      </w:r>
      <w:r>
        <w:rPr>
          <w:color w:val="000000" w:themeColor="text1"/>
          <w:sz w:val="32"/>
          <w:szCs w:val="32"/>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r>
        <w:rPr>
          <w:color w:val="000000" w:themeColor="text1"/>
          <w:szCs w:val="32"/>
        </w:rPr>
        <w:t>附件：</w:t>
      </w:r>
      <w:r>
        <w:rPr>
          <w:rFonts w:hint="eastAsia"/>
          <w:color w:val="000000" w:themeColor="text1"/>
          <w:szCs w:val="32"/>
        </w:rPr>
        <w:t>綦江区2024年度第四批市级衔接推进乡村振兴补助资金项目安排明细表</w:t>
      </w:r>
    </w:p>
    <w:p>
      <w:pPr>
        <w:spacing w:line="576" w:lineRule="exact"/>
        <w:ind w:left="1600" w:leftChars="200" w:hanging="960" w:hangingChars="300"/>
        <w:rPr>
          <w:color w:val="000000" w:themeColor="text1"/>
          <w:szCs w:val="32"/>
        </w:rPr>
      </w:pPr>
    </w:p>
    <w:p>
      <w:pPr>
        <w:spacing w:line="576" w:lineRule="exact"/>
        <w:ind w:firstLine="320" w:firstLineChars="100"/>
        <w:rPr>
          <w:szCs w:val="32"/>
        </w:rPr>
      </w:pPr>
      <w:r>
        <w:rPr>
          <w:szCs w:val="32"/>
        </w:rPr>
        <w:t xml:space="preserve">重庆市綦江区乡村振兴局      </w:t>
      </w:r>
      <w:r>
        <w:rPr>
          <w:rFonts w:hint="eastAsia"/>
          <w:szCs w:val="32"/>
        </w:rPr>
        <w:t xml:space="preserve">   </w:t>
      </w:r>
      <w:r>
        <w:rPr>
          <w:szCs w:val="32"/>
        </w:rPr>
        <w:t xml:space="preserve"> 重庆市綦江区财政局</w:t>
      </w:r>
    </w:p>
    <w:p>
      <w:pPr>
        <w:spacing w:line="576" w:lineRule="exact"/>
        <w:jc w:val="center"/>
      </w:pPr>
      <w:r>
        <w:rPr>
          <w:rFonts w:hint="eastAsia"/>
          <w:szCs w:val="32"/>
        </w:rPr>
        <w:t xml:space="preserve">                               </w:t>
      </w:r>
      <w:r>
        <w:rPr>
          <w:szCs w:val="32"/>
        </w:rPr>
        <w:t>2024年</w:t>
      </w:r>
      <w:r>
        <w:rPr>
          <w:rFonts w:hint="eastAsia"/>
          <w:szCs w:val="32"/>
          <w:lang w:val="en-US" w:eastAsia="zh-CN"/>
        </w:rPr>
        <w:t>10</w:t>
      </w:r>
      <w:r>
        <w:rPr>
          <w:szCs w:val="32"/>
        </w:rPr>
        <w:t>月</w:t>
      </w:r>
      <w:r>
        <w:rPr>
          <w:rFonts w:hint="eastAsia"/>
          <w:szCs w:val="32"/>
          <w:lang w:val="en-US" w:eastAsia="zh-CN"/>
        </w:rPr>
        <w:t>25</w:t>
      </w:r>
      <w:r>
        <w:rPr>
          <w:szCs w:val="32"/>
        </w:rPr>
        <w:t>日</w:t>
      </w:r>
    </w:p>
    <w:p>
      <w:pPr>
        <w:pStyle w:val="5"/>
        <w:spacing w:line="576" w:lineRule="exact"/>
        <w:rPr>
          <w:rFonts w:hint="eastAsia" w:eastAsia="方正仿宋_GBK"/>
          <w:sz w:val="32"/>
          <w:szCs w:val="32"/>
          <w:lang w:eastAsia="zh-CN"/>
        </w:rPr>
      </w:pPr>
      <w:r>
        <w:rPr>
          <w:rFonts w:hint="eastAsia"/>
          <w:sz w:val="32"/>
          <w:szCs w:val="32"/>
          <w:lang w:eastAsia="zh-CN"/>
        </w:rPr>
        <w:t>（此件公开发布）</w:t>
      </w:r>
    </w:p>
    <w:p>
      <w:pPr>
        <w:pStyle w:val="5"/>
        <w:spacing w:line="576" w:lineRule="exact"/>
        <w:rPr>
          <w:sz w:val="32"/>
          <w:szCs w:val="32"/>
        </w:rPr>
      </w:pPr>
      <w:bookmarkStart w:id="0" w:name="_GoBack"/>
      <w:bookmarkEnd w:id="0"/>
    </w:p>
    <w:sectPr>
      <w:footerReference r:id="rId5" w:type="first"/>
      <w:footerReference r:id="rId3" w:type="default"/>
      <w:footerReference r:id="rId4" w:type="even"/>
      <w:pgSz w:w="11906" w:h="16838"/>
      <w:pgMar w:top="2098" w:right="1474" w:bottom="1985" w:left="1588" w:header="851" w:footer="992"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宋体" w:hAnsi="宋体" w:eastAsia="宋体"/>
        <w:sz w:val="28"/>
        <w:szCs w:val="28"/>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宋体" w:hAnsi="宋体" w:eastAsia="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5" o:spid="_x0000_s307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96F9B"/>
    <w:rsid w:val="002F3B0D"/>
    <w:rsid w:val="00323146"/>
    <w:rsid w:val="00364B97"/>
    <w:rsid w:val="00654395"/>
    <w:rsid w:val="006B054E"/>
    <w:rsid w:val="006E0C5D"/>
    <w:rsid w:val="0078001B"/>
    <w:rsid w:val="009C2E8D"/>
    <w:rsid w:val="00E36F95"/>
    <w:rsid w:val="00E52EE6"/>
    <w:rsid w:val="02EC4BD2"/>
    <w:rsid w:val="05997B72"/>
    <w:rsid w:val="06A9677E"/>
    <w:rsid w:val="0785502B"/>
    <w:rsid w:val="0BE35E8C"/>
    <w:rsid w:val="0C525237"/>
    <w:rsid w:val="0C8D50C5"/>
    <w:rsid w:val="0CF66C67"/>
    <w:rsid w:val="0D005DD4"/>
    <w:rsid w:val="0DA7060E"/>
    <w:rsid w:val="10C46534"/>
    <w:rsid w:val="1220319B"/>
    <w:rsid w:val="133F4149"/>
    <w:rsid w:val="14B16142"/>
    <w:rsid w:val="17F233ED"/>
    <w:rsid w:val="187F1162"/>
    <w:rsid w:val="19761967"/>
    <w:rsid w:val="1B4E755A"/>
    <w:rsid w:val="1BB867BB"/>
    <w:rsid w:val="1BFC713A"/>
    <w:rsid w:val="1CDB7931"/>
    <w:rsid w:val="1DEB3B60"/>
    <w:rsid w:val="1E1F5300"/>
    <w:rsid w:val="20B77067"/>
    <w:rsid w:val="219854FD"/>
    <w:rsid w:val="225A66CA"/>
    <w:rsid w:val="24455956"/>
    <w:rsid w:val="24817B1A"/>
    <w:rsid w:val="261C543B"/>
    <w:rsid w:val="26C42C90"/>
    <w:rsid w:val="282E78D1"/>
    <w:rsid w:val="28B47CB5"/>
    <w:rsid w:val="28E25ED4"/>
    <w:rsid w:val="2A99258B"/>
    <w:rsid w:val="2A9C6EB6"/>
    <w:rsid w:val="2CD65B36"/>
    <w:rsid w:val="2E1A4012"/>
    <w:rsid w:val="2F184319"/>
    <w:rsid w:val="325E6787"/>
    <w:rsid w:val="330E722D"/>
    <w:rsid w:val="33AE7A82"/>
    <w:rsid w:val="344B5016"/>
    <w:rsid w:val="35446B8C"/>
    <w:rsid w:val="36E80F76"/>
    <w:rsid w:val="3753537C"/>
    <w:rsid w:val="3B9E2AC2"/>
    <w:rsid w:val="3BA11222"/>
    <w:rsid w:val="3BD8100B"/>
    <w:rsid w:val="3CC24F3A"/>
    <w:rsid w:val="3E153786"/>
    <w:rsid w:val="3EFB03E1"/>
    <w:rsid w:val="3F1051F8"/>
    <w:rsid w:val="3F3F5FE6"/>
    <w:rsid w:val="3FA90E98"/>
    <w:rsid w:val="42E406F6"/>
    <w:rsid w:val="458B06FC"/>
    <w:rsid w:val="46803F69"/>
    <w:rsid w:val="481E005F"/>
    <w:rsid w:val="49F96AA4"/>
    <w:rsid w:val="4D1F6494"/>
    <w:rsid w:val="4D4D021B"/>
    <w:rsid w:val="4E073294"/>
    <w:rsid w:val="4EEA13A7"/>
    <w:rsid w:val="4FC14B44"/>
    <w:rsid w:val="5085007B"/>
    <w:rsid w:val="50F157F3"/>
    <w:rsid w:val="52B30FA2"/>
    <w:rsid w:val="5351521C"/>
    <w:rsid w:val="53E01762"/>
    <w:rsid w:val="55C55E66"/>
    <w:rsid w:val="55FA157E"/>
    <w:rsid w:val="571903F8"/>
    <w:rsid w:val="58AC4CBD"/>
    <w:rsid w:val="5B5B27EA"/>
    <w:rsid w:val="5B617016"/>
    <w:rsid w:val="5C381321"/>
    <w:rsid w:val="5C46675C"/>
    <w:rsid w:val="5C4C2333"/>
    <w:rsid w:val="5CCB5B64"/>
    <w:rsid w:val="5E08087F"/>
    <w:rsid w:val="5EA52572"/>
    <w:rsid w:val="5F0E7453"/>
    <w:rsid w:val="5FEB53D3"/>
    <w:rsid w:val="60F47630"/>
    <w:rsid w:val="61323457"/>
    <w:rsid w:val="61725814"/>
    <w:rsid w:val="61A60ADB"/>
    <w:rsid w:val="61BD395C"/>
    <w:rsid w:val="624F2451"/>
    <w:rsid w:val="64A416DE"/>
    <w:rsid w:val="650302C0"/>
    <w:rsid w:val="65037775"/>
    <w:rsid w:val="66C570D1"/>
    <w:rsid w:val="68475FF6"/>
    <w:rsid w:val="690A420D"/>
    <w:rsid w:val="69240F89"/>
    <w:rsid w:val="693E3C75"/>
    <w:rsid w:val="698D3155"/>
    <w:rsid w:val="6A10568B"/>
    <w:rsid w:val="73633E72"/>
    <w:rsid w:val="75BE8B18"/>
    <w:rsid w:val="791B1D53"/>
    <w:rsid w:val="793312E5"/>
    <w:rsid w:val="794964C4"/>
    <w:rsid w:val="79A84CF6"/>
    <w:rsid w:val="7BEB05BF"/>
    <w:rsid w:val="7C275F73"/>
    <w:rsid w:val="7C5622C9"/>
    <w:rsid w:val="7CCF314A"/>
    <w:rsid w:val="7CD73DE6"/>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szCs w:val="24"/>
    </w:rPr>
  </w:style>
  <w:style w:type="paragraph" w:styleId="3">
    <w:name w:val="toc 5"/>
    <w:basedOn w:val="1"/>
    <w:next w:val="1"/>
    <w:unhideWhenUsed/>
    <w:qFormat/>
    <w:uiPriority w:val="39"/>
    <w:pPr>
      <w:jc w:val="center"/>
    </w:pPr>
    <w:rPr>
      <w:rFonts w:ascii="方正小标宋_GBK" w:hAnsi="方正小标宋_GBK" w:eastAsia="方正小标宋_GBK"/>
      <w:sz w:val="36"/>
    </w:rPr>
  </w:style>
  <w:style w:type="paragraph" w:styleId="4">
    <w:name w:val="Date"/>
    <w:basedOn w:val="1"/>
    <w:next w:val="1"/>
    <w:link w:val="33"/>
    <w:qFormat/>
    <w:uiPriority w:val="0"/>
    <w:pPr>
      <w:ind w:left="100" w:leftChars="2500"/>
    </w:pPr>
  </w:style>
  <w:style w:type="paragraph" w:styleId="5">
    <w:name w:val="footer"/>
    <w:basedOn w:val="1"/>
    <w:link w:val="34"/>
    <w:qFormat/>
    <w:uiPriority w:val="0"/>
    <w:pPr>
      <w:tabs>
        <w:tab w:val="center" w:pos="4153"/>
        <w:tab w:val="right" w:pos="8306"/>
      </w:tabs>
      <w:snapToGrid w:val="0"/>
      <w:jc w:val="left"/>
    </w:pPr>
    <w:rPr>
      <w:sz w:val="18"/>
      <w:szCs w:val="18"/>
    </w:rPr>
  </w:style>
  <w:style w:type="paragraph" w:styleId="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w100"/>
    <w:basedOn w:val="9"/>
    <w:qFormat/>
    <w:uiPriority w:val="0"/>
  </w:style>
  <w:style w:type="character" w:customStyle="1" w:styleId="13">
    <w:name w:val="yjl"/>
    <w:basedOn w:val="9"/>
    <w:qFormat/>
    <w:uiPriority w:val="0"/>
    <w:rPr>
      <w:color w:val="999999"/>
    </w:rPr>
  </w:style>
  <w:style w:type="character" w:customStyle="1" w:styleId="14">
    <w:name w:val="tit36"/>
    <w:basedOn w:val="9"/>
    <w:qFormat/>
    <w:uiPriority w:val="0"/>
    <w:rPr>
      <w:b/>
      <w:bCs/>
      <w:color w:val="333333"/>
      <w:sz w:val="31"/>
      <w:szCs w:val="31"/>
    </w:rPr>
  </w:style>
  <w:style w:type="character" w:customStyle="1" w:styleId="15">
    <w:name w:val="red"/>
    <w:basedOn w:val="9"/>
    <w:qFormat/>
    <w:uiPriority w:val="0"/>
    <w:rPr>
      <w:color w:val="E1211F"/>
    </w:rPr>
  </w:style>
  <w:style w:type="character" w:customStyle="1" w:styleId="16">
    <w:name w:val="red1"/>
    <w:basedOn w:val="9"/>
    <w:qFormat/>
    <w:uiPriority w:val="0"/>
    <w:rPr>
      <w:color w:val="E1211F"/>
    </w:rPr>
  </w:style>
  <w:style w:type="character" w:customStyle="1" w:styleId="17">
    <w:name w:val="red2"/>
    <w:basedOn w:val="9"/>
    <w:qFormat/>
    <w:uiPriority w:val="0"/>
    <w:rPr>
      <w:color w:val="E33938"/>
      <w:u w:val="single"/>
    </w:rPr>
  </w:style>
  <w:style w:type="character" w:customStyle="1" w:styleId="18">
    <w:name w:val="red3"/>
    <w:basedOn w:val="9"/>
    <w:qFormat/>
    <w:uiPriority w:val="0"/>
    <w:rPr>
      <w:color w:val="E1211F"/>
      <w:u w:val="single"/>
    </w:rPr>
  </w:style>
  <w:style w:type="character" w:customStyle="1" w:styleId="19">
    <w:name w:val="red4"/>
    <w:basedOn w:val="9"/>
    <w:qFormat/>
    <w:uiPriority w:val="0"/>
    <w:rPr>
      <w:color w:val="E1211F"/>
    </w:rPr>
  </w:style>
  <w:style w:type="character" w:customStyle="1" w:styleId="20">
    <w:name w:val="red5"/>
    <w:basedOn w:val="9"/>
    <w:qFormat/>
    <w:uiPriority w:val="0"/>
    <w:rPr>
      <w:color w:val="E1211F"/>
    </w:rPr>
  </w:style>
  <w:style w:type="character" w:customStyle="1" w:styleId="21">
    <w:name w:val="arrow"/>
    <w:basedOn w:val="9"/>
    <w:qFormat/>
    <w:uiPriority w:val="0"/>
  </w:style>
  <w:style w:type="character" w:customStyle="1" w:styleId="22">
    <w:name w:val="con8"/>
    <w:basedOn w:val="9"/>
    <w:qFormat/>
    <w:uiPriority w:val="0"/>
  </w:style>
  <w:style w:type="character" w:customStyle="1" w:styleId="23">
    <w:name w:val="cur8"/>
    <w:basedOn w:val="9"/>
    <w:qFormat/>
    <w:uiPriority w:val="0"/>
    <w:rPr>
      <w:color w:val="3354A2"/>
    </w:rPr>
  </w:style>
  <w:style w:type="character" w:customStyle="1" w:styleId="24">
    <w:name w:val="cur9"/>
    <w:basedOn w:val="9"/>
    <w:qFormat/>
    <w:uiPriority w:val="0"/>
    <w:rPr>
      <w:shd w:val="clear" w:color="auto" w:fill="448FE2"/>
    </w:rPr>
  </w:style>
  <w:style w:type="character" w:customStyle="1" w:styleId="25">
    <w:name w:val="hover77"/>
    <w:basedOn w:val="9"/>
    <w:qFormat/>
    <w:uiPriority w:val="0"/>
    <w:rPr>
      <w:b/>
      <w:bCs/>
    </w:rPr>
  </w:style>
  <w:style w:type="character" w:customStyle="1" w:styleId="26">
    <w:name w:val="yj-time"/>
    <w:basedOn w:val="9"/>
    <w:qFormat/>
    <w:uiPriority w:val="0"/>
    <w:rPr>
      <w:color w:val="AAAAAA"/>
      <w:sz w:val="14"/>
      <w:szCs w:val="14"/>
    </w:rPr>
  </w:style>
  <w:style w:type="character" w:customStyle="1" w:styleId="27">
    <w:name w:val="name"/>
    <w:basedOn w:val="9"/>
    <w:qFormat/>
    <w:uiPriority w:val="0"/>
    <w:rPr>
      <w:color w:val="2760B7"/>
    </w:rPr>
  </w:style>
  <w:style w:type="character" w:customStyle="1" w:styleId="28">
    <w:name w:val="yj-blue"/>
    <w:basedOn w:val="9"/>
    <w:qFormat/>
    <w:uiPriority w:val="0"/>
    <w:rPr>
      <w:b/>
      <w:bCs/>
      <w:color w:val="FFFFFF"/>
      <w:sz w:val="16"/>
      <w:szCs w:val="16"/>
      <w:shd w:val="clear" w:color="auto" w:fill="1E84CB"/>
    </w:rPr>
  </w:style>
  <w:style w:type="character" w:customStyle="1" w:styleId="29">
    <w:name w:val="yjr"/>
    <w:basedOn w:val="9"/>
    <w:qFormat/>
    <w:uiPriority w:val="0"/>
  </w:style>
  <w:style w:type="character" w:customStyle="1" w:styleId="30">
    <w:name w:val="tyhl"/>
    <w:basedOn w:val="9"/>
    <w:qFormat/>
    <w:uiPriority w:val="0"/>
    <w:rPr>
      <w:shd w:val="clear" w:color="auto" w:fill="FFFFFF"/>
    </w:rPr>
  </w:style>
  <w:style w:type="character" w:customStyle="1" w:styleId="31">
    <w:name w:val="sp"/>
    <w:basedOn w:val="9"/>
    <w:qFormat/>
    <w:uiPriority w:val="0"/>
    <w:rPr>
      <w:b/>
      <w:bCs/>
      <w:color w:val="307CD2"/>
    </w:rPr>
  </w:style>
  <w:style w:type="character" w:customStyle="1" w:styleId="32">
    <w:name w:val="页眉 Char"/>
    <w:basedOn w:val="9"/>
    <w:link w:val="6"/>
    <w:qFormat/>
    <w:uiPriority w:val="0"/>
    <w:rPr>
      <w:rFonts w:eastAsia="方正仿宋_GBK"/>
      <w:kern w:val="2"/>
      <w:sz w:val="18"/>
      <w:szCs w:val="18"/>
    </w:rPr>
  </w:style>
  <w:style w:type="character" w:customStyle="1" w:styleId="33">
    <w:name w:val="日期 Char"/>
    <w:basedOn w:val="9"/>
    <w:link w:val="4"/>
    <w:qFormat/>
    <w:uiPriority w:val="0"/>
    <w:rPr>
      <w:rFonts w:eastAsia="方正仿宋_GBK"/>
      <w:kern w:val="2"/>
      <w:sz w:val="32"/>
    </w:rPr>
  </w:style>
  <w:style w:type="character" w:customStyle="1" w:styleId="34">
    <w:name w:val="页脚 Char"/>
    <w:basedOn w:val="9"/>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1227</Words>
  <Characters>1268</Characters>
  <Lines>1</Lines>
  <Paragraphs>2</Paragraphs>
  <TotalTime>13</TotalTime>
  <ScaleCrop>false</ScaleCrop>
  <LinksUpToDate>false</LinksUpToDate>
  <CharactersWithSpaces>1328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2021-12-26T17:16:00Z</dcterms:created>
  <dc:creator>XIA</dc:creator>
  <cp:lastModifiedBy>user</cp:lastModifiedBy>
  <cp:lastPrinted>2024-08-26T16:04:00Z</cp:lastPrinted>
  <dcterms:modified xsi:type="dcterms:W3CDTF">2026-06-15T16:41:52Z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EC04054E5B8645FA8DD2DE906A7FEC2A</vt:lpwstr>
  </property>
</Properties>
</file>