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line="576" w:lineRule="exact"/>
        <w:jc w:val="center"/>
        <w:textAlignment w:val="baseline"/>
        <w:outlineLvl w:val="0"/>
        <w:rPr>
          <w:rFonts w:hint="eastAsia" w:ascii="Arial" w:hAnsi="Arial" w:eastAsia="方正小标宋_GBK" w:cs="Arial"/>
          <w:snapToGrid w:val="0"/>
          <w:color w:val="000000"/>
          <w:kern w:val="0"/>
          <w:sz w:val="40"/>
          <w:szCs w:val="44"/>
          <w:shd w:val="clear" w:color="auto" w:fill="FFFFFF"/>
        </w:rPr>
      </w:pPr>
      <w:bookmarkStart w:id="0" w:name="_GoBack"/>
      <w:r>
        <w:rPr>
          <w:rFonts w:ascii="Arial" w:hAnsi="Arial" w:eastAsia="方正仿宋_GBK" w:cs="Arial"/>
          <w:snapToGrid w:val="0"/>
          <w:color w:val="000000"/>
          <w:spacing w:val="20"/>
          <w:kern w:val="0"/>
          <w:sz w:val="32"/>
          <w:szCs w:val="32"/>
        </w:rPr>
        <w:t>綦委农办〔</w:t>
      </w:r>
      <w:r>
        <w:rPr>
          <w:rFonts w:ascii="Times New Roman" w:hAnsi="Times New Roman" w:eastAsia="方正仿宋_GBK"/>
          <w:snapToGrid w:val="0"/>
          <w:color w:val="000000"/>
          <w:spacing w:val="20"/>
          <w:kern w:val="0"/>
          <w:sz w:val="32"/>
          <w:szCs w:val="32"/>
        </w:rPr>
        <w:t>2024</w:t>
      </w:r>
      <w:r>
        <w:rPr>
          <w:rFonts w:ascii="Arial" w:hAnsi="Arial" w:eastAsia="方正仿宋_GBK" w:cs="Arial"/>
          <w:snapToGrid w:val="0"/>
          <w:color w:val="000000"/>
          <w:spacing w:val="2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20"/>
          <w:kern w:val="0"/>
          <w:sz w:val="32"/>
          <w:szCs w:val="32"/>
          <w:lang w:val="en-US" w:eastAsia="zh-CN"/>
        </w:rPr>
        <w:t>1</w:t>
      </w:r>
      <w:r>
        <w:rPr>
          <w:rFonts w:ascii="Arial" w:hAnsi="Arial" w:eastAsia="方正仿宋_GBK" w:cs="Arial"/>
          <w:snapToGrid w:val="0"/>
          <w:color w:val="000000"/>
          <w:spacing w:val="20"/>
          <w:kern w:val="0"/>
          <w:sz w:val="32"/>
          <w:szCs w:val="32"/>
        </w:rPr>
        <w:t>号</w:t>
      </w:r>
      <w:bookmarkEnd w:id="0"/>
    </w:p>
    <w:p>
      <w:pPr>
        <w:widowControl/>
        <w:kinsoku w:val="0"/>
        <w:overflowPunct w:val="0"/>
        <w:autoSpaceDE w:val="0"/>
        <w:autoSpaceDN w:val="0"/>
        <w:adjustRightInd w:val="0"/>
        <w:snapToGrid w:val="0"/>
        <w:spacing w:line="500" w:lineRule="exact"/>
        <w:jc w:val="center"/>
        <w:textAlignment w:val="baseline"/>
        <w:outlineLvl w:val="1"/>
        <w:rPr>
          <w:rFonts w:hint="eastAsia" w:ascii="Times New Roman" w:hAnsi="方正小标宋_GBK" w:eastAsia="方正小标宋_GBK"/>
          <w:sz w:val="44"/>
          <w:szCs w:val="44"/>
        </w:rPr>
      </w:pPr>
    </w:p>
    <w:p>
      <w:pPr>
        <w:widowControl/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center"/>
        <w:textAlignment w:val="baseline"/>
        <w:outlineLvl w:val="1"/>
        <w:rPr>
          <w:rFonts w:hint="eastAsia" w:ascii="Arial" w:hAnsi="Arial" w:eastAsia="方正小标宋_GBK" w:cs="Arial"/>
          <w:snapToGrid w:val="0"/>
          <w:color w:val="000000"/>
          <w:kern w:val="0"/>
          <w:sz w:val="44"/>
          <w:szCs w:val="44"/>
        </w:rPr>
      </w:pPr>
      <w:r>
        <w:rPr>
          <w:rFonts w:ascii="Times New Roman" w:hAnsi="方正小标宋_GBK" w:eastAsia="方正小标宋_GBK"/>
          <w:sz w:val="44"/>
          <w:szCs w:val="44"/>
        </w:rPr>
        <w:t>中共重庆市綦江区委农村工作暨实施乡村振兴</w:t>
      </w:r>
      <w:r>
        <w:rPr>
          <w:rFonts w:ascii="Times New Roman" w:hAnsi="方正小标宋_GBK" w:eastAsia="方正小标宋_GBK"/>
          <w:spacing w:val="-20"/>
          <w:sz w:val="44"/>
          <w:szCs w:val="44"/>
        </w:rPr>
        <w:t>战略领导小组办公室</w:t>
      </w:r>
      <w:r>
        <w:rPr>
          <w:rFonts w:ascii="Times New Roman" w:hAnsi="Times New Roman" w:eastAsia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</w:rPr>
        <w:t>印发</w:t>
      </w:r>
      <w:r>
        <w:rPr>
          <w:rFonts w:ascii="Times New Roman" w:hAnsi="Times New Roman" w:eastAsia="方正小标宋_GBK"/>
          <w:sz w:val="44"/>
          <w:szCs w:val="44"/>
        </w:rPr>
        <w:t>2024年巩固拓展脱贫攻坚成果产业发展扶持政策的通知</w:t>
      </w:r>
    </w:p>
    <w:p>
      <w:pPr>
        <w:spacing w:before="312" w:beforeLines="100" w:line="4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各街道办事处、各镇人民政府，区级有关部门：</w:t>
      </w:r>
    </w:p>
    <w:p>
      <w:pPr>
        <w:spacing w:line="48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为持续巩固拓展脱贫攻坚成果，支持脱贫</w:t>
      </w:r>
      <w:r>
        <w:rPr>
          <w:rFonts w:hint="eastAsia" w:ascii="Times New Roman" w:hAnsi="Times New Roman" w:eastAsia="方正仿宋_GBK"/>
          <w:sz w:val="32"/>
          <w:szCs w:val="32"/>
        </w:rPr>
        <w:t>户和监测对象</w:t>
      </w:r>
      <w:r>
        <w:rPr>
          <w:rFonts w:ascii="Times New Roman" w:hAnsi="Times New Roman" w:eastAsia="方正仿宋_GBK"/>
          <w:sz w:val="32"/>
          <w:szCs w:val="32"/>
        </w:rPr>
        <w:t>产业规模化发展，达到持续稳定增收效果，经研究同意，现就2024年巩固拓展脱贫攻坚成果产业发展扶持政策相关事项通知如下。</w:t>
      </w:r>
    </w:p>
    <w:p>
      <w:pPr>
        <w:spacing w:line="480" w:lineRule="exact"/>
        <w:ind w:firstLine="640" w:firstLineChars="200"/>
        <w:outlineLvl w:val="0"/>
        <w:rPr>
          <w:rFonts w:ascii="Times New Roman" w:hAnsi="Times New Roman" w:eastAsia="方正黑体_GBK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黑体_GBK"/>
          <w:color w:val="333333"/>
          <w:kern w:val="0"/>
          <w:sz w:val="32"/>
          <w:szCs w:val="32"/>
          <w:shd w:val="clear" w:color="auto" w:fill="FFFFFF"/>
          <w:lang w:bidi="ar"/>
        </w:rPr>
        <w:t>一、扶持对象</w:t>
      </w:r>
    </w:p>
    <w:p>
      <w:pPr>
        <w:spacing w:line="480" w:lineRule="exact"/>
        <w:ind w:firstLine="640" w:firstLineChars="200"/>
        <w:rPr>
          <w:rFonts w:ascii="Times New Roman" w:hAnsi="Times New Roman" w:eastAsia="微软雅黑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  <w:lang w:bidi="ar"/>
        </w:rPr>
        <w:t>全区有劳动能力、有产业发展意愿的脱贫户、监测</w:t>
      </w:r>
      <w:r>
        <w:rPr>
          <w:rFonts w:hint="eastAsia"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  <w:lang w:bidi="ar"/>
        </w:rPr>
        <w:t>对象</w:t>
      </w:r>
      <w:r>
        <w:rPr>
          <w:rFonts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spacing w:line="480" w:lineRule="exact"/>
        <w:ind w:left="640"/>
        <w:outlineLvl w:val="0"/>
        <w:rPr>
          <w:rFonts w:ascii="Times New Roman" w:hAnsi="Times New Roman" w:eastAsia="方正黑体_GBK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黑体_GBK"/>
          <w:color w:val="333333"/>
          <w:kern w:val="0"/>
          <w:sz w:val="32"/>
          <w:szCs w:val="32"/>
          <w:shd w:val="clear" w:color="auto" w:fill="FFFFFF"/>
          <w:lang w:bidi="ar"/>
        </w:rPr>
        <w:t>二、扶持产业</w:t>
      </w:r>
    </w:p>
    <w:p>
      <w:pPr>
        <w:pStyle w:val="4"/>
        <w:widowControl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鼓励有条件的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  <w:lang w:bidi="ar"/>
        </w:rPr>
        <w:t>脱贫户、监测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bidi="ar"/>
        </w:rPr>
        <w:t>对象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因地因户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施策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，发展优质稻、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其它粮油、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生猪、蔬菜、山羊、肉兔、水产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、家禽（鸡、鸭、鹅）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等特色种养业，详见补助项目及标准（附件1）。</w:t>
      </w:r>
    </w:p>
    <w:p>
      <w:pPr>
        <w:widowControl/>
        <w:spacing w:line="480" w:lineRule="exact"/>
        <w:ind w:left="640"/>
        <w:jc w:val="left"/>
        <w:outlineLvl w:val="0"/>
        <w:rPr>
          <w:rFonts w:ascii="Times New Roman" w:hAnsi="Times New Roman" w:eastAsia="方正黑体_GBK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黑体_GBK"/>
          <w:color w:val="333333"/>
          <w:kern w:val="0"/>
          <w:sz w:val="32"/>
          <w:szCs w:val="32"/>
          <w:shd w:val="clear" w:color="auto" w:fill="FFFFFF"/>
          <w:lang w:bidi="ar"/>
        </w:rPr>
        <w:t>三、扶持范围</w:t>
      </w:r>
    </w:p>
    <w:p>
      <w:pPr>
        <w:widowControl/>
        <w:spacing w:line="480" w:lineRule="exact"/>
        <w:ind w:firstLine="640" w:firstLineChars="200"/>
        <w:jc w:val="left"/>
        <w:rPr>
          <w:rFonts w:ascii="Times New Roman" w:hAnsi="Times New Roman" w:eastAsia="微软雅黑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  <w:lang w:bidi="ar"/>
        </w:rPr>
        <w:t>2024年以来脱贫户、监测</w:t>
      </w:r>
      <w:r>
        <w:rPr>
          <w:rFonts w:hint="eastAsia"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  <w:lang w:bidi="ar"/>
        </w:rPr>
        <w:t>对象</w:t>
      </w:r>
      <w:r>
        <w:rPr>
          <w:rFonts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  <w:lang w:bidi="ar"/>
        </w:rPr>
        <w:t>新发展的种养业。</w:t>
      </w:r>
    </w:p>
    <w:p>
      <w:pPr>
        <w:spacing w:line="480" w:lineRule="exact"/>
        <w:ind w:left="640"/>
        <w:outlineLvl w:val="0"/>
        <w:rPr>
          <w:rFonts w:ascii="Times New Roman" w:hAnsi="Times New Roman" w:eastAsia="方正黑体_GBK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黑体_GBK"/>
          <w:color w:val="333333"/>
          <w:kern w:val="0"/>
          <w:sz w:val="32"/>
          <w:szCs w:val="32"/>
          <w:shd w:val="clear" w:color="auto" w:fill="FFFFFF"/>
          <w:lang w:bidi="ar"/>
        </w:rPr>
        <w:t>四、有关要求</w:t>
      </w:r>
    </w:p>
    <w:p>
      <w:pPr>
        <w:spacing w:line="48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/>
          <w:bCs/>
          <w:color w:val="000000"/>
          <w:sz w:val="32"/>
          <w:szCs w:val="32"/>
          <w:shd w:val="clear" w:color="auto" w:fill="FFFFFF"/>
        </w:rPr>
        <w:t>（一）加大政策宣传。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各街镇要高度重视，大力宣传，让新的产业发展政策深入人心，鼓励</w:t>
      </w:r>
      <w:r>
        <w:rPr>
          <w:rFonts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  <w:lang w:bidi="ar"/>
        </w:rPr>
        <w:t>脱贫户、监测</w:t>
      </w:r>
      <w:r>
        <w:rPr>
          <w:rFonts w:hint="eastAsia"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  <w:lang w:bidi="ar"/>
        </w:rPr>
        <w:t>对象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规模化发展产业。</w:t>
      </w:r>
    </w:p>
    <w:p>
      <w:pPr>
        <w:spacing w:line="48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/>
          <w:color w:val="000000"/>
          <w:sz w:val="32"/>
          <w:szCs w:val="32"/>
          <w:shd w:val="clear" w:color="auto" w:fill="FFFFFF"/>
        </w:rPr>
        <w:t>（二）严把验收关。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各街镇要每月组织验收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，切实做到发展一批、验收一批、报送一批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  <w:lang w:bidi="ar"/>
        </w:rPr>
        <w:t>严格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“谁验收、谁签字、谁负责”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的原则，把好验收质量关，详见验收办法（附件2）。</w:t>
      </w:r>
    </w:p>
    <w:p>
      <w:pPr>
        <w:spacing w:line="480" w:lineRule="exact"/>
        <w:ind w:firstLine="64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eastAsia="方正楷体_GBK"/>
          <w:color w:val="000000"/>
          <w:sz w:val="32"/>
          <w:szCs w:val="32"/>
          <w:shd w:val="clear" w:color="auto" w:fill="FFFFFF"/>
        </w:rPr>
        <w:t>（三）强化技术指导。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产业指导员和农技人员要深入田间地头，现场指导</w:t>
      </w:r>
      <w:r>
        <w:rPr>
          <w:rFonts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  <w:lang w:bidi="ar"/>
        </w:rPr>
        <w:t>脱贫户、监测</w:t>
      </w:r>
      <w:r>
        <w:rPr>
          <w:rFonts w:hint="eastAsia"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  <w:lang w:bidi="ar"/>
        </w:rPr>
        <w:t>对象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开展农业生产，提高他们的生产技术水平，为</w:t>
      </w:r>
      <w:r>
        <w:rPr>
          <w:rFonts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  <w:lang w:bidi="ar"/>
        </w:rPr>
        <w:t>脱贫户、监测</w:t>
      </w:r>
      <w:r>
        <w:rPr>
          <w:rFonts w:hint="eastAsia"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  <w:lang w:bidi="ar"/>
        </w:rPr>
        <w:t>对象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通过发展农业产业增收致富提供强力的技术支撑。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eastAsia="方正楷体_GBK"/>
          <w:bCs/>
          <w:color w:val="000000"/>
          <w:sz w:val="32"/>
          <w:szCs w:val="32"/>
          <w:shd w:val="clear" w:color="auto" w:fill="FFFFFF"/>
        </w:rPr>
        <w:t>（四）严格责任追究。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严禁套取、骗取产业发展扶持资金，对套取、骗取产业发展扶持资金的行为，按国家相关法律法规，移送相关部门予以严肃查处。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街镇、村为产业验收主体，承担产业验收主体责任。</w:t>
      </w:r>
    </w:p>
    <w:p>
      <w:pPr>
        <w:spacing w:line="480" w:lineRule="exact"/>
        <w:ind w:firstLine="640" w:firstLineChars="200"/>
        <w:outlineLvl w:val="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附件：1.綦江区2024年巩固拓展脱贫攻坚成果产业发展补</w:t>
      </w:r>
    </w:p>
    <w:p>
      <w:pPr>
        <w:spacing w:line="480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助项目及标准</w:t>
      </w:r>
    </w:p>
    <w:p>
      <w:pPr>
        <w:spacing w:line="480" w:lineRule="exact"/>
        <w:ind w:firstLine="1699" w:firstLineChars="531"/>
        <w:outlineLvl w:val="0"/>
        <w:rPr>
          <w:rFonts w:ascii="Times New Roman" w:hAnsi="Times New Roman" w:eastAsia="方正仿宋_GBK"/>
          <w:spacing w:val="-20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ascii="Times New Roman" w:hAnsi="Times New Roman" w:eastAsia="方正仿宋_GBK"/>
          <w:spacing w:val="-20"/>
          <w:sz w:val="32"/>
          <w:szCs w:val="32"/>
        </w:rPr>
        <w:t>綦江区2024年巩固拓展脱贫攻坚成果产业发展验收办法</w:t>
      </w:r>
    </w:p>
    <w:p>
      <w:pPr>
        <w:spacing w:line="480" w:lineRule="exact"/>
        <w:ind w:left="1600" w:firstLine="320" w:firstLineChars="1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left="1600" w:firstLine="320" w:firstLineChars="1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</w:t>
      </w:r>
    </w:p>
    <w:p>
      <w:pPr>
        <w:spacing w:line="480" w:lineRule="exact"/>
        <w:ind w:firstLine="408" w:firstLineChars="1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w w:val="85"/>
          <w:sz w:val="32"/>
          <w:szCs w:val="32"/>
        </w:rPr>
        <w:t xml:space="preserve">    中共重庆市綦江区委农村工作暨实施乡村振兴战略领导小组办公室</w:t>
      </w:r>
    </w:p>
    <w:p>
      <w:pPr>
        <w:spacing w:line="480" w:lineRule="exact"/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</w:t>
      </w:r>
      <w:r>
        <w:rPr>
          <w:rFonts w:ascii="Times New Roman" w:hAnsi="Times New Roman" w:eastAsia="方正仿宋_GBK"/>
          <w:sz w:val="32"/>
          <w:szCs w:val="32"/>
        </w:rPr>
        <w:t xml:space="preserve">  2024年</w:t>
      </w:r>
      <w:r>
        <w:rPr>
          <w:rFonts w:ascii="Times New Roman" w:hAnsi="Times New Roman" w:eastAsia="方正仿宋_GBK"/>
          <w:sz w:val="32"/>
          <w:szCs w:val="32"/>
        </w:rPr>
        <w:pict>
          <v:shape id="Control 1029" o:spid="_x0000_s1026" o:spt="201" type="#_x0000_t201" style="position:absolute;left:0pt;margin-left:256.5pt;margin-top:492.3pt;height:119.25pt;width:119.25pt;mso-position-horizontal-relative:page;mso-position-vertical-relative:page;z-index:-251657216;mso-width-relative:page;mso-height-relative:page;" o:ole="t" filled="f" stroked="f" coordsize="21600,21600">
            <v:path/>
            <v:fill on="f" focussize="0,0"/>
            <v:stroke on="f"/>
            <v:imagedata r:id="rId8" o:title=""/>
            <o:lock v:ext="edit" grouping="f" rotation="f" text="f" aspectratio="t"/>
          </v:shape>
          <w:control r:id="rId7" w:name="SignatureCtrl1" w:shapeid="Control 1029"/>
        </w:pict>
      </w:r>
      <w:r>
        <w:rPr>
          <w:rFonts w:ascii="Times New Roman" w:hAnsi="Times New Roman" w:eastAsia="方正仿宋_GBK"/>
          <w:sz w:val="32"/>
          <w:szCs w:val="32"/>
        </w:rPr>
        <w:t>2月22日</w:t>
      </w:r>
    </w:p>
    <w:sectPr>
      <w:footerReference r:id="rId5" w:type="default"/>
      <w:pgSz w:w="11906" w:h="16838"/>
      <w:pgMar w:top="2098" w:right="1474" w:bottom="1985" w:left="1588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27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2024-02-22T02:40:42Z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