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516B0">
      <w:pPr>
        <w:rPr>
          <w:rFonts w:ascii="仿宋_GB2312" w:hAnsi="仿宋_GB2312" w:eastAsia="仿宋_GB2312" w:cs="仿宋_GB2312"/>
          <w:color w:val="auto"/>
          <w:kern w:val="21"/>
          <w:sz w:val="36"/>
          <w:szCs w:val="36"/>
          <w:highlight w:val="none"/>
        </w:rPr>
      </w:pPr>
    </w:p>
    <w:p w14:paraId="4F67F92E">
      <w:pPr>
        <w:rPr>
          <w:rFonts w:ascii="仿宋_GB2312" w:hAnsi="仿宋_GB2312" w:eastAsia="仿宋_GB2312" w:cs="仿宋_GB2312"/>
          <w:color w:val="auto"/>
          <w:kern w:val="21"/>
          <w:sz w:val="36"/>
          <w:szCs w:val="36"/>
          <w:highlight w:val="none"/>
        </w:rPr>
      </w:pPr>
    </w:p>
    <w:p w14:paraId="37BF13D6">
      <w:pPr>
        <w:rPr>
          <w:rFonts w:ascii="仿宋_GB2312" w:hAnsi="仿宋_GB2312" w:eastAsia="仿宋_GB2312" w:cs="仿宋_GB2312"/>
          <w:color w:val="auto"/>
          <w:kern w:val="21"/>
          <w:sz w:val="36"/>
          <w:szCs w:val="36"/>
          <w:highlight w:val="none"/>
        </w:rPr>
      </w:pPr>
    </w:p>
    <w:p w14:paraId="52AC8796">
      <w:pPr>
        <w:rPr>
          <w:rFonts w:ascii="仿宋_GB2312" w:hAnsi="仿宋_GB2312" w:eastAsia="仿宋_GB2312" w:cs="仿宋_GB2312"/>
          <w:color w:val="auto"/>
          <w:kern w:val="21"/>
          <w:sz w:val="36"/>
          <w:szCs w:val="36"/>
          <w:highlight w:val="none"/>
        </w:rPr>
      </w:pPr>
    </w:p>
    <w:p w14:paraId="25064B7C">
      <w:pPr>
        <w:adjustRightInd w:val="0"/>
        <w:snapToGrid w:val="0"/>
        <w:jc w:val="center"/>
        <w:outlineLvl w:val="0"/>
        <w:rPr>
          <w:rFonts w:ascii="方正小标宋_GBK" w:eastAsia="方正小标宋_GBK"/>
          <w:bCs/>
          <w:color w:val="auto"/>
          <w:kern w:val="21"/>
          <w:sz w:val="72"/>
          <w:szCs w:val="72"/>
          <w:highlight w:val="none"/>
        </w:rPr>
      </w:pPr>
      <w:r>
        <w:rPr>
          <w:rFonts w:hint="eastAsia" w:ascii="方正小标宋_GBK" w:eastAsia="方正小标宋_GBK"/>
          <w:bCs/>
          <w:color w:val="auto"/>
          <w:kern w:val="21"/>
          <w:sz w:val="72"/>
          <w:szCs w:val="72"/>
          <w:highlight w:val="none"/>
        </w:rPr>
        <w:t>建设项目环境影响报告表</w:t>
      </w:r>
    </w:p>
    <w:p w14:paraId="5709608F">
      <w:pPr>
        <w:adjustRightInd w:val="0"/>
        <w:snapToGrid w:val="0"/>
        <w:spacing w:before="192" w:beforeLines="80"/>
        <w:jc w:val="center"/>
        <w:rPr>
          <w:rFonts w:hint="eastAsia" w:ascii="楷体_GB2312" w:eastAsia="楷体_GB2312"/>
          <w:bCs/>
          <w:color w:val="auto"/>
          <w:kern w:val="21"/>
          <w:sz w:val="48"/>
          <w:szCs w:val="48"/>
          <w:highlight w:val="none"/>
        </w:rPr>
      </w:pPr>
      <w:r>
        <w:rPr>
          <w:rFonts w:hint="eastAsia" w:ascii="楷体_GB2312" w:eastAsia="楷体_GB2312"/>
          <w:bCs/>
          <w:color w:val="auto"/>
          <w:kern w:val="21"/>
          <w:sz w:val="48"/>
          <w:szCs w:val="48"/>
          <w:highlight w:val="none"/>
        </w:rPr>
        <w:t>（污染影响类）</w:t>
      </w:r>
    </w:p>
    <w:p w14:paraId="1822ED0E">
      <w:pPr>
        <w:adjustRightInd w:val="0"/>
        <w:snapToGrid w:val="0"/>
        <w:spacing w:before="192" w:beforeLines="80"/>
        <w:jc w:val="center"/>
        <w:rPr>
          <w:rFonts w:hint="eastAsia" w:ascii="楷体_GB2312" w:eastAsia="楷体_GB2312"/>
          <w:bCs/>
          <w:color w:val="auto"/>
          <w:kern w:val="21"/>
          <w:sz w:val="48"/>
          <w:szCs w:val="48"/>
          <w:highlight w:val="none"/>
          <w:lang w:eastAsia="zh-CN"/>
        </w:rPr>
      </w:pPr>
      <w:r>
        <w:rPr>
          <w:rFonts w:hint="eastAsia" w:ascii="楷体_GB2312" w:eastAsia="楷体_GB2312"/>
          <w:bCs/>
          <w:color w:val="auto"/>
          <w:kern w:val="21"/>
          <w:sz w:val="48"/>
          <w:szCs w:val="48"/>
          <w:highlight w:val="none"/>
          <w:lang w:eastAsia="zh-CN"/>
        </w:rPr>
        <w:t>（</w:t>
      </w:r>
      <w:r>
        <w:rPr>
          <w:rFonts w:hint="eastAsia" w:ascii="楷体_GB2312" w:eastAsia="楷体_GB2312"/>
          <w:bCs/>
          <w:color w:val="auto"/>
          <w:kern w:val="21"/>
          <w:sz w:val="48"/>
          <w:szCs w:val="48"/>
          <w:highlight w:val="none"/>
          <w:lang w:val="en-US" w:eastAsia="zh-CN"/>
        </w:rPr>
        <w:t>公示版</w:t>
      </w:r>
      <w:r>
        <w:rPr>
          <w:rFonts w:hint="eastAsia" w:ascii="楷体_GB2312" w:eastAsia="楷体_GB2312"/>
          <w:bCs/>
          <w:color w:val="auto"/>
          <w:kern w:val="21"/>
          <w:sz w:val="48"/>
          <w:szCs w:val="48"/>
          <w:highlight w:val="none"/>
          <w:lang w:eastAsia="zh-CN"/>
        </w:rPr>
        <w:t>）</w:t>
      </w:r>
    </w:p>
    <w:p w14:paraId="18BF2C3F">
      <w:pPr>
        <w:rPr>
          <w:color w:val="auto"/>
          <w:highlight w:val="none"/>
        </w:rPr>
      </w:pPr>
    </w:p>
    <w:p w14:paraId="34A9434B">
      <w:pPr>
        <w:ind w:firstLine="1040"/>
        <w:rPr>
          <w:rFonts w:eastAsia="仿宋"/>
          <w:color w:val="auto"/>
          <w:kern w:val="21"/>
          <w:sz w:val="44"/>
          <w:szCs w:val="44"/>
          <w:highlight w:val="none"/>
        </w:rPr>
      </w:pPr>
    </w:p>
    <w:p w14:paraId="206A8254">
      <w:pPr>
        <w:ind w:firstLine="1040"/>
        <w:rPr>
          <w:rFonts w:eastAsia="仿宋"/>
          <w:color w:val="auto"/>
          <w:kern w:val="21"/>
          <w:sz w:val="44"/>
          <w:szCs w:val="44"/>
          <w:highlight w:val="none"/>
        </w:rPr>
      </w:pPr>
    </w:p>
    <w:p w14:paraId="563B20AA">
      <w:pPr>
        <w:ind w:firstLine="1040"/>
        <w:rPr>
          <w:rFonts w:eastAsia="仿宋"/>
          <w:color w:val="auto"/>
          <w:kern w:val="21"/>
          <w:sz w:val="44"/>
          <w:szCs w:val="44"/>
          <w:highlight w:val="none"/>
        </w:rPr>
      </w:pPr>
    </w:p>
    <w:p w14:paraId="48CB6C93">
      <w:pPr>
        <w:ind w:firstLine="1040"/>
        <w:rPr>
          <w:rFonts w:eastAsia="仿宋"/>
          <w:color w:val="auto"/>
          <w:kern w:val="21"/>
          <w:sz w:val="44"/>
          <w:szCs w:val="44"/>
          <w:highlight w:val="none"/>
        </w:rPr>
      </w:pPr>
    </w:p>
    <w:p w14:paraId="08EF46AA">
      <w:pPr>
        <w:adjustRightInd w:val="0"/>
        <w:snapToGrid w:val="0"/>
        <w:spacing w:line="288" w:lineRule="auto"/>
        <w:rPr>
          <w:rFonts w:hint="default" w:eastAsia="仿宋_GB2312"/>
          <w:color w:val="auto"/>
          <w:kern w:val="21"/>
          <w:sz w:val="36"/>
          <w:szCs w:val="36"/>
          <w:highlight w:val="none"/>
          <w:u w:val="single"/>
          <w:lang w:val="en-US"/>
        </w:rPr>
      </w:pPr>
      <w:r>
        <w:rPr>
          <w:rFonts w:eastAsia="仿宋_GB2312"/>
          <w:color w:val="auto"/>
          <w:kern w:val="21"/>
          <w:sz w:val="36"/>
          <w:szCs w:val="36"/>
          <w:highlight w:val="none"/>
        </w:rPr>
        <w:t>项目名称：</w:t>
      </w:r>
      <w:r>
        <w:rPr>
          <w:rFonts w:hint="eastAsia" w:eastAsia="仿宋_GB2312"/>
          <w:color w:val="auto"/>
          <w:kern w:val="21"/>
          <w:sz w:val="36"/>
          <w:szCs w:val="36"/>
          <w:highlight w:val="none"/>
          <w:u w:val="single"/>
          <w:lang w:val="en-US" w:eastAsia="zh-CN"/>
        </w:rPr>
        <w:t>摩托车离合器、电动车变速器总成及配件建设项目（重新报批）</w:t>
      </w:r>
    </w:p>
    <w:p w14:paraId="2368A774">
      <w:pPr>
        <w:adjustRightInd w:val="0"/>
        <w:snapToGrid w:val="0"/>
        <w:spacing w:line="288" w:lineRule="auto"/>
        <w:rPr>
          <w:rFonts w:hint="default" w:eastAsia="仿宋_GB2312"/>
          <w:color w:val="auto"/>
          <w:kern w:val="21"/>
          <w:sz w:val="36"/>
          <w:szCs w:val="36"/>
          <w:highlight w:val="none"/>
          <w:u w:val="single"/>
          <w:lang w:val="en-US" w:eastAsia="zh-CN"/>
        </w:rPr>
      </w:pPr>
      <w:r>
        <w:rPr>
          <w:rFonts w:eastAsia="仿宋_GB2312"/>
          <w:color w:val="auto"/>
          <w:kern w:val="21"/>
          <w:sz w:val="36"/>
          <w:szCs w:val="36"/>
          <w:highlight w:val="none"/>
        </w:rPr>
        <w:t>建设单位（盖章）：</w:t>
      </w:r>
      <w:r>
        <w:rPr>
          <w:rFonts w:eastAsia="仿宋_GB2312"/>
          <w:color w:val="auto"/>
          <w:kern w:val="21"/>
          <w:sz w:val="36"/>
          <w:szCs w:val="36"/>
          <w:highlight w:val="none"/>
          <w:u w:val="single"/>
        </w:rPr>
        <w:t xml:space="preserve">  </w:t>
      </w:r>
      <w:r>
        <w:rPr>
          <w:rFonts w:hint="eastAsia" w:eastAsia="仿宋_GB2312"/>
          <w:color w:val="auto"/>
          <w:kern w:val="21"/>
          <w:sz w:val="36"/>
          <w:szCs w:val="36"/>
          <w:highlight w:val="none"/>
          <w:u w:val="single"/>
          <w:lang w:val="en-US" w:eastAsia="zh-CN"/>
        </w:rPr>
        <w:t xml:space="preserve">  重庆强劲动力技术有限公司  </w:t>
      </w:r>
      <w:r>
        <w:rPr>
          <w:rFonts w:eastAsia="仿宋_GB2312"/>
          <w:color w:val="auto"/>
          <w:kern w:val="21"/>
          <w:sz w:val="36"/>
          <w:szCs w:val="36"/>
          <w:highlight w:val="none"/>
          <w:u w:val="single"/>
        </w:rPr>
        <w:t xml:space="preserve">   </w:t>
      </w:r>
      <w:r>
        <w:rPr>
          <w:rFonts w:hint="eastAsia" w:eastAsia="仿宋_GB2312"/>
          <w:color w:val="auto"/>
          <w:kern w:val="21"/>
          <w:sz w:val="36"/>
          <w:szCs w:val="36"/>
          <w:highlight w:val="none"/>
          <w:u w:val="single"/>
          <w:lang w:val="en-US" w:eastAsia="zh-CN"/>
        </w:rPr>
        <w:t xml:space="preserve">  </w:t>
      </w:r>
    </w:p>
    <w:p w14:paraId="52209D48">
      <w:pPr>
        <w:adjustRightInd w:val="0"/>
        <w:snapToGrid w:val="0"/>
        <w:spacing w:line="360" w:lineRule="auto"/>
        <w:rPr>
          <w:rFonts w:ascii="仿宋_GB2312" w:eastAsia="仿宋_GB2312"/>
          <w:color w:val="auto"/>
          <w:kern w:val="21"/>
          <w:sz w:val="36"/>
          <w:szCs w:val="36"/>
          <w:highlight w:val="none"/>
          <w:u w:val="single"/>
        </w:rPr>
      </w:pPr>
      <w:r>
        <w:rPr>
          <w:rFonts w:eastAsia="仿宋_GB2312"/>
          <w:color w:val="auto"/>
          <w:kern w:val="21"/>
          <w:sz w:val="36"/>
          <w:szCs w:val="36"/>
          <w:highlight w:val="none"/>
        </w:rPr>
        <w:t>编制日期：</w:t>
      </w:r>
      <w:r>
        <w:rPr>
          <w:rFonts w:eastAsia="仿宋_GB2312"/>
          <w:color w:val="auto"/>
          <w:kern w:val="21"/>
          <w:sz w:val="36"/>
          <w:szCs w:val="36"/>
          <w:highlight w:val="none"/>
          <w:u w:val="single"/>
        </w:rPr>
        <w:t xml:space="preserve">            20</w:t>
      </w:r>
      <w:r>
        <w:rPr>
          <w:rFonts w:hint="eastAsia" w:eastAsia="仿宋_GB2312"/>
          <w:color w:val="auto"/>
          <w:kern w:val="21"/>
          <w:sz w:val="36"/>
          <w:szCs w:val="36"/>
          <w:highlight w:val="none"/>
          <w:u w:val="single"/>
        </w:rPr>
        <w:t>2</w:t>
      </w:r>
      <w:r>
        <w:rPr>
          <w:rFonts w:hint="eastAsia" w:eastAsia="仿宋_GB2312"/>
          <w:color w:val="auto"/>
          <w:kern w:val="21"/>
          <w:sz w:val="36"/>
          <w:szCs w:val="36"/>
          <w:highlight w:val="none"/>
          <w:u w:val="single"/>
          <w:lang w:val="en-US" w:eastAsia="zh-CN"/>
        </w:rPr>
        <w:t>5</w:t>
      </w:r>
      <w:r>
        <w:rPr>
          <w:rFonts w:eastAsia="仿宋_GB2312"/>
          <w:color w:val="auto"/>
          <w:kern w:val="21"/>
          <w:sz w:val="36"/>
          <w:szCs w:val="36"/>
          <w:highlight w:val="none"/>
          <w:u w:val="single"/>
        </w:rPr>
        <w:t>年</w:t>
      </w:r>
      <w:r>
        <w:rPr>
          <w:rFonts w:hint="eastAsia" w:eastAsia="仿宋_GB2312"/>
          <w:color w:val="auto"/>
          <w:kern w:val="21"/>
          <w:sz w:val="36"/>
          <w:szCs w:val="36"/>
          <w:highlight w:val="none"/>
          <w:u w:val="single"/>
          <w:lang w:val="en-US" w:eastAsia="zh-CN"/>
        </w:rPr>
        <w:t>12</w:t>
      </w:r>
      <w:r>
        <w:rPr>
          <w:rFonts w:eastAsia="仿宋_GB2312"/>
          <w:color w:val="auto"/>
          <w:kern w:val="21"/>
          <w:sz w:val="36"/>
          <w:szCs w:val="36"/>
          <w:highlight w:val="none"/>
          <w:u w:val="single"/>
        </w:rPr>
        <w:t xml:space="preserve">月  </w:t>
      </w:r>
      <w:r>
        <w:rPr>
          <w:rFonts w:ascii="仿宋_GB2312" w:eastAsia="仿宋_GB2312"/>
          <w:color w:val="auto"/>
          <w:kern w:val="21"/>
          <w:sz w:val="36"/>
          <w:szCs w:val="36"/>
          <w:highlight w:val="none"/>
          <w:u w:val="single"/>
        </w:rPr>
        <w:t xml:space="preserve">     </w:t>
      </w:r>
      <w:r>
        <w:rPr>
          <w:rFonts w:hint="eastAsia" w:ascii="仿宋_GB2312" w:eastAsia="仿宋_GB2312"/>
          <w:color w:val="auto"/>
          <w:kern w:val="21"/>
          <w:sz w:val="36"/>
          <w:szCs w:val="36"/>
          <w:highlight w:val="none"/>
          <w:u w:val="single"/>
          <w:lang w:val="en-US" w:eastAsia="zh-CN"/>
        </w:rPr>
        <w:t xml:space="preserve">   </w:t>
      </w:r>
      <w:r>
        <w:rPr>
          <w:rFonts w:ascii="仿宋_GB2312" w:eastAsia="仿宋_GB2312"/>
          <w:color w:val="auto"/>
          <w:kern w:val="21"/>
          <w:sz w:val="36"/>
          <w:szCs w:val="36"/>
          <w:highlight w:val="none"/>
          <w:u w:val="single"/>
        </w:rPr>
        <w:t xml:space="preserve">           </w:t>
      </w:r>
    </w:p>
    <w:p w14:paraId="08C92EEA">
      <w:pPr>
        <w:adjustRightInd w:val="0"/>
        <w:snapToGrid w:val="0"/>
        <w:spacing w:line="288" w:lineRule="auto"/>
        <w:ind w:firstLine="1040"/>
        <w:rPr>
          <w:rFonts w:ascii="仿宋_GB2312" w:eastAsia="仿宋_GB2312"/>
          <w:color w:val="auto"/>
          <w:kern w:val="21"/>
          <w:sz w:val="36"/>
          <w:szCs w:val="36"/>
          <w:highlight w:val="none"/>
          <w:u w:val="single"/>
        </w:rPr>
      </w:pPr>
      <w:bookmarkStart w:id="0" w:name="_Hlk57884087"/>
    </w:p>
    <w:p w14:paraId="58AAF663">
      <w:pPr>
        <w:adjustRightInd w:val="0"/>
        <w:snapToGrid w:val="0"/>
        <w:spacing w:line="288" w:lineRule="auto"/>
        <w:ind w:firstLine="1040"/>
        <w:rPr>
          <w:rFonts w:ascii="仿宋_GB2312" w:eastAsia="仿宋_GB2312"/>
          <w:color w:val="auto"/>
          <w:kern w:val="21"/>
          <w:sz w:val="36"/>
          <w:szCs w:val="36"/>
          <w:highlight w:val="none"/>
        </w:rPr>
      </w:pPr>
    </w:p>
    <w:p w14:paraId="38CD79F0">
      <w:pPr>
        <w:adjustRightInd w:val="0"/>
        <w:snapToGrid w:val="0"/>
        <w:spacing w:line="288" w:lineRule="auto"/>
        <w:ind w:firstLine="1040"/>
        <w:rPr>
          <w:rFonts w:ascii="仿宋_GB2312" w:eastAsia="仿宋_GB2312"/>
          <w:color w:val="auto"/>
          <w:kern w:val="21"/>
          <w:sz w:val="36"/>
          <w:szCs w:val="36"/>
          <w:highlight w:val="none"/>
        </w:rPr>
      </w:pPr>
    </w:p>
    <w:p w14:paraId="6655D341">
      <w:pPr>
        <w:adjustRightInd w:val="0"/>
        <w:snapToGrid w:val="0"/>
        <w:spacing w:line="288" w:lineRule="auto"/>
        <w:ind w:firstLine="1040"/>
        <w:rPr>
          <w:rFonts w:ascii="仿宋_GB2312" w:eastAsia="仿宋_GB2312"/>
          <w:color w:val="auto"/>
          <w:kern w:val="21"/>
          <w:sz w:val="36"/>
          <w:szCs w:val="36"/>
          <w:highlight w:val="none"/>
        </w:rPr>
      </w:pPr>
    </w:p>
    <w:p w14:paraId="38646D59">
      <w:pPr>
        <w:adjustRightInd w:val="0"/>
        <w:snapToGrid w:val="0"/>
        <w:spacing w:line="288" w:lineRule="auto"/>
        <w:ind w:firstLine="1040"/>
        <w:rPr>
          <w:rFonts w:ascii="仿宋_GB2312" w:eastAsia="仿宋_GB2312"/>
          <w:color w:val="auto"/>
          <w:kern w:val="21"/>
          <w:sz w:val="36"/>
          <w:szCs w:val="36"/>
          <w:highlight w:val="none"/>
        </w:rPr>
      </w:pPr>
    </w:p>
    <w:p w14:paraId="76B2F20D">
      <w:pPr>
        <w:adjustRightInd w:val="0"/>
        <w:snapToGrid w:val="0"/>
        <w:spacing w:line="288" w:lineRule="auto"/>
        <w:ind w:firstLine="1040"/>
        <w:rPr>
          <w:rFonts w:ascii="仿宋_GB2312" w:eastAsia="仿宋_GB2312"/>
          <w:color w:val="auto"/>
          <w:kern w:val="21"/>
          <w:sz w:val="36"/>
          <w:szCs w:val="36"/>
          <w:highlight w:val="none"/>
        </w:rPr>
      </w:pPr>
    </w:p>
    <w:bookmarkEnd w:id="0"/>
    <w:p w14:paraId="399E7B77">
      <w:pPr>
        <w:adjustRightInd w:val="0"/>
        <w:snapToGrid w:val="0"/>
        <w:spacing w:line="288" w:lineRule="auto"/>
        <w:jc w:val="center"/>
        <w:rPr>
          <w:rFonts w:ascii="仿宋_GB2312" w:eastAsia="仿宋_GB2312"/>
          <w:color w:val="auto"/>
          <w:kern w:val="21"/>
          <w:sz w:val="36"/>
          <w:szCs w:val="36"/>
          <w:highlight w:val="none"/>
        </w:rPr>
      </w:pPr>
      <w:r>
        <w:rPr>
          <w:rFonts w:hint="eastAsia" w:ascii="楷体_GB2312" w:eastAsia="楷体_GB2312"/>
          <w:color w:val="auto"/>
          <w:kern w:val="21"/>
          <w:sz w:val="36"/>
          <w:szCs w:val="36"/>
          <w:highlight w:val="none"/>
        </w:rPr>
        <w:t>中华人民共和国生态环境部制</w:t>
      </w:r>
    </w:p>
    <w:p w14:paraId="1548A1AE">
      <w:pPr>
        <w:adjustRightInd w:val="0"/>
        <w:snapToGrid w:val="0"/>
        <w:spacing w:line="288" w:lineRule="auto"/>
        <w:ind w:firstLine="1040"/>
        <w:rPr>
          <w:color w:val="auto"/>
          <w:szCs w:val="21"/>
          <w:highlight w:val="none"/>
        </w:rPr>
        <w:sectPr>
          <w:footerReference r:id="rId3" w:type="default"/>
          <w:pgSz w:w="11906" w:h="16838"/>
          <w:pgMar w:top="1701" w:right="1134" w:bottom="1418" w:left="1134"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41BDC156">
      <w:pPr>
        <w:pStyle w:val="23"/>
        <w:rPr>
          <w:snapToGrid w:val="0"/>
          <w:color w:val="auto"/>
          <w:highlight w:val="none"/>
        </w:rPr>
      </w:pPr>
      <w:r>
        <w:rPr>
          <w:snapToGrid w:val="0"/>
          <w:color w:val="auto"/>
          <w:highlight w:val="none"/>
        </w:rPr>
        <w:t>一、建设项目基本情况</w:t>
      </w:r>
    </w:p>
    <w:tbl>
      <w:tblPr>
        <w:tblStyle w:val="25"/>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4"/>
        <w:gridCol w:w="3243"/>
        <w:gridCol w:w="2342"/>
        <w:gridCol w:w="3021"/>
      </w:tblGrid>
      <w:tr w14:paraId="2EA7E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5BEE509E">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建设项目名称</w:t>
            </w:r>
          </w:p>
        </w:tc>
        <w:tc>
          <w:tcPr>
            <w:tcW w:w="8413" w:type="dxa"/>
            <w:gridSpan w:val="3"/>
            <w:vAlign w:val="center"/>
          </w:tcPr>
          <w:p w14:paraId="1532B9EA">
            <w:pPr>
              <w:keepNext w:val="0"/>
              <w:keepLines w:val="0"/>
              <w:suppressLineNumbers w:val="0"/>
              <w:adjustRightInd w:val="0"/>
              <w:snapToGrid w:val="0"/>
              <w:spacing w:before="0" w:beforeAutospacing="0" w:after="0" w:afterAutospacing="0"/>
              <w:ind w:left="0" w:right="0"/>
              <w:jc w:val="center"/>
              <w:rPr>
                <w:rFonts w:hint="eastAsia" w:eastAsia="宋体"/>
                <w:color w:val="auto"/>
                <w:sz w:val="26"/>
                <w:szCs w:val="26"/>
                <w:highlight w:val="none"/>
                <w:lang w:eastAsia="zh-CN"/>
              </w:rPr>
            </w:pPr>
            <w:r>
              <w:rPr>
                <w:rFonts w:hint="default"/>
                <w:color w:val="auto"/>
                <w:sz w:val="26"/>
                <w:szCs w:val="26"/>
                <w:highlight w:val="none"/>
              </w:rPr>
              <w:t>摩托车离合器、电动车变速器总成及配件建设项目</w:t>
            </w:r>
          </w:p>
        </w:tc>
      </w:tr>
      <w:tr w14:paraId="1F36F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2527E150">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项目代码</w:t>
            </w:r>
          </w:p>
        </w:tc>
        <w:tc>
          <w:tcPr>
            <w:tcW w:w="8413" w:type="dxa"/>
            <w:gridSpan w:val="3"/>
            <w:vAlign w:val="center"/>
          </w:tcPr>
          <w:p w14:paraId="1145AB3B">
            <w:pPr>
              <w:keepNext w:val="0"/>
              <w:keepLines w:val="0"/>
              <w:suppressLineNumbers w:val="0"/>
              <w:adjustRightInd w:val="0"/>
              <w:snapToGrid w:val="0"/>
              <w:spacing w:before="0" w:beforeAutospacing="0" w:after="0" w:afterAutospacing="0"/>
              <w:ind w:left="0" w:right="0"/>
              <w:jc w:val="center"/>
              <w:rPr>
                <w:rFonts w:hint="default" w:eastAsia="宋体"/>
                <w:color w:val="auto"/>
                <w:sz w:val="26"/>
                <w:szCs w:val="26"/>
                <w:highlight w:val="none"/>
                <w:lang w:val="en-US" w:eastAsia="zh-CN"/>
              </w:rPr>
            </w:pPr>
            <w:r>
              <w:rPr>
                <w:rFonts w:hint="eastAsia"/>
                <w:color w:val="auto"/>
                <w:sz w:val="26"/>
                <w:szCs w:val="26"/>
                <w:highlight w:val="none"/>
                <w:lang w:val="en-US" w:eastAsia="zh-CN"/>
              </w:rPr>
              <w:t>2112-500110-04-01-297747</w:t>
            </w:r>
          </w:p>
        </w:tc>
      </w:tr>
      <w:tr w14:paraId="4FA3B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64D169C5">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建设单位联系人</w:t>
            </w:r>
          </w:p>
        </w:tc>
        <w:tc>
          <w:tcPr>
            <w:tcW w:w="3170" w:type="dxa"/>
            <w:vAlign w:val="center"/>
          </w:tcPr>
          <w:p w14:paraId="0820E9E1">
            <w:pPr>
              <w:keepNext w:val="0"/>
              <w:keepLines w:val="0"/>
              <w:suppressLineNumbers w:val="0"/>
              <w:adjustRightInd w:val="0"/>
              <w:snapToGrid w:val="0"/>
              <w:spacing w:before="0" w:beforeAutospacing="0" w:after="0" w:afterAutospacing="0"/>
              <w:ind w:left="0" w:right="0"/>
              <w:jc w:val="center"/>
              <w:rPr>
                <w:rFonts w:hint="default" w:eastAsia="宋体"/>
                <w:color w:val="auto"/>
                <w:sz w:val="26"/>
                <w:szCs w:val="26"/>
                <w:highlight w:val="none"/>
                <w:lang w:val="en-US" w:eastAsia="zh-CN"/>
              </w:rPr>
            </w:pPr>
            <w:r>
              <w:rPr>
                <w:rFonts w:hint="eastAsia"/>
                <w:color w:val="auto"/>
                <w:sz w:val="26"/>
                <w:szCs w:val="26"/>
                <w:highlight w:val="none"/>
                <w:lang w:val="en-US" w:eastAsia="zh-CN"/>
              </w:rPr>
              <w:t>***</w:t>
            </w:r>
          </w:p>
        </w:tc>
        <w:tc>
          <w:tcPr>
            <w:tcW w:w="2290" w:type="dxa"/>
            <w:vAlign w:val="center"/>
          </w:tcPr>
          <w:p w14:paraId="67465EA5">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联系方式</w:t>
            </w:r>
          </w:p>
        </w:tc>
        <w:tc>
          <w:tcPr>
            <w:tcW w:w="2953" w:type="dxa"/>
            <w:vAlign w:val="center"/>
          </w:tcPr>
          <w:p w14:paraId="7FA6279D">
            <w:pPr>
              <w:keepNext w:val="0"/>
              <w:keepLines w:val="0"/>
              <w:suppressLineNumbers w:val="0"/>
              <w:adjustRightInd w:val="0"/>
              <w:snapToGrid w:val="0"/>
              <w:spacing w:before="0" w:beforeAutospacing="0" w:after="0" w:afterAutospacing="0"/>
              <w:ind w:left="0" w:right="0"/>
              <w:jc w:val="center"/>
              <w:rPr>
                <w:rFonts w:hint="default" w:eastAsia="宋体"/>
                <w:color w:val="auto"/>
                <w:sz w:val="26"/>
                <w:szCs w:val="26"/>
                <w:highlight w:val="none"/>
                <w:lang w:val="en-US" w:eastAsia="zh-CN"/>
              </w:rPr>
            </w:pPr>
            <w:r>
              <w:rPr>
                <w:rFonts w:hint="eastAsia"/>
                <w:color w:val="auto"/>
                <w:sz w:val="26"/>
                <w:szCs w:val="26"/>
                <w:highlight w:val="none"/>
                <w:lang w:val="en-US" w:eastAsia="zh-CN"/>
              </w:rPr>
              <w:t>***</w:t>
            </w:r>
          </w:p>
        </w:tc>
      </w:tr>
      <w:tr w14:paraId="4362E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26D51B88">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建设地点</w:t>
            </w:r>
          </w:p>
        </w:tc>
        <w:tc>
          <w:tcPr>
            <w:tcW w:w="8413" w:type="dxa"/>
            <w:gridSpan w:val="3"/>
            <w:vAlign w:val="center"/>
          </w:tcPr>
          <w:p w14:paraId="63D339CF">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lang w:val="en-US"/>
              </w:rPr>
            </w:pPr>
            <w:r>
              <w:rPr>
                <w:rFonts w:hint="default"/>
                <w:color w:val="auto"/>
                <w:sz w:val="26"/>
                <w:szCs w:val="26"/>
                <w:highlight w:val="none"/>
                <w:u w:val="single"/>
              </w:rPr>
              <w:t>重庆</w:t>
            </w:r>
            <w:r>
              <w:rPr>
                <w:rFonts w:hint="default"/>
                <w:color w:val="auto"/>
                <w:sz w:val="26"/>
                <w:szCs w:val="26"/>
                <w:highlight w:val="none"/>
              </w:rPr>
              <w:t>市</w:t>
            </w:r>
            <w:r>
              <w:rPr>
                <w:rFonts w:hint="eastAsia"/>
                <w:color w:val="auto"/>
                <w:sz w:val="26"/>
                <w:szCs w:val="26"/>
                <w:highlight w:val="none"/>
                <w:u w:val="single"/>
                <w:lang w:val="en-US" w:eastAsia="zh-CN"/>
              </w:rPr>
              <w:t>綦江</w:t>
            </w:r>
            <w:r>
              <w:rPr>
                <w:rFonts w:hint="default"/>
                <w:color w:val="auto"/>
                <w:sz w:val="26"/>
                <w:szCs w:val="26"/>
                <w:highlight w:val="none"/>
              </w:rPr>
              <w:t>区</w:t>
            </w:r>
            <w:r>
              <w:rPr>
                <w:rFonts w:hint="eastAsia"/>
                <w:color w:val="auto"/>
                <w:sz w:val="26"/>
                <w:szCs w:val="26"/>
                <w:highlight w:val="none"/>
                <w:u w:val="single"/>
                <w:lang w:val="en-US" w:eastAsia="zh-CN"/>
              </w:rPr>
              <w:t>古南</w:t>
            </w:r>
            <w:r>
              <w:rPr>
                <w:rFonts w:hint="eastAsia"/>
                <w:color w:val="auto"/>
                <w:sz w:val="26"/>
                <w:szCs w:val="26"/>
                <w:highlight w:val="none"/>
                <w:lang w:val="en-US" w:eastAsia="zh-CN"/>
              </w:rPr>
              <w:t>街道</w:t>
            </w:r>
            <w:r>
              <w:rPr>
                <w:rFonts w:hint="eastAsia"/>
                <w:color w:val="auto"/>
                <w:sz w:val="26"/>
                <w:szCs w:val="26"/>
                <w:highlight w:val="none"/>
                <w:u w:val="single"/>
                <w:lang w:val="en-US" w:eastAsia="zh-CN"/>
              </w:rPr>
              <w:t>北渡铝产业园</w:t>
            </w:r>
          </w:p>
        </w:tc>
      </w:tr>
      <w:tr w14:paraId="04212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2D7A5887">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地理坐标</w:t>
            </w:r>
          </w:p>
        </w:tc>
        <w:tc>
          <w:tcPr>
            <w:tcW w:w="8413" w:type="dxa"/>
            <w:gridSpan w:val="3"/>
            <w:vAlign w:val="center"/>
          </w:tcPr>
          <w:p w14:paraId="7289508A">
            <w:pPr>
              <w:keepNext w:val="0"/>
              <w:keepLines w:val="0"/>
              <w:suppressLineNumbers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w:t>
            </w:r>
            <w:r>
              <w:rPr>
                <w:rFonts w:hint="default"/>
                <w:color w:val="auto"/>
                <w:sz w:val="26"/>
                <w:szCs w:val="26"/>
                <w:highlight w:val="none"/>
                <w:u w:val="single"/>
              </w:rPr>
              <w:t xml:space="preserve"> 10</w:t>
            </w:r>
            <w:r>
              <w:rPr>
                <w:rFonts w:hint="eastAsia"/>
                <w:color w:val="auto"/>
                <w:sz w:val="26"/>
                <w:szCs w:val="26"/>
                <w:highlight w:val="none"/>
                <w:u w:val="single"/>
              </w:rPr>
              <w:t>6</w:t>
            </w:r>
            <w:r>
              <w:rPr>
                <w:rFonts w:hint="default"/>
                <w:color w:val="auto"/>
                <w:sz w:val="26"/>
                <w:szCs w:val="26"/>
                <w:highlight w:val="none"/>
                <w:u w:val="single"/>
              </w:rPr>
              <w:t xml:space="preserve"> </w:t>
            </w:r>
            <w:r>
              <w:rPr>
                <w:rFonts w:hint="default"/>
                <w:color w:val="auto"/>
                <w:sz w:val="26"/>
                <w:szCs w:val="26"/>
                <w:highlight w:val="none"/>
              </w:rPr>
              <w:t>度</w:t>
            </w:r>
            <w:r>
              <w:rPr>
                <w:rFonts w:hint="default"/>
                <w:color w:val="auto"/>
                <w:sz w:val="26"/>
                <w:szCs w:val="26"/>
                <w:highlight w:val="none"/>
                <w:u w:val="single"/>
              </w:rPr>
              <w:t xml:space="preserve"> </w:t>
            </w:r>
            <w:r>
              <w:rPr>
                <w:rFonts w:hint="eastAsia"/>
                <w:color w:val="auto"/>
                <w:sz w:val="26"/>
                <w:szCs w:val="26"/>
                <w:highlight w:val="none"/>
                <w:u w:val="single"/>
                <w:lang w:val="en-US" w:eastAsia="zh-CN"/>
              </w:rPr>
              <w:t>34</w:t>
            </w:r>
            <w:r>
              <w:rPr>
                <w:rFonts w:hint="default"/>
                <w:color w:val="auto"/>
                <w:sz w:val="26"/>
                <w:szCs w:val="26"/>
                <w:highlight w:val="none"/>
                <w:u w:val="single"/>
              </w:rPr>
              <w:t xml:space="preserve"> </w:t>
            </w:r>
            <w:r>
              <w:rPr>
                <w:rFonts w:hint="default"/>
                <w:color w:val="auto"/>
                <w:sz w:val="26"/>
                <w:szCs w:val="26"/>
                <w:highlight w:val="none"/>
              </w:rPr>
              <w:t>分</w:t>
            </w:r>
            <w:r>
              <w:rPr>
                <w:rFonts w:hint="default"/>
                <w:color w:val="auto"/>
                <w:sz w:val="26"/>
                <w:szCs w:val="26"/>
                <w:highlight w:val="none"/>
                <w:u w:val="single"/>
              </w:rPr>
              <w:t xml:space="preserve"> </w:t>
            </w:r>
            <w:r>
              <w:rPr>
                <w:rFonts w:hint="eastAsia"/>
                <w:color w:val="auto"/>
                <w:sz w:val="26"/>
                <w:szCs w:val="26"/>
                <w:highlight w:val="none"/>
                <w:u w:val="single"/>
                <w:lang w:val="en-US" w:eastAsia="zh-CN"/>
              </w:rPr>
              <w:t>30.394</w:t>
            </w:r>
            <w:r>
              <w:rPr>
                <w:rFonts w:hint="default"/>
                <w:color w:val="auto"/>
                <w:sz w:val="26"/>
                <w:szCs w:val="26"/>
                <w:highlight w:val="none"/>
                <w:u w:val="single"/>
              </w:rPr>
              <w:t xml:space="preserve"> </w:t>
            </w:r>
            <w:r>
              <w:rPr>
                <w:rFonts w:hint="default"/>
                <w:color w:val="auto"/>
                <w:sz w:val="26"/>
                <w:szCs w:val="26"/>
                <w:highlight w:val="none"/>
              </w:rPr>
              <w:t>秒，</w:t>
            </w:r>
            <w:r>
              <w:rPr>
                <w:rFonts w:hint="default"/>
                <w:color w:val="auto"/>
                <w:sz w:val="26"/>
                <w:szCs w:val="26"/>
                <w:highlight w:val="none"/>
                <w:u w:val="single"/>
              </w:rPr>
              <w:t xml:space="preserve">  29 </w:t>
            </w:r>
            <w:r>
              <w:rPr>
                <w:rFonts w:hint="default"/>
                <w:color w:val="auto"/>
                <w:sz w:val="26"/>
                <w:szCs w:val="26"/>
                <w:highlight w:val="none"/>
              </w:rPr>
              <w:t>度</w:t>
            </w:r>
            <w:r>
              <w:rPr>
                <w:rFonts w:hint="default"/>
                <w:color w:val="auto"/>
                <w:sz w:val="26"/>
                <w:szCs w:val="26"/>
                <w:highlight w:val="none"/>
                <w:u w:val="single"/>
              </w:rPr>
              <w:t xml:space="preserve"> </w:t>
            </w:r>
            <w:r>
              <w:rPr>
                <w:rFonts w:hint="eastAsia"/>
                <w:color w:val="auto"/>
                <w:sz w:val="26"/>
                <w:szCs w:val="26"/>
                <w:highlight w:val="none"/>
                <w:u w:val="single"/>
                <w:lang w:val="en-US" w:eastAsia="zh-CN"/>
              </w:rPr>
              <w:t>0</w:t>
            </w:r>
            <w:r>
              <w:rPr>
                <w:rFonts w:hint="default"/>
                <w:color w:val="auto"/>
                <w:sz w:val="26"/>
                <w:szCs w:val="26"/>
                <w:highlight w:val="none"/>
                <w:u w:val="single"/>
              </w:rPr>
              <w:t xml:space="preserve"> </w:t>
            </w:r>
            <w:r>
              <w:rPr>
                <w:rFonts w:hint="default"/>
                <w:color w:val="auto"/>
                <w:sz w:val="26"/>
                <w:szCs w:val="26"/>
                <w:highlight w:val="none"/>
              </w:rPr>
              <w:t>分</w:t>
            </w:r>
            <w:r>
              <w:rPr>
                <w:rFonts w:hint="default"/>
                <w:color w:val="auto"/>
                <w:sz w:val="26"/>
                <w:szCs w:val="26"/>
                <w:highlight w:val="none"/>
                <w:u w:val="single"/>
              </w:rPr>
              <w:t xml:space="preserve"> </w:t>
            </w:r>
            <w:r>
              <w:rPr>
                <w:rFonts w:hint="eastAsia"/>
                <w:color w:val="auto"/>
                <w:sz w:val="26"/>
                <w:szCs w:val="26"/>
                <w:highlight w:val="none"/>
                <w:u w:val="single"/>
                <w:lang w:val="en-US" w:eastAsia="zh-CN"/>
              </w:rPr>
              <w:t>23.222</w:t>
            </w:r>
            <w:r>
              <w:rPr>
                <w:rFonts w:hint="default"/>
                <w:color w:val="auto"/>
                <w:sz w:val="26"/>
                <w:szCs w:val="26"/>
                <w:highlight w:val="none"/>
                <w:u w:val="single"/>
              </w:rPr>
              <w:t xml:space="preserve"> </w:t>
            </w:r>
            <w:r>
              <w:rPr>
                <w:rFonts w:hint="default"/>
                <w:color w:val="auto"/>
                <w:sz w:val="26"/>
                <w:szCs w:val="26"/>
                <w:highlight w:val="none"/>
              </w:rPr>
              <w:t>秒）</w:t>
            </w:r>
          </w:p>
        </w:tc>
      </w:tr>
      <w:tr w14:paraId="4F84C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17B621D8">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国民经济</w:t>
            </w:r>
          </w:p>
          <w:p w14:paraId="6E9DAF68">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行业类别</w:t>
            </w:r>
          </w:p>
        </w:tc>
        <w:tc>
          <w:tcPr>
            <w:tcW w:w="3170" w:type="dxa"/>
            <w:vAlign w:val="center"/>
          </w:tcPr>
          <w:p w14:paraId="0A0C4A4F">
            <w:pPr>
              <w:keepNext w:val="0"/>
              <w:keepLines w:val="0"/>
              <w:suppressLineNumbers w:val="0"/>
              <w:adjustRightInd w:val="0"/>
              <w:snapToGrid w:val="0"/>
              <w:spacing w:before="0" w:beforeAutospacing="0" w:after="0" w:afterAutospacing="0"/>
              <w:ind w:left="0" w:right="0"/>
              <w:rPr>
                <w:rFonts w:hint="eastAsia"/>
                <w:color w:val="auto"/>
                <w:sz w:val="26"/>
                <w:szCs w:val="26"/>
                <w:highlight w:val="none"/>
              </w:rPr>
            </w:pPr>
            <w:r>
              <w:rPr>
                <w:rFonts w:hint="eastAsia"/>
                <w:color w:val="auto"/>
                <w:sz w:val="26"/>
                <w:szCs w:val="26"/>
                <w:highlight w:val="none"/>
              </w:rPr>
              <w:t>摩托车零部件及配件制造（C3752）</w:t>
            </w:r>
          </w:p>
          <w:p w14:paraId="7CB32D25">
            <w:pPr>
              <w:keepNext w:val="0"/>
              <w:keepLines w:val="0"/>
              <w:suppressLineNumbers w:val="0"/>
              <w:adjustRightInd w:val="0"/>
              <w:snapToGrid w:val="0"/>
              <w:spacing w:before="0" w:beforeAutospacing="0" w:after="0" w:afterAutospacing="0"/>
              <w:ind w:left="0" w:right="0"/>
              <w:rPr>
                <w:rFonts w:hint="eastAsia"/>
                <w:color w:val="auto"/>
                <w:sz w:val="26"/>
                <w:szCs w:val="26"/>
                <w:highlight w:val="none"/>
              </w:rPr>
            </w:pPr>
            <w:r>
              <w:rPr>
                <w:rFonts w:hint="eastAsia"/>
                <w:color w:val="auto"/>
                <w:sz w:val="26"/>
                <w:szCs w:val="26"/>
                <w:highlight w:val="none"/>
              </w:rPr>
              <w:t>助动车制造（C3770）</w:t>
            </w:r>
          </w:p>
          <w:p w14:paraId="75A02F4A">
            <w:pPr>
              <w:keepNext w:val="0"/>
              <w:keepLines w:val="0"/>
              <w:suppressLineNumbers w:val="0"/>
              <w:adjustRightInd w:val="0"/>
              <w:snapToGrid w:val="0"/>
              <w:spacing w:before="0" w:beforeAutospacing="0" w:after="0" w:afterAutospacing="0"/>
              <w:ind w:left="0" w:right="0"/>
              <w:rPr>
                <w:rFonts w:hint="eastAsia" w:eastAsia="宋体"/>
                <w:color w:val="auto"/>
                <w:sz w:val="26"/>
                <w:szCs w:val="26"/>
                <w:highlight w:val="none"/>
                <w:lang w:eastAsia="zh-CN"/>
              </w:rPr>
            </w:pPr>
            <w:r>
              <w:rPr>
                <w:rFonts w:hint="eastAsia"/>
                <w:color w:val="auto"/>
                <w:sz w:val="26"/>
                <w:szCs w:val="26"/>
                <w:highlight w:val="none"/>
              </w:rPr>
              <w:t>有色金属铸造（3392）</w:t>
            </w:r>
          </w:p>
        </w:tc>
        <w:tc>
          <w:tcPr>
            <w:tcW w:w="2290" w:type="dxa"/>
            <w:vAlign w:val="center"/>
          </w:tcPr>
          <w:p w14:paraId="3761AF01">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bookmarkStart w:id="1" w:name="_Hlk49843745"/>
            <w:r>
              <w:rPr>
                <w:rFonts w:hint="default"/>
                <w:color w:val="auto"/>
                <w:sz w:val="26"/>
                <w:szCs w:val="26"/>
                <w:highlight w:val="none"/>
              </w:rPr>
              <w:t>建设项目</w:t>
            </w:r>
          </w:p>
          <w:p w14:paraId="00FF1695">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行业类别</w:t>
            </w:r>
            <w:bookmarkEnd w:id="1"/>
          </w:p>
        </w:tc>
        <w:tc>
          <w:tcPr>
            <w:tcW w:w="2953" w:type="dxa"/>
            <w:vAlign w:val="center"/>
          </w:tcPr>
          <w:p w14:paraId="2C6FBF13">
            <w:pPr>
              <w:keepNext w:val="0"/>
              <w:keepLines w:val="0"/>
              <w:suppressLineNumbers w:val="0"/>
              <w:adjustRightInd w:val="0"/>
              <w:snapToGrid w:val="0"/>
              <w:spacing w:before="0" w:beforeAutospacing="0" w:after="0" w:afterAutospacing="0"/>
              <w:ind w:left="0" w:right="0"/>
              <w:rPr>
                <w:rFonts w:hint="eastAsia" w:eastAsia="宋体"/>
                <w:color w:val="auto"/>
                <w:sz w:val="26"/>
                <w:szCs w:val="26"/>
                <w:highlight w:val="none"/>
                <w:lang w:eastAsia="zh-CN"/>
              </w:rPr>
            </w:pPr>
            <w:r>
              <w:rPr>
                <w:rFonts w:hint="eastAsia"/>
                <w:color w:val="auto"/>
                <w:sz w:val="26"/>
                <w:szCs w:val="26"/>
                <w:highlight w:val="none"/>
              </w:rPr>
              <w:t>三十四</w:t>
            </w:r>
            <w:r>
              <w:rPr>
                <w:rFonts w:hint="eastAsia"/>
                <w:color w:val="auto"/>
                <w:sz w:val="26"/>
                <w:szCs w:val="26"/>
                <w:highlight w:val="none"/>
                <w:lang w:eastAsia="zh-CN"/>
              </w:rPr>
              <w:t>、</w:t>
            </w:r>
            <w:r>
              <w:rPr>
                <w:rFonts w:hint="eastAsia"/>
                <w:color w:val="auto"/>
                <w:sz w:val="26"/>
                <w:szCs w:val="26"/>
                <w:highlight w:val="none"/>
              </w:rPr>
              <w:t>铁路、船舶、航空航天和其他运输设备制造37中的摩托车制造375和助动车制造377</w:t>
            </w:r>
          </w:p>
        </w:tc>
      </w:tr>
      <w:tr w14:paraId="50305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22B2B731">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建设性质</w:t>
            </w:r>
          </w:p>
        </w:tc>
        <w:tc>
          <w:tcPr>
            <w:tcW w:w="3170" w:type="dxa"/>
            <w:vAlign w:val="center"/>
          </w:tcPr>
          <w:p w14:paraId="480B446D">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宋体" w:hAnsi="宋体" w:cs="宋体"/>
                <w:color w:val="auto"/>
                <w:sz w:val="26"/>
                <w:szCs w:val="26"/>
                <w:highlight w:val="none"/>
                <w:lang w:eastAsia="zh-CN"/>
              </w:rPr>
              <w:t>☑</w:t>
            </w:r>
            <w:r>
              <w:rPr>
                <w:rFonts w:hint="default"/>
                <w:color w:val="auto"/>
                <w:sz w:val="26"/>
                <w:szCs w:val="26"/>
                <w:highlight w:val="none"/>
              </w:rPr>
              <w:t>新建（迁建）</w:t>
            </w:r>
          </w:p>
          <w:p w14:paraId="5D49513A">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Segoe UI Symbol" w:hAnsi="Segoe UI Symbol" w:cs="Segoe UI Symbol"/>
                <w:color w:val="auto"/>
                <w:sz w:val="26"/>
                <w:szCs w:val="26"/>
                <w:highlight w:val="none"/>
                <w:lang w:eastAsia="zh-CN"/>
              </w:rPr>
              <w:t>□</w:t>
            </w:r>
            <w:r>
              <w:rPr>
                <w:rFonts w:hint="default"/>
                <w:color w:val="auto"/>
                <w:sz w:val="26"/>
                <w:szCs w:val="26"/>
                <w:highlight w:val="none"/>
              </w:rPr>
              <w:t>改建</w:t>
            </w:r>
          </w:p>
          <w:p w14:paraId="2B9F3DE1">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Segoe UI Symbol" w:hAnsi="Segoe UI Symbol" w:cs="Segoe UI Symbol"/>
                <w:color w:val="auto"/>
                <w:sz w:val="26"/>
                <w:szCs w:val="26"/>
                <w:highlight w:val="none"/>
                <w:lang w:eastAsia="zh-CN"/>
              </w:rPr>
              <w:t>□</w:t>
            </w:r>
            <w:r>
              <w:rPr>
                <w:rFonts w:hint="default"/>
                <w:color w:val="auto"/>
                <w:sz w:val="26"/>
                <w:szCs w:val="26"/>
                <w:highlight w:val="none"/>
              </w:rPr>
              <w:t>扩建</w:t>
            </w:r>
          </w:p>
          <w:p w14:paraId="57D8D856">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宋体" w:hAnsi="宋体" w:cs="宋体"/>
                <w:color w:val="auto"/>
                <w:sz w:val="26"/>
                <w:szCs w:val="26"/>
                <w:highlight w:val="none"/>
              </w:rPr>
              <w:t>□</w:t>
            </w:r>
            <w:r>
              <w:rPr>
                <w:rFonts w:hint="default"/>
                <w:color w:val="auto"/>
                <w:sz w:val="26"/>
                <w:szCs w:val="26"/>
                <w:highlight w:val="none"/>
              </w:rPr>
              <w:t>技术改造</w:t>
            </w:r>
          </w:p>
        </w:tc>
        <w:tc>
          <w:tcPr>
            <w:tcW w:w="2290" w:type="dxa"/>
            <w:vAlign w:val="center"/>
          </w:tcPr>
          <w:p w14:paraId="39AEC834">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建设项目</w:t>
            </w:r>
          </w:p>
          <w:p w14:paraId="350EB899">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申报情形</w:t>
            </w:r>
          </w:p>
        </w:tc>
        <w:tc>
          <w:tcPr>
            <w:tcW w:w="2953" w:type="dxa"/>
            <w:vAlign w:val="center"/>
          </w:tcPr>
          <w:p w14:paraId="1A0356F2">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Segoe UI Symbol" w:hAnsi="Segoe UI Symbol" w:cs="Segoe UI Symbol"/>
                <w:color w:val="auto"/>
                <w:sz w:val="26"/>
                <w:szCs w:val="26"/>
                <w:highlight w:val="none"/>
                <w:lang w:eastAsia="zh-CN"/>
              </w:rPr>
              <w:t>□</w:t>
            </w:r>
            <w:r>
              <w:rPr>
                <w:rFonts w:hint="default"/>
                <w:color w:val="auto"/>
                <w:sz w:val="26"/>
                <w:szCs w:val="26"/>
                <w:highlight w:val="none"/>
              </w:rPr>
              <w:t xml:space="preserve">首次申报项目             </w:t>
            </w:r>
          </w:p>
          <w:p w14:paraId="35C906B1">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宋体" w:hAnsi="宋体" w:cs="宋体"/>
                <w:color w:val="auto"/>
                <w:sz w:val="26"/>
                <w:szCs w:val="26"/>
                <w:highlight w:val="none"/>
              </w:rPr>
              <w:t>□</w:t>
            </w:r>
            <w:r>
              <w:rPr>
                <w:rFonts w:hint="default"/>
                <w:color w:val="auto"/>
                <w:sz w:val="26"/>
                <w:szCs w:val="26"/>
                <w:highlight w:val="none"/>
              </w:rPr>
              <w:t>不予批准后再次申报项目</w:t>
            </w:r>
          </w:p>
          <w:p w14:paraId="7A738E4C">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宋体" w:hAnsi="宋体" w:cs="宋体"/>
                <w:color w:val="auto"/>
                <w:sz w:val="26"/>
                <w:szCs w:val="26"/>
                <w:highlight w:val="none"/>
              </w:rPr>
              <w:t>□</w:t>
            </w:r>
            <w:r>
              <w:rPr>
                <w:rFonts w:hint="default"/>
                <w:color w:val="auto"/>
                <w:sz w:val="26"/>
                <w:szCs w:val="26"/>
                <w:highlight w:val="none"/>
              </w:rPr>
              <w:t xml:space="preserve">超五年重新审核项目     </w:t>
            </w:r>
          </w:p>
          <w:p w14:paraId="0C635755">
            <w:pPr>
              <w:keepNext w:val="0"/>
              <w:keepLines w:val="0"/>
              <w:suppressLineNumbers w:val="0"/>
              <w:spacing w:before="0" w:beforeAutospacing="0" w:after="0" w:afterAutospacing="0"/>
              <w:ind w:left="0" w:right="0"/>
              <w:jc w:val="left"/>
              <w:rPr>
                <w:rFonts w:hint="default"/>
                <w:color w:val="auto"/>
                <w:sz w:val="26"/>
                <w:szCs w:val="26"/>
                <w:highlight w:val="none"/>
              </w:rPr>
            </w:pPr>
            <w:r>
              <w:rPr>
                <w:rFonts w:hint="eastAsia" w:ascii="宋体" w:hAnsi="宋体" w:cs="宋体"/>
                <w:color w:val="auto"/>
                <w:sz w:val="26"/>
                <w:szCs w:val="26"/>
                <w:highlight w:val="none"/>
                <w:lang w:eastAsia="zh-CN"/>
              </w:rPr>
              <w:t>☑</w:t>
            </w:r>
            <w:r>
              <w:rPr>
                <w:rFonts w:hint="default"/>
                <w:color w:val="auto"/>
                <w:sz w:val="26"/>
                <w:szCs w:val="26"/>
                <w:highlight w:val="none"/>
              </w:rPr>
              <w:t>重大变动重新报批项目</w:t>
            </w:r>
          </w:p>
        </w:tc>
      </w:tr>
      <w:tr w14:paraId="00645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3D4392A7">
            <w:pPr>
              <w:keepNext w:val="0"/>
              <w:keepLines w:val="0"/>
              <w:suppressLineNumbers w:val="0"/>
              <w:adjustRightInd w:val="0"/>
              <w:snapToGrid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项目审批（核准/备案）部门（选填）</w:t>
            </w:r>
          </w:p>
        </w:tc>
        <w:tc>
          <w:tcPr>
            <w:tcW w:w="3170" w:type="dxa"/>
            <w:vAlign w:val="center"/>
          </w:tcPr>
          <w:p w14:paraId="4E216606">
            <w:pPr>
              <w:keepNext w:val="0"/>
              <w:keepLines w:val="0"/>
              <w:suppressLineNumbers w:val="0"/>
              <w:adjustRightInd w:val="0"/>
              <w:snapToGrid w:val="0"/>
              <w:spacing w:before="0" w:beforeAutospacing="0" w:after="0" w:afterAutospacing="0"/>
              <w:ind w:left="0" w:right="0"/>
              <w:jc w:val="center"/>
              <w:rPr>
                <w:rFonts w:hint="default" w:eastAsia="宋体"/>
                <w:color w:val="auto"/>
                <w:sz w:val="26"/>
                <w:szCs w:val="26"/>
                <w:highlight w:val="none"/>
                <w:lang w:val="en-US" w:eastAsia="zh-CN"/>
              </w:rPr>
            </w:pPr>
            <w:r>
              <w:rPr>
                <w:rFonts w:hint="eastAsia"/>
                <w:color w:val="auto"/>
                <w:sz w:val="26"/>
                <w:szCs w:val="26"/>
                <w:highlight w:val="none"/>
                <w:lang w:val="en-US" w:eastAsia="zh-CN"/>
              </w:rPr>
              <w:t>重庆市綦江区发展和改革委员会</w:t>
            </w:r>
          </w:p>
        </w:tc>
        <w:tc>
          <w:tcPr>
            <w:tcW w:w="2290" w:type="dxa"/>
            <w:vAlign w:val="center"/>
          </w:tcPr>
          <w:p w14:paraId="3D4EAA83">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项目审批（核准/</w:t>
            </w:r>
          </w:p>
          <w:p w14:paraId="70663F86">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备案）文号（选填）</w:t>
            </w:r>
          </w:p>
        </w:tc>
        <w:tc>
          <w:tcPr>
            <w:tcW w:w="2953" w:type="dxa"/>
            <w:vAlign w:val="center"/>
          </w:tcPr>
          <w:p w14:paraId="0B114C11">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lang w:val="en-US" w:eastAsia="zh-CN"/>
              </w:rPr>
              <w:t>2506-500110-07-02-961461</w:t>
            </w:r>
          </w:p>
        </w:tc>
      </w:tr>
      <w:tr w14:paraId="5A516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7B6A799E">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总投资（万元）</w:t>
            </w:r>
          </w:p>
        </w:tc>
        <w:tc>
          <w:tcPr>
            <w:tcW w:w="3170" w:type="dxa"/>
            <w:vAlign w:val="center"/>
          </w:tcPr>
          <w:p w14:paraId="0700A5B7">
            <w:pPr>
              <w:keepNext w:val="0"/>
              <w:keepLines w:val="0"/>
              <w:suppressLineNumbers w:val="0"/>
              <w:adjustRightInd w:val="0"/>
              <w:snapToGrid w:val="0"/>
              <w:spacing w:before="0" w:beforeAutospacing="0" w:after="0" w:afterAutospacing="0"/>
              <w:ind w:left="0" w:right="0"/>
              <w:jc w:val="center"/>
              <w:rPr>
                <w:rFonts w:hint="default" w:eastAsia="宋体"/>
                <w:color w:val="auto"/>
                <w:sz w:val="26"/>
                <w:szCs w:val="26"/>
                <w:highlight w:val="none"/>
                <w:lang w:val="en-US" w:eastAsia="zh-CN"/>
              </w:rPr>
            </w:pPr>
            <w:r>
              <w:rPr>
                <w:rFonts w:hint="eastAsia"/>
                <w:color w:val="auto"/>
                <w:sz w:val="26"/>
                <w:szCs w:val="26"/>
                <w:highlight w:val="none"/>
                <w:lang w:val="en-US" w:eastAsia="zh-CN"/>
              </w:rPr>
              <w:t>12000</w:t>
            </w:r>
          </w:p>
        </w:tc>
        <w:tc>
          <w:tcPr>
            <w:tcW w:w="2290" w:type="dxa"/>
            <w:tcMar>
              <w:top w:w="16" w:type="dxa"/>
              <w:left w:w="16" w:type="dxa"/>
              <w:right w:w="16" w:type="dxa"/>
            </w:tcMar>
            <w:vAlign w:val="center"/>
          </w:tcPr>
          <w:p w14:paraId="47EE4B16">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环保投资（万元）</w:t>
            </w:r>
          </w:p>
        </w:tc>
        <w:tc>
          <w:tcPr>
            <w:tcW w:w="2953" w:type="dxa"/>
            <w:vAlign w:val="center"/>
          </w:tcPr>
          <w:p w14:paraId="60CAFA3C">
            <w:pPr>
              <w:keepNext w:val="0"/>
              <w:keepLines w:val="0"/>
              <w:suppressLineNumbers w:val="0"/>
              <w:adjustRightInd w:val="0"/>
              <w:snapToGrid w:val="0"/>
              <w:spacing w:before="0" w:beforeAutospacing="0" w:after="0" w:afterAutospacing="0"/>
              <w:ind w:left="0" w:right="0"/>
              <w:jc w:val="center"/>
              <w:rPr>
                <w:rFonts w:hint="default" w:eastAsia="宋体"/>
                <w:color w:val="auto"/>
                <w:sz w:val="26"/>
                <w:szCs w:val="26"/>
                <w:highlight w:val="none"/>
                <w:lang w:val="en-US" w:eastAsia="zh-CN"/>
              </w:rPr>
            </w:pPr>
            <w:r>
              <w:rPr>
                <w:rFonts w:hint="eastAsia"/>
                <w:color w:val="auto"/>
                <w:sz w:val="26"/>
                <w:szCs w:val="26"/>
                <w:highlight w:val="none"/>
                <w:lang w:val="en-US" w:eastAsia="zh-CN"/>
              </w:rPr>
              <w:t>350</w:t>
            </w:r>
          </w:p>
        </w:tc>
      </w:tr>
      <w:tr w14:paraId="6F647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252A2CF1">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环保投资占比（%）</w:t>
            </w:r>
          </w:p>
        </w:tc>
        <w:tc>
          <w:tcPr>
            <w:tcW w:w="3170" w:type="dxa"/>
            <w:vAlign w:val="center"/>
          </w:tcPr>
          <w:p w14:paraId="0F1324E8">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lang w:val="en-US" w:eastAsia="zh-CN"/>
              </w:rPr>
              <w:t>2.92</w:t>
            </w:r>
            <w:r>
              <w:rPr>
                <w:rFonts w:hint="eastAsia"/>
                <w:color w:val="auto"/>
                <w:sz w:val="26"/>
                <w:szCs w:val="26"/>
                <w:highlight w:val="none"/>
              </w:rPr>
              <w:t>%</w:t>
            </w:r>
          </w:p>
        </w:tc>
        <w:tc>
          <w:tcPr>
            <w:tcW w:w="2290" w:type="dxa"/>
            <w:tcMar>
              <w:top w:w="16" w:type="dxa"/>
              <w:left w:w="16" w:type="dxa"/>
              <w:right w:w="16" w:type="dxa"/>
            </w:tcMar>
            <w:vAlign w:val="center"/>
          </w:tcPr>
          <w:p w14:paraId="1AE218BA">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施工工期</w:t>
            </w:r>
          </w:p>
        </w:tc>
        <w:tc>
          <w:tcPr>
            <w:tcW w:w="2953" w:type="dxa"/>
            <w:vAlign w:val="center"/>
          </w:tcPr>
          <w:p w14:paraId="6D71147C">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lang w:val="en-US" w:eastAsia="zh-CN"/>
              </w:rPr>
              <w:t>12</w:t>
            </w:r>
            <w:r>
              <w:rPr>
                <w:rFonts w:hint="eastAsia"/>
                <w:color w:val="auto"/>
                <w:sz w:val="26"/>
                <w:szCs w:val="26"/>
                <w:highlight w:val="none"/>
              </w:rPr>
              <w:t>个月</w:t>
            </w:r>
          </w:p>
        </w:tc>
      </w:tr>
      <w:tr w14:paraId="6B855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236" w:type="dxa"/>
            <w:tcMar>
              <w:top w:w="16" w:type="dxa"/>
              <w:left w:w="16" w:type="dxa"/>
              <w:right w:w="16" w:type="dxa"/>
            </w:tcMar>
            <w:vAlign w:val="center"/>
          </w:tcPr>
          <w:p w14:paraId="38823FF4">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是否开工建设</w:t>
            </w:r>
          </w:p>
        </w:tc>
        <w:tc>
          <w:tcPr>
            <w:tcW w:w="3170" w:type="dxa"/>
            <w:vAlign w:val="center"/>
          </w:tcPr>
          <w:p w14:paraId="34976225">
            <w:pPr>
              <w:keepNext w:val="0"/>
              <w:keepLines w:val="0"/>
              <w:suppressLineNumbers w:val="0"/>
              <w:adjustRightInd w:val="0"/>
              <w:snapToGrid w:val="0"/>
              <w:spacing w:before="0" w:beforeAutospacing="0" w:after="0" w:afterAutospacing="0"/>
              <w:ind w:left="0" w:right="0"/>
              <w:rPr>
                <w:rFonts w:hint="default"/>
                <w:color w:val="auto"/>
                <w:sz w:val="26"/>
                <w:szCs w:val="26"/>
                <w:highlight w:val="none"/>
              </w:rPr>
            </w:pPr>
            <w:r>
              <w:rPr>
                <w:rFonts w:hint="eastAsia" w:ascii="Segoe UI Symbol" w:hAnsi="Segoe UI Symbol" w:cs="Segoe UI Symbol"/>
                <w:color w:val="auto"/>
                <w:sz w:val="26"/>
                <w:szCs w:val="26"/>
                <w:highlight w:val="none"/>
                <w:lang w:eastAsia="zh-CN"/>
              </w:rPr>
              <w:t>□</w:t>
            </w:r>
            <w:r>
              <w:rPr>
                <w:rFonts w:hint="default"/>
                <w:color w:val="auto"/>
                <w:sz w:val="26"/>
                <w:szCs w:val="26"/>
                <w:highlight w:val="none"/>
              </w:rPr>
              <w:t>否</w:t>
            </w:r>
          </w:p>
          <w:p w14:paraId="3712E572">
            <w:pPr>
              <w:keepNext w:val="0"/>
              <w:keepLines w:val="0"/>
              <w:suppressLineNumbers w:val="0"/>
              <w:adjustRightInd w:val="0"/>
              <w:snapToGrid w:val="0"/>
              <w:spacing w:before="0" w:beforeAutospacing="0" w:after="0" w:afterAutospacing="0"/>
              <w:ind w:left="0" w:right="0"/>
              <w:rPr>
                <w:rFonts w:hint="eastAsia" w:eastAsia="宋体"/>
                <w:color w:val="auto"/>
                <w:sz w:val="26"/>
                <w:szCs w:val="26"/>
                <w:highlight w:val="none"/>
                <w:lang w:eastAsia="zh-CN"/>
              </w:rPr>
            </w:pPr>
            <w:r>
              <w:rPr>
                <w:rFonts w:hint="eastAsia" w:ascii="宋体" w:hAnsi="宋体" w:cs="宋体"/>
                <w:color w:val="auto"/>
                <w:sz w:val="26"/>
                <w:szCs w:val="26"/>
                <w:highlight w:val="none"/>
                <w:lang w:eastAsia="zh-CN"/>
              </w:rPr>
              <w:t>☑</w:t>
            </w:r>
            <w:r>
              <w:rPr>
                <w:rFonts w:hint="default"/>
                <w:color w:val="auto"/>
                <w:sz w:val="26"/>
                <w:szCs w:val="26"/>
                <w:highlight w:val="none"/>
              </w:rPr>
              <w:t>是</w:t>
            </w:r>
            <w:r>
              <w:rPr>
                <w:rFonts w:hint="eastAsia"/>
                <w:color w:val="auto"/>
                <w:sz w:val="26"/>
                <w:szCs w:val="26"/>
                <w:highlight w:val="none"/>
                <w:lang w:eastAsia="zh-CN"/>
              </w:rPr>
              <w:t>（</w:t>
            </w:r>
            <w:r>
              <w:rPr>
                <w:rFonts w:hint="eastAsia"/>
                <w:color w:val="auto"/>
                <w:sz w:val="26"/>
                <w:szCs w:val="26"/>
                <w:highlight w:val="none"/>
                <w:lang w:val="en-US" w:eastAsia="zh-CN"/>
              </w:rPr>
              <w:t>项目开工建设，过程中发现重大变动，尚未投产</w:t>
            </w:r>
            <w:r>
              <w:rPr>
                <w:rFonts w:hint="eastAsia"/>
                <w:color w:val="auto"/>
                <w:sz w:val="26"/>
                <w:szCs w:val="26"/>
                <w:highlight w:val="none"/>
                <w:lang w:eastAsia="zh-CN"/>
              </w:rPr>
              <w:t>）</w:t>
            </w:r>
          </w:p>
        </w:tc>
        <w:tc>
          <w:tcPr>
            <w:tcW w:w="2290" w:type="dxa"/>
            <w:tcMar>
              <w:top w:w="16" w:type="dxa"/>
              <w:left w:w="16" w:type="dxa"/>
              <w:right w:w="16" w:type="dxa"/>
            </w:tcMar>
            <w:vAlign w:val="center"/>
          </w:tcPr>
          <w:p w14:paraId="23A0BB30">
            <w:pPr>
              <w:keepNext w:val="0"/>
              <w:keepLines w:val="0"/>
              <w:suppressLineNumbers w:val="0"/>
              <w:adjustRightInd w:val="0"/>
              <w:snapToGrid w:val="0"/>
              <w:spacing w:before="0" w:beforeAutospacing="0" w:after="0" w:afterAutospacing="0"/>
              <w:ind w:left="0" w:right="0"/>
              <w:jc w:val="center"/>
              <w:rPr>
                <w:rFonts w:hint="default"/>
                <w:color w:val="auto"/>
                <w:spacing w:val="-6"/>
                <w:sz w:val="26"/>
                <w:szCs w:val="26"/>
                <w:highlight w:val="none"/>
              </w:rPr>
            </w:pPr>
            <w:r>
              <w:rPr>
                <w:rFonts w:hint="default"/>
                <w:color w:val="auto"/>
                <w:spacing w:val="-6"/>
                <w:sz w:val="26"/>
                <w:szCs w:val="26"/>
                <w:highlight w:val="none"/>
              </w:rPr>
              <w:t>用地面积（m</w:t>
            </w:r>
            <w:r>
              <w:rPr>
                <w:rFonts w:hint="default"/>
                <w:color w:val="auto"/>
                <w:spacing w:val="-6"/>
                <w:sz w:val="26"/>
                <w:szCs w:val="26"/>
                <w:highlight w:val="none"/>
                <w:vertAlign w:val="superscript"/>
              </w:rPr>
              <w:t>2</w:t>
            </w:r>
            <w:r>
              <w:rPr>
                <w:rFonts w:hint="default"/>
                <w:color w:val="auto"/>
                <w:spacing w:val="-6"/>
                <w:sz w:val="26"/>
                <w:szCs w:val="26"/>
                <w:highlight w:val="none"/>
              </w:rPr>
              <w:t>）</w:t>
            </w:r>
          </w:p>
        </w:tc>
        <w:tc>
          <w:tcPr>
            <w:tcW w:w="2953" w:type="dxa"/>
            <w:vAlign w:val="center"/>
          </w:tcPr>
          <w:p w14:paraId="387E42B5">
            <w:pPr>
              <w:keepNext w:val="0"/>
              <w:keepLines w:val="0"/>
              <w:suppressLineNumbers w:val="0"/>
              <w:adjustRightInd w:val="0"/>
              <w:snapToGrid w:val="0"/>
              <w:spacing w:before="0" w:beforeAutospacing="0" w:after="0" w:afterAutospacing="0"/>
              <w:ind w:left="0" w:right="0"/>
              <w:jc w:val="center"/>
              <w:rPr>
                <w:rFonts w:hint="default"/>
                <w:color w:val="auto"/>
                <w:highlight w:val="none"/>
                <w:lang w:val="en-US"/>
              </w:rPr>
            </w:pPr>
            <w:r>
              <w:rPr>
                <w:rFonts w:hint="eastAsia"/>
                <w:color w:val="auto"/>
                <w:sz w:val="26"/>
                <w:szCs w:val="26"/>
                <w:highlight w:val="none"/>
                <w:lang w:val="en-US" w:eastAsia="zh-CN"/>
              </w:rPr>
              <w:t>35701.00</w:t>
            </w:r>
          </w:p>
        </w:tc>
      </w:tr>
      <w:tr w14:paraId="36786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6" w:type="dxa"/>
            <w:vAlign w:val="center"/>
          </w:tcPr>
          <w:p w14:paraId="527F1571">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专项评价设置情况</w:t>
            </w:r>
          </w:p>
        </w:tc>
        <w:tc>
          <w:tcPr>
            <w:tcW w:w="8413" w:type="dxa"/>
            <w:gridSpan w:val="3"/>
            <w:vAlign w:val="center"/>
          </w:tcPr>
          <w:tbl>
            <w:tblPr>
              <w:tblStyle w:val="2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42"/>
              <w:gridCol w:w="5836"/>
              <w:gridCol w:w="1792"/>
            </w:tblGrid>
            <w:tr w14:paraId="619E1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 w:hRule="atLeast"/>
                <w:jc w:val="center"/>
              </w:trPr>
              <w:tc>
                <w:tcPr>
                  <w:tcW w:w="0" w:type="auto"/>
                  <w:tcBorders>
                    <w:top w:val="single" w:color="000000" w:sz="8" w:space="0"/>
                    <w:left w:val="single" w:color="000000" w:sz="8" w:space="0"/>
                    <w:bottom w:val="single" w:color="000000" w:sz="4" w:space="0"/>
                    <w:right w:val="single" w:color="000000" w:sz="4" w:space="0"/>
                  </w:tcBorders>
                  <w:vAlign w:val="center"/>
                </w:tcPr>
                <w:p w14:paraId="28140E5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专项评价类别</w:t>
                  </w:r>
                </w:p>
              </w:tc>
              <w:tc>
                <w:tcPr>
                  <w:tcW w:w="0" w:type="auto"/>
                  <w:tcBorders>
                    <w:top w:val="single" w:color="000000" w:sz="8" w:space="0"/>
                    <w:left w:val="single" w:color="000000" w:sz="4" w:space="0"/>
                    <w:bottom w:val="single" w:color="000000" w:sz="4" w:space="0"/>
                    <w:right w:val="single" w:color="000000" w:sz="8" w:space="0"/>
                  </w:tcBorders>
                  <w:vAlign w:val="center"/>
                </w:tcPr>
                <w:p w14:paraId="319A405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设置原则</w:t>
                  </w:r>
                </w:p>
              </w:tc>
              <w:tc>
                <w:tcPr>
                  <w:tcW w:w="0" w:type="auto"/>
                  <w:tcBorders>
                    <w:top w:val="single" w:color="000000" w:sz="8" w:space="0"/>
                    <w:left w:val="single" w:color="000000" w:sz="4" w:space="0"/>
                    <w:bottom w:val="single" w:color="000000" w:sz="4" w:space="0"/>
                    <w:right w:val="single" w:color="000000" w:sz="8" w:space="0"/>
                  </w:tcBorders>
                  <w:vAlign w:val="center"/>
                </w:tcPr>
                <w:p w14:paraId="3355EA00">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设置情况</w:t>
                  </w:r>
                </w:p>
              </w:tc>
            </w:tr>
            <w:tr w14:paraId="5FF65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3143851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大气</w:t>
                  </w:r>
                </w:p>
              </w:tc>
              <w:tc>
                <w:tcPr>
                  <w:tcW w:w="0" w:type="auto"/>
                  <w:tcBorders>
                    <w:top w:val="single" w:color="000000" w:sz="4" w:space="0"/>
                    <w:left w:val="single" w:color="000000" w:sz="4" w:space="0"/>
                    <w:bottom w:val="single" w:color="000000" w:sz="4" w:space="0"/>
                    <w:right w:val="single" w:color="000000" w:sz="8" w:space="0"/>
                  </w:tcBorders>
                  <w:vAlign w:val="center"/>
                </w:tcPr>
                <w:p w14:paraId="32826D78">
                  <w:pPr>
                    <w:keepNext w:val="0"/>
                    <w:keepLines w:val="0"/>
                    <w:suppressLineNumbers w:val="0"/>
                    <w:autoSpaceDE w:val="0"/>
                    <w:autoSpaceDN w:val="0"/>
                    <w:adjustRightInd w:val="0"/>
                    <w:snapToGrid w:val="0"/>
                    <w:spacing w:before="0" w:beforeAutospacing="0" w:after="0" w:afterAutospacing="0"/>
                    <w:ind w:left="0" w:right="0"/>
                    <w:rPr>
                      <w:rFonts w:hint="default"/>
                      <w:color w:val="auto"/>
                      <w:kern w:val="21"/>
                      <w:sz w:val="20"/>
                      <w:szCs w:val="20"/>
                      <w:highlight w:val="none"/>
                    </w:rPr>
                  </w:pPr>
                  <w:r>
                    <w:rPr>
                      <w:rFonts w:hint="eastAsia"/>
                      <w:color w:val="auto"/>
                      <w:kern w:val="21"/>
                      <w:sz w:val="20"/>
                      <w:szCs w:val="20"/>
                      <w:highlight w:val="none"/>
                    </w:rPr>
                    <w:t>排放废气含有毒有害污染物、二噁英、苯并</w:t>
                  </w:r>
                  <w:r>
                    <w:rPr>
                      <w:rFonts w:hint="default"/>
                      <w:color w:val="auto"/>
                      <w:kern w:val="21"/>
                      <w:sz w:val="20"/>
                      <w:szCs w:val="20"/>
                      <w:highlight w:val="none"/>
                    </w:rPr>
                    <w:t>[</w:t>
                  </w:r>
                  <w:r>
                    <w:rPr>
                      <w:rFonts w:hint="default"/>
                      <w:i/>
                      <w:color w:val="auto"/>
                      <w:kern w:val="21"/>
                      <w:sz w:val="20"/>
                      <w:szCs w:val="20"/>
                      <w:highlight w:val="none"/>
                    </w:rPr>
                    <w:t>a</w:t>
                  </w:r>
                  <w:r>
                    <w:rPr>
                      <w:rFonts w:hint="default"/>
                      <w:color w:val="auto"/>
                      <w:kern w:val="21"/>
                      <w:sz w:val="20"/>
                      <w:szCs w:val="20"/>
                      <w:highlight w:val="none"/>
                    </w:rPr>
                    <w:t>]</w:t>
                  </w:r>
                  <w:r>
                    <w:rPr>
                      <w:rFonts w:hint="eastAsia"/>
                      <w:color w:val="auto"/>
                      <w:kern w:val="21"/>
                      <w:sz w:val="20"/>
                      <w:szCs w:val="20"/>
                      <w:highlight w:val="none"/>
                    </w:rPr>
                    <w:t>芘、氰化物、氯气且厂界外</w:t>
                  </w:r>
                  <w:r>
                    <w:rPr>
                      <w:rFonts w:hint="default"/>
                      <w:color w:val="auto"/>
                      <w:kern w:val="21"/>
                      <w:sz w:val="20"/>
                      <w:szCs w:val="20"/>
                      <w:highlight w:val="none"/>
                    </w:rPr>
                    <w:t xml:space="preserve">500 </w:t>
                  </w:r>
                  <w:r>
                    <w:rPr>
                      <w:rFonts w:hint="eastAsia"/>
                      <w:color w:val="auto"/>
                      <w:kern w:val="21"/>
                      <w:sz w:val="20"/>
                      <w:szCs w:val="20"/>
                      <w:highlight w:val="none"/>
                    </w:rPr>
                    <w:t>米范围内有环境空气保护目标的建设项目</w:t>
                  </w:r>
                </w:p>
              </w:tc>
              <w:tc>
                <w:tcPr>
                  <w:tcW w:w="0" w:type="auto"/>
                  <w:tcBorders>
                    <w:top w:val="single" w:color="000000" w:sz="4" w:space="0"/>
                    <w:left w:val="single" w:color="000000" w:sz="4" w:space="0"/>
                    <w:bottom w:val="single" w:color="000000" w:sz="4" w:space="0"/>
                    <w:right w:val="single" w:color="000000" w:sz="8" w:space="0"/>
                  </w:tcBorders>
                  <w:vAlign w:val="center"/>
                </w:tcPr>
                <w:p w14:paraId="1E95F434">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lang w:val="en-US" w:eastAsia="zh-CN"/>
                    </w:rPr>
                    <w:t>无须设置</w:t>
                  </w:r>
                  <w:r>
                    <w:rPr>
                      <w:rFonts w:hint="eastAsia"/>
                      <w:color w:val="auto"/>
                      <w:kern w:val="21"/>
                      <w:sz w:val="20"/>
                      <w:szCs w:val="20"/>
                      <w:highlight w:val="none"/>
                    </w:rPr>
                    <w:t>，不涉及以上污染物排放</w:t>
                  </w:r>
                </w:p>
              </w:tc>
            </w:tr>
            <w:tr w14:paraId="09938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2E1E56E7">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地表水</w:t>
                  </w:r>
                </w:p>
              </w:tc>
              <w:tc>
                <w:tcPr>
                  <w:tcW w:w="0" w:type="auto"/>
                  <w:tcBorders>
                    <w:top w:val="single" w:color="000000" w:sz="4" w:space="0"/>
                    <w:left w:val="single" w:color="000000" w:sz="4" w:space="0"/>
                    <w:bottom w:val="single" w:color="000000" w:sz="4" w:space="0"/>
                    <w:right w:val="single" w:color="000000" w:sz="8" w:space="0"/>
                  </w:tcBorders>
                  <w:vAlign w:val="center"/>
                </w:tcPr>
                <w:p w14:paraId="59502F46">
                  <w:pPr>
                    <w:keepNext w:val="0"/>
                    <w:keepLines w:val="0"/>
                    <w:suppressLineNumbers w:val="0"/>
                    <w:autoSpaceDE w:val="0"/>
                    <w:autoSpaceDN w:val="0"/>
                    <w:adjustRightInd w:val="0"/>
                    <w:snapToGrid w:val="0"/>
                    <w:spacing w:before="0" w:beforeAutospacing="0" w:after="0" w:afterAutospacing="0"/>
                    <w:ind w:left="0" w:right="0"/>
                    <w:rPr>
                      <w:rFonts w:hint="default"/>
                      <w:color w:val="auto"/>
                      <w:kern w:val="21"/>
                      <w:sz w:val="20"/>
                      <w:szCs w:val="20"/>
                      <w:highlight w:val="none"/>
                    </w:rPr>
                  </w:pPr>
                  <w:r>
                    <w:rPr>
                      <w:rFonts w:hint="eastAsia"/>
                      <w:color w:val="auto"/>
                      <w:kern w:val="21"/>
                      <w:sz w:val="20"/>
                      <w:szCs w:val="20"/>
                      <w:highlight w:val="none"/>
                    </w:rPr>
                    <w:t>新增工业废水直排建设项目（槽罐车外送污水处理厂的除外）；新增废水直排的污水集中处理厂</w:t>
                  </w:r>
                </w:p>
              </w:tc>
              <w:tc>
                <w:tcPr>
                  <w:tcW w:w="0" w:type="auto"/>
                  <w:tcBorders>
                    <w:top w:val="single" w:color="000000" w:sz="4" w:space="0"/>
                    <w:left w:val="single" w:color="000000" w:sz="4" w:space="0"/>
                    <w:bottom w:val="single" w:color="000000" w:sz="4" w:space="0"/>
                    <w:right w:val="single" w:color="000000" w:sz="8" w:space="0"/>
                  </w:tcBorders>
                  <w:vAlign w:val="center"/>
                </w:tcPr>
                <w:p w14:paraId="1AD1761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lang w:val="en-US" w:eastAsia="zh-CN"/>
                    </w:rPr>
                    <w:t>无须设置</w:t>
                  </w:r>
                  <w:r>
                    <w:rPr>
                      <w:rFonts w:hint="eastAsia"/>
                      <w:color w:val="auto"/>
                      <w:kern w:val="21"/>
                      <w:sz w:val="20"/>
                      <w:szCs w:val="20"/>
                      <w:highlight w:val="none"/>
                    </w:rPr>
                    <w:t>，不涉及废水直排</w:t>
                  </w:r>
                </w:p>
              </w:tc>
            </w:tr>
            <w:tr w14:paraId="2B449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504FF75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环境风险</w:t>
                  </w:r>
                </w:p>
              </w:tc>
              <w:tc>
                <w:tcPr>
                  <w:tcW w:w="0" w:type="auto"/>
                  <w:tcBorders>
                    <w:top w:val="single" w:color="000000" w:sz="4" w:space="0"/>
                    <w:left w:val="single" w:color="000000" w:sz="4" w:space="0"/>
                    <w:bottom w:val="single" w:color="000000" w:sz="4" w:space="0"/>
                    <w:right w:val="single" w:color="000000" w:sz="8" w:space="0"/>
                  </w:tcBorders>
                  <w:vAlign w:val="center"/>
                </w:tcPr>
                <w:p w14:paraId="145A3BD7">
                  <w:pPr>
                    <w:keepNext w:val="0"/>
                    <w:keepLines w:val="0"/>
                    <w:suppressLineNumbers w:val="0"/>
                    <w:autoSpaceDE w:val="0"/>
                    <w:autoSpaceDN w:val="0"/>
                    <w:adjustRightInd w:val="0"/>
                    <w:snapToGrid w:val="0"/>
                    <w:spacing w:before="0" w:beforeAutospacing="0" w:after="0" w:afterAutospacing="0"/>
                    <w:ind w:left="0" w:right="0"/>
                    <w:rPr>
                      <w:rFonts w:hint="default"/>
                      <w:color w:val="auto"/>
                      <w:kern w:val="21"/>
                      <w:sz w:val="20"/>
                      <w:szCs w:val="20"/>
                      <w:highlight w:val="none"/>
                    </w:rPr>
                  </w:pPr>
                  <w:r>
                    <w:rPr>
                      <w:rFonts w:hint="eastAsia"/>
                      <w:color w:val="auto"/>
                      <w:kern w:val="21"/>
                      <w:sz w:val="20"/>
                      <w:szCs w:val="20"/>
                      <w:highlight w:val="none"/>
                    </w:rPr>
                    <w:t>有毒有害和易燃易爆危险物质存储量超过临界量的建设项目</w:t>
                  </w:r>
                </w:p>
              </w:tc>
              <w:tc>
                <w:tcPr>
                  <w:tcW w:w="0" w:type="auto"/>
                  <w:tcBorders>
                    <w:top w:val="single" w:color="000000" w:sz="4" w:space="0"/>
                    <w:left w:val="single" w:color="000000" w:sz="4" w:space="0"/>
                    <w:bottom w:val="single" w:color="000000" w:sz="4" w:space="0"/>
                    <w:right w:val="single" w:color="000000" w:sz="8" w:space="0"/>
                  </w:tcBorders>
                  <w:vAlign w:val="center"/>
                </w:tcPr>
                <w:p w14:paraId="34CC1CDA">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lang w:val="en-US" w:eastAsia="zh-CN"/>
                    </w:rPr>
                    <w:t>无须设置</w:t>
                  </w:r>
                  <w:r>
                    <w:rPr>
                      <w:rFonts w:hint="eastAsia"/>
                      <w:color w:val="auto"/>
                      <w:kern w:val="21"/>
                      <w:sz w:val="20"/>
                      <w:szCs w:val="20"/>
                      <w:highlight w:val="none"/>
                    </w:rPr>
                    <w:t>，Q＜1</w:t>
                  </w:r>
                </w:p>
              </w:tc>
            </w:tr>
            <w:tr w14:paraId="73E53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 w:hRule="atLeast"/>
                <w:jc w:val="center"/>
              </w:trPr>
              <w:tc>
                <w:tcPr>
                  <w:tcW w:w="0" w:type="auto"/>
                  <w:tcBorders>
                    <w:top w:val="single" w:color="000000" w:sz="4" w:space="0"/>
                    <w:left w:val="single" w:color="000000" w:sz="8" w:space="0"/>
                    <w:bottom w:val="single" w:color="000000" w:sz="4" w:space="0"/>
                    <w:right w:val="single" w:color="000000" w:sz="4" w:space="0"/>
                  </w:tcBorders>
                  <w:vAlign w:val="center"/>
                </w:tcPr>
                <w:p w14:paraId="051E0848">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生态</w:t>
                  </w:r>
                </w:p>
              </w:tc>
              <w:tc>
                <w:tcPr>
                  <w:tcW w:w="0" w:type="auto"/>
                  <w:tcBorders>
                    <w:top w:val="single" w:color="000000" w:sz="4" w:space="0"/>
                    <w:left w:val="single" w:color="000000" w:sz="4" w:space="0"/>
                    <w:bottom w:val="single" w:color="000000" w:sz="4" w:space="0"/>
                    <w:right w:val="single" w:color="000000" w:sz="8" w:space="0"/>
                  </w:tcBorders>
                  <w:vAlign w:val="center"/>
                </w:tcPr>
                <w:p w14:paraId="1A13D812">
                  <w:pPr>
                    <w:keepNext w:val="0"/>
                    <w:keepLines w:val="0"/>
                    <w:suppressLineNumbers w:val="0"/>
                    <w:autoSpaceDE w:val="0"/>
                    <w:autoSpaceDN w:val="0"/>
                    <w:adjustRightInd w:val="0"/>
                    <w:snapToGrid w:val="0"/>
                    <w:spacing w:before="0" w:beforeAutospacing="0" w:after="0" w:afterAutospacing="0"/>
                    <w:ind w:left="0" w:right="0"/>
                    <w:rPr>
                      <w:rFonts w:hint="default"/>
                      <w:color w:val="auto"/>
                      <w:kern w:val="21"/>
                      <w:sz w:val="20"/>
                      <w:szCs w:val="20"/>
                      <w:highlight w:val="none"/>
                    </w:rPr>
                  </w:pPr>
                  <w:r>
                    <w:rPr>
                      <w:rFonts w:hint="eastAsia"/>
                      <w:color w:val="auto"/>
                      <w:kern w:val="21"/>
                      <w:sz w:val="20"/>
                      <w:szCs w:val="20"/>
                      <w:highlight w:val="none"/>
                    </w:rPr>
                    <w:t>取水口下游</w:t>
                  </w:r>
                  <w:r>
                    <w:rPr>
                      <w:rFonts w:hint="default"/>
                      <w:color w:val="auto"/>
                      <w:kern w:val="21"/>
                      <w:sz w:val="20"/>
                      <w:szCs w:val="20"/>
                      <w:highlight w:val="none"/>
                    </w:rPr>
                    <w:t xml:space="preserve"> 500 </w:t>
                  </w:r>
                  <w:r>
                    <w:rPr>
                      <w:rFonts w:hint="eastAsia"/>
                      <w:color w:val="auto"/>
                      <w:kern w:val="21"/>
                      <w:sz w:val="20"/>
                      <w:szCs w:val="20"/>
                      <w:highlight w:val="none"/>
                    </w:rPr>
                    <w:t>米范围内有重要水生生物的自然产卵场、索饵场、越冬场和洄游通道的新增河道取水的污染类建设项目</w:t>
                  </w:r>
                </w:p>
              </w:tc>
              <w:tc>
                <w:tcPr>
                  <w:tcW w:w="0" w:type="auto"/>
                  <w:tcBorders>
                    <w:top w:val="single" w:color="000000" w:sz="4" w:space="0"/>
                    <w:left w:val="single" w:color="000000" w:sz="4" w:space="0"/>
                    <w:bottom w:val="single" w:color="000000" w:sz="4" w:space="0"/>
                    <w:right w:val="single" w:color="000000" w:sz="8" w:space="0"/>
                  </w:tcBorders>
                  <w:vAlign w:val="center"/>
                </w:tcPr>
                <w:p w14:paraId="608E74CB">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lang w:val="en-US" w:eastAsia="zh-CN"/>
                    </w:rPr>
                    <w:t>无须设置</w:t>
                  </w:r>
                  <w:r>
                    <w:rPr>
                      <w:rFonts w:hint="eastAsia"/>
                      <w:color w:val="auto"/>
                      <w:kern w:val="21"/>
                      <w:sz w:val="20"/>
                      <w:szCs w:val="20"/>
                      <w:highlight w:val="none"/>
                    </w:rPr>
                    <w:t>，不涉及</w:t>
                  </w:r>
                </w:p>
              </w:tc>
            </w:tr>
            <w:tr w14:paraId="58914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 w:hRule="atLeast"/>
                <w:jc w:val="center"/>
              </w:trPr>
              <w:tc>
                <w:tcPr>
                  <w:tcW w:w="0" w:type="auto"/>
                  <w:tcBorders>
                    <w:top w:val="single" w:color="000000" w:sz="4" w:space="0"/>
                    <w:left w:val="single" w:color="000000" w:sz="8" w:space="0"/>
                    <w:bottom w:val="single" w:color="000000" w:sz="8" w:space="0"/>
                    <w:right w:val="single" w:color="000000" w:sz="4" w:space="0"/>
                  </w:tcBorders>
                  <w:vAlign w:val="center"/>
                </w:tcPr>
                <w:p w14:paraId="6C21DCA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rPr>
                    <w:t>海洋</w:t>
                  </w:r>
                </w:p>
              </w:tc>
              <w:tc>
                <w:tcPr>
                  <w:tcW w:w="0" w:type="auto"/>
                  <w:tcBorders>
                    <w:top w:val="single" w:color="000000" w:sz="4" w:space="0"/>
                    <w:left w:val="single" w:color="000000" w:sz="4" w:space="0"/>
                    <w:bottom w:val="single" w:color="000000" w:sz="8" w:space="0"/>
                    <w:right w:val="single" w:color="000000" w:sz="8" w:space="0"/>
                  </w:tcBorders>
                  <w:vAlign w:val="center"/>
                </w:tcPr>
                <w:p w14:paraId="12553972">
                  <w:pPr>
                    <w:keepNext w:val="0"/>
                    <w:keepLines w:val="0"/>
                    <w:suppressLineNumbers w:val="0"/>
                    <w:autoSpaceDE w:val="0"/>
                    <w:autoSpaceDN w:val="0"/>
                    <w:adjustRightInd w:val="0"/>
                    <w:snapToGrid w:val="0"/>
                    <w:spacing w:before="0" w:beforeAutospacing="0" w:after="0" w:afterAutospacing="0"/>
                    <w:ind w:left="0" w:right="0"/>
                    <w:rPr>
                      <w:rFonts w:hint="default"/>
                      <w:color w:val="auto"/>
                      <w:kern w:val="21"/>
                      <w:sz w:val="20"/>
                      <w:szCs w:val="20"/>
                      <w:highlight w:val="none"/>
                    </w:rPr>
                  </w:pPr>
                  <w:r>
                    <w:rPr>
                      <w:rFonts w:hint="eastAsia"/>
                      <w:color w:val="auto"/>
                      <w:kern w:val="21"/>
                      <w:sz w:val="20"/>
                      <w:szCs w:val="20"/>
                      <w:highlight w:val="none"/>
                    </w:rPr>
                    <w:t>直接向海排放污染物的海洋工程建设项目</w:t>
                  </w:r>
                </w:p>
              </w:tc>
              <w:tc>
                <w:tcPr>
                  <w:tcW w:w="0" w:type="auto"/>
                  <w:tcBorders>
                    <w:top w:val="single" w:color="000000" w:sz="4" w:space="0"/>
                    <w:left w:val="single" w:color="000000" w:sz="4" w:space="0"/>
                    <w:bottom w:val="single" w:color="000000" w:sz="8" w:space="0"/>
                    <w:right w:val="single" w:color="000000" w:sz="8" w:space="0"/>
                  </w:tcBorders>
                  <w:vAlign w:val="center"/>
                </w:tcPr>
                <w:p w14:paraId="21786757">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21"/>
                      <w:sz w:val="20"/>
                      <w:szCs w:val="20"/>
                      <w:highlight w:val="none"/>
                    </w:rPr>
                  </w:pPr>
                  <w:r>
                    <w:rPr>
                      <w:rFonts w:hint="eastAsia"/>
                      <w:color w:val="auto"/>
                      <w:kern w:val="21"/>
                      <w:sz w:val="20"/>
                      <w:szCs w:val="20"/>
                      <w:highlight w:val="none"/>
                      <w:lang w:val="en-US" w:eastAsia="zh-CN"/>
                    </w:rPr>
                    <w:t>无须设置</w:t>
                  </w:r>
                  <w:r>
                    <w:rPr>
                      <w:rFonts w:hint="eastAsia"/>
                      <w:color w:val="auto"/>
                      <w:kern w:val="21"/>
                      <w:sz w:val="20"/>
                      <w:szCs w:val="20"/>
                      <w:highlight w:val="none"/>
                    </w:rPr>
                    <w:t>，不涉及</w:t>
                  </w:r>
                </w:p>
              </w:tc>
            </w:tr>
          </w:tbl>
          <w:p w14:paraId="44D905F3">
            <w:pPr>
              <w:keepNext w:val="0"/>
              <w:keepLines w:val="0"/>
              <w:suppressLineNumbers w:val="0"/>
              <w:autoSpaceDE w:val="0"/>
              <w:autoSpaceDN w:val="0"/>
              <w:adjustRightInd w:val="0"/>
              <w:snapToGrid w:val="0"/>
              <w:spacing w:before="0" w:beforeAutospacing="0" w:after="0" w:afterAutospacing="0"/>
              <w:ind w:left="0" w:right="0" w:firstLine="520" w:firstLineChars="200"/>
              <w:rPr>
                <w:rFonts w:hint="default"/>
                <w:color w:val="auto"/>
                <w:kern w:val="0"/>
                <w:sz w:val="26"/>
                <w:szCs w:val="26"/>
                <w:highlight w:val="none"/>
              </w:rPr>
            </w:pPr>
          </w:p>
        </w:tc>
      </w:tr>
    </w:tbl>
    <w:p w14:paraId="4F811C64">
      <w:pPr>
        <w:rPr>
          <w:color w:val="auto"/>
          <w:szCs w:val="21"/>
          <w:highlight w:val="none"/>
        </w:rPr>
        <w:sectPr>
          <w:footerReference r:id="rId4" w:type="default"/>
          <w:pgSz w:w="11906" w:h="16838"/>
          <w:pgMar w:top="1474" w:right="1020" w:bottom="1361" w:left="1020" w:header="851" w:footer="851" w:gutter="0"/>
          <w:pgBorders>
            <w:top w:val="none" w:sz="0" w:space="0"/>
            <w:left w:val="none" w:sz="0" w:space="0"/>
            <w:bottom w:val="none" w:sz="0" w:space="0"/>
            <w:right w:val="none" w:sz="0" w:space="0"/>
          </w:pgBorders>
          <w:pgNumType w:fmt="decimal" w:start="1"/>
          <w:cols w:space="720" w:num="1"/>
          <w:docGrid w:linePitch="312" w:charSpace="0"/>
        </w:sect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9292"/>
      </w:tblGrid>
      <w:tr w14:paraId="2953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vAlign w:val="center"/>
          </w:tcPr>
          <w:p w14:paraId="69E5A5C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26"/>
                <w:szCs w:val="26"/>
                <w:highlight w:val="none"/>
              </w:rPr>
            </w:pPr>
            <w:r>
              <w:rPr>
                <w:rFonts w:hint="eastAsia"/>
                <w:color w:val="auto"/>
                <w:sz w:val="26"/>
                <w:szCs w:val="26"/>
                <w:highlight w:val="none"/>
              </w:rPr>
              <w:t>规划情况</w:t>
            </w:r>
          </w:p>
        </w:tc>
        <w:tc>
          <w:tcPr>
            <w:tcW w:w="7875" w:type="dxa"/>
            <w:tcBorders>
              <w:top w:val="single" w:color="auto" w:sz="4" w:space="0"/>
              <w:left w:val="single" w:color="auto" w:sz="4" w:space="0"/>
              <w:bottom w:val="single" w:color="auto" w:sz="4" w:space="0"/>
              <w:right w:val="single" w:color="auto" w:sz="4" w:space="0"/>
            </w:tcBorders>
            <w:vAlign w:val="center"/>
          </w:tcPr>
          <w:p w14:paraId="0320E9E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eastAsia="宋体"/>
                <w:color w:val="auto"/>
                <w:kern w:val="0"/>
                <w:sz w:val="26"/>
                <w:szCs w:val="26"/>
                <w:highlight w:val="none"/>
                <w:lang w:eastAsia="zh-CN"/>
              </w:rPr>
            </w:pPr>
            <w:r>
              <w:rPr>
                <w:rFonts w:hint="eastAsia"/>
                <w:color w:val="auto"/>
                <w:kern w:val="0"/>
                <w:sz w:val="26"/>
                <w:szCs w:val="26"/>
                <w:highlight w:val="none"/>
              </w:rPr>
              <w:t>规划名称：《綦江工业园区北渡铝产业园控制性详细规划》（2022）</w:t>
            </w:r>
          </w:p>
        </w:tc>
      </w:tr>
      <w:tr w14:paraId="6B14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vAlign w:val="center"/>
          </w:tcPr>
          <w:p w14:paraId="1E582BFE">
            <w:pPr>
              <w:keepNext w:val="0"/>
              <w:keepLines w:val="0"/>
              <w:suppressLineNumbers w:val="0"/>
              <w:adjustRightInd w:val="0"/>
              <w:snapToGrid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rPr>
              <w:t>规划环境影响评价情况</w:t>
            </w:r>
          </w:p>
        </w:tc>
        <w:tc>
          <w:tcPr>
            <w:tcW w:w="7875" w:type="dxa"/>
            <w:tcBorders>
              <w:top w:val="single" w:color="auto" w:sz="4" w:space="0"/>
              <w:left w:val="single" w:color="auto" w:sz="4" w:space="0"/>
              <w:bottom w:val="single" w:color="auto" w:sz="4" w:space="0"/>
              <w:right w:val="single" w:color="auto" w:sz="4" w:space="0"/>
            </w:tcBorders>
            <w:vAlign w:val="center"/>
          </w:tcPr>
          <w:p w14:paraId="686C0CAB">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color w:val="auto"/>
                <w:kern w:val="0"/>
                <w:sz w:val="26"/>
                <w:szCs w:val="26"/>
                <w:highlight w:val="none"/>
              </w:rPr>
            </w:pPr>
            <w:r>
              <w:rPr>
                <w:rFonts w:hint="eastAsia"/>
                <w:color w:val="auto"/>
                <w:kern w:val="0"/>
                <w:sz w:val="26"/>
                <w:szCs w:val="26"/>
                <w:highlight w:val="none"/>
              </w:rPr>
              <w:t>规划环评名称：《綦江工业园区北渡铝产业园控制性详细规划环境影响报告书》审查机关：重庆市生态环境局；</w:t>
            </w:r>
          </w:p>
          <w:p w14:paraId="3A05CF70">
            <w:pPr>
              <w:keepNext w:val="0"/>
              <w:keepLines w:val="0"/>
              <w:suppressLineNumbers w:val="0"/>
              <w:autoSpaceDE w:val="0"/>
              <w:autoSpaceDN w:val="0"/>
              <w:adjustRightInd w:val="0"/>
              <w:snapToGrid w:val="0"/>
              <w:spacing w:before="0" w:beforeAutospacing="0" w:after="0" w:afterAutospacing="0" w:line="400" w:lineRule="exact"/>
              <w:ind w:left="0" w:right="0"/>
              <w:rPr>
                <w:rFonts w:hint="default"/>
                <w:color w:val="auto"/>
                <w:kern w:val="0"/>
                <w:sz w:val="26"/>
                <w:szCs w:val="26"/>
                <w:highlight w:val="none"/>
              </w:rPr>
            </w:pPr>
            <w:r>
              <w:rPr>
                <w:rFonts w:hint="eastAsia"/>
                <w:color w:val="auto"/>
                <w:kern w:val="0"/>
                <w:sz w:val="26"/>
                <w:szCs w:val="26"/>
                <w:highlight w:val="none"/>
              </w:rPr>
              <w:t>审查文件名称及文号：《关于</w:t>
            </w:r>
            <w:r>
              <w:rPr>
                <w:rFonts w:hint="eastAsia"/>
                <w:color w:val="auto"/>
                <w:kern w:val="0"/>
                <w:sz w:val="26"/>
                <w:szCs w:val="26"/>
                <w:highlight w:val="none"/>
                <w:lang w:eastAsia="zh-CN"/>
              </w:rPr>
              <w:t>〈</w:t>
            </w:r>
            <w:r>
              <w:rPr>
                <w:rFonts w:hint="eastAsia"/>
                <w:color w:val="auto"/>
                <w:kern w:val="0"/>
                <w:sz w:val="26"/>
                <w:szCs w:val="26"/>
                <w:highlight w:val="none"/>
              </w:rPr>
              <w:t>重庆綦江工业园区北渡铝产业园控制性详细规划环境影响报告书&gt;的审查意见的函》（渝环函〔2022〕379号）</w:t>
            </w:r>
          </w:p>
        </w:tc>
      </w:tr>
      <w:tr w14:paraId="5B18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vAlign w:val="center"/>
          </w:tcPr>
          <w:p w14:paraId="441FC3E3">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26"/>
                <w:szCs w:val="26"/>
                <w:highlight w:val="none"/>
              </w:rPr>
            </w:pPr>
            <w:r>
              <w:rPr>
                <w:rFonts w:hint="eastAsia"/>
                <w:color w:val="auto"/>
                <w:kern w:val="0"/>
                <w:sz w:val="26"/>
                <w:szCs w:val="26"/>
                <w:highlight w:val="none"/>
              </w:rPr>
              <w:t>规划及规划环境影响评价符合性分析</w:t>
            </w:r>
          </w:p>
        </w:tc>
        <w:tc>
          <w:tcPr>
            <w:tcW w:w="7875" w:type="dxa"/>
            <w:tcBorders>
              <w:top w:val="single" w:color="auto" w:sz="4" w:space="0"/>
              <w:left w:val="single" w:color="auto" w:sz="4" w:space="0"/>
              <w:bottom w:val="single" w:color="auto" w:sz="4" w:space="0"/>
              <w:right w:val="single" w:color="auto" w:sz="4" w:space="0"/>
            </w:tcBorders>
            <w:vAlign w:val="center"/>
          </w:tcPr>
          <w:p w14:paraId="346A7C61">
            <w:pPr>
              <w:pStyle w:val="57"/>
              <w:keepNext w:val="0"/>
              <w:keepLines w:val="0"/>
              <w:suppressLineNumbers w:val="0"/>
              <w:spacing w:before="0" w:beforeAutospacing="0" w:after="0" w:afterAutospacing="0" w:line="400" w:lineRule="exact"/>
              <w:ind w:left="0" w:right="0" w:firstLine="522"/>
              <w:rPr>
                <w:rFonts w:hint="default"/>
                <w:b/>
                <w:color w:val="auto"/>
                <w:kern w:val="2"/>
                <w:szCs w:val="26"/>
                <w:highlight w:val="none"/>
              </w:rPr>
            </w:pPr>
            <w:r>
              <w:rPr>
                <w:rFonts w:hint="eastAsia"/>
                <w:b/>
                <w:color w:val="auto"/>
                <w:kern w:val="2"/>
                <w:szCs w:val="26"/>
                <w:highlight w:val="none"/>
              </w:rPr>
              <w:t>1</w:t>
            </w:r>
            <w:r>
              <w:rPr>
                <w:rFonts w:hint="default"/>
                <w:b/>
                <w:color w:val="auto"/>
                <w:kern w:val="2"/>
                <w:szCs w:val="26"/>
                <w:highlight w:val="none"/>
              </w:rPr>
              <w:t>.1</w:t>
            </w:r>
            <w:r>
              <w:rPr>
                <w:rFonts w:hint="eastAsia"/>
                <w:b/>
                <w:color w:val="auto"/>
                <w:kern w:val="2"/>
                <w:szCs w:val="26"/>
                <w:highlight w:val="none"/>
              </w:rPr>
              <w:t>与《綦江工业园区北渡铝产业园控制性详细规划</w:t>
            </w:r>
            <w:r>
              <w:rPr>
                <w:rFonts w:hint="eastAsia"/>
                <w:b/>
                <w:color w:val="auto"/>
                <w:kern w:val="2"/>
                <w:szCs w:val="26"/>
                <w:highlight w:val="none"/>
                <w:lang w:eastAsia="zh-CN"/>
              </w:rPr>
              <w:t>（</w:t>
            </w:r>
            <w:r>
              <w:rPr>
                <w:rFonts w:hint="eastAsia"/>
                <w:b/>
                <w:color w:val="auto"/>
                <w:kern w:val="2"/>
                <w:szCs w:val="26"/>
                <w:highlight w:val="none"/>
                <w:lang w:val="en-US" w:eastAsia="zh-CN"/>
              </w:rPr>
              <w:t>2022年</w:t>
            </w:r>
            <w:r>
              <w:rPr>
                <w:rFonts w:hint="eastAsia"/>
                <w:b/>
                <w:color w:val="auto"/>
                <w:kern w:val="2"/>
                <w:szCs w:val="26"/>
                <w:highlight w:val="none"/>
                <w:lang w:eastAsia="zh-CN"/>
              </w:rPr>
              <w:t>）</w:t>
            </w:r>
            <w:r>
              <w:rPr>
                <w:rFonts w:hint="eastAsia"/>
                <w:b/>
                <w:color w:val="auto"/>
                <w:kern w:val="2"/>
                <w:szCs w:val="26"/>
                <w:highlight w:val="none"/>
              </w:rPr>
              <w:t>》的符合性分析</w:t>
            </w:r>
          </w:p>
          <w:p w14:paraId="38584393">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綦江工业园区北渡铝产业园规划范围844.14公顷，其中工业用地（三类）541.38公顷。规划范围东至綦江河，南至宗德村，西至清溪河，北与江津区接壤。规划主导产业为铝及合金材料，以“铝电联营”为核心，以“精深铝产品加工”为主导，以发展循环经济为抓手，大力发展再生铝、铝加工、建材生产、固废处理等相关产业，打造“重庆首个循环经济生态工业（铝业）园区”，构建铝电联营原级产业链、热电联产次级产业链、关联产业链组合而成的产业链体系。</w:t>
            </w:r>
          </w:p>
          <w:p w14:paraId="5C4393D3">
            <w:pPr>
              <w:pStyle w:val="74"/>
              <w:keepNext w:val="0"/>
              <w:keepLines w:val="0"/>
              <w:suppressLineNumbers w:val="0"/>
              <w:spacing w:before="0" w:beforeAutospacing="0" w:after="0" w:afterAutospacing="0"/>
              <w:ind w:left="0" w:right="0" w:firstLine="520"/>
              <w:rPr>
                <w:rFonts w:hint="default"/>
                <w:color w:val="auto"/>
                <w:highlight w:val="none"/>
              </w:rPr>
            </w:pPr>
            <w:r>
              <w:rPr>
                <w:rFonts w:hint="default"/>
                <w:color w:val="auto"/>
                <w:highlight w:val="none"/>
              </w:rPr>
              <w:t>产业结构和规模为：大力发展再生铝、铝加工、建材生产等相关产业，再生铝规模由50万吨/年增加为200万吨/年，同步将铝加工规模由140万吨/年调整至240万吨/年，配套增加铝灰、铝灰渣等工业固体废渣的资源化利用。</w:t>
            </w:r>
          </w:p>
          <w:p w14:paraId="2C05D1B7">
            <w:pPr>
              <w:pStyle w:val="74"/>
              <w:keepNext w:val="0"/>
              <w:keepLines w:val="0"/>
              <w:suppressLineNumbers w:val="0"/>
              <w:spacing w:before="0" w:beforeAutospacing="0" w:after="0" w:afterAutospacing="0"/>
              <w:ind w:left="0" w:right="0" w:firstLine="520"/>
              <w:rPr>
                <w:rFonts w:hint="default"/>
                <w:color w:val="auto"/>
                <w:lang w:val="en-US" w:eastAsia="zh-CN"/>
              </w:rPr>
            </w:pPr>
            <w:r>
              <w:rPr>
                <w:rFonts w:hint="eastAsia"/>
                <w:color w:val="auto"/>
                <w:highlight w:val="none"/>
              </w:rPr>
              <w:t>本项目位于綦江工业园区北渡铝产业园内，不属于园区禁止和限制引入类项目，</w:t>
            </w:r>
            <w:r>
              <w:rPr>
                <w:rFonts w:hint="default"/>
                <w:color w:val="auto"/>
                <w:lang w:val="en-US" w:eastAsia="zh-CN"/>
              </w:rPr>
              <w:t>且属于列入《西部地区鼓励类产业目录（2025年本）》的产业项目。</w:t>
            </w:r>
          </w:p>
          <w:p w14:paraId="66CE5D7B">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项目用地为工业用地，项目已与园区签订投资协议（附件</w:t>
            </w:r>
            <w:r>
              <w:rPr>
                <w:rFonts w:hint="eastAsia"/>
                <w:color w:val="auto"/>
                <w:highlight w:val="none"/>
                <w:lang w:val="en-US" w:eastAsia="zh-CN"/>
              </w:rPr>
              <w:t>4</w:t>
            </w:r>
            <w:r>
              <w:rPr>
                <w:rFonts w:hint="eastAsia"/>
                <w:color w:val="auto"/>
                <w:highlight w:val="none"/>
              </w:rPr>
              <w:t>）；项目不与主导产业相冲突。因此，项目符合北渡铝产业园规划。</w:t>
            </w:r>
          </w:p>
          <w:p w14:paraId="4B9EC5B2">
            <w:pPr>
              <w:pStyle w:val="57"/>
              <w:keepNext w:val="0"/>
              <w:keepLines w:val="0"/>
              <w:suppressLineNumbers w:val="0"/>
              <w:spacing w:before="0" w:beforeAutospacing="0" w:after="0" w:afterAutospacing="0" w:line="400" w:lineRule="exact"/>
              <w:ind w:left="0" w:right="0" w:firstLine="522"/>
              <w:rPr>
                <w:rFonts w:hint="default"/>
                <w:b/>
                <w:color w:val="auto"/>
                <w:kern w:val="2"/>
                <w:szCs w:val="26"/>
                <w:highlight w:val="none"/>
              </w:rPr>
            </w:pPr>
            <w:r>
              <w:rPr>
                <w:rFonts w:hint="default"/>
                <w:b/>
                <w:color w:val="auto"/>
                <w:kern w:val="2"/>
                <w:szCs w:val="26"/>
                <w:highlight w:val="none"/>
              </w:rPr>
              <w:t>1.2</w:t>
            </w:r>
            <w:r>
              <w:rPr>
                <w:rFonts w:hint="eastAsia"/>
                <w:b/>
                <w:color w:val="auto"/>
                <w:kern w:val="2"/>
                <w:szCs w:val="26"/>
                <w:highlight w:val="none"/>
              </w:rPr>
              <w:t>与规划环评的符合性分析</w:t>
            </w:r>
          </w:p>
          <w:p w14:paraId="780AC0DF">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拟建项目位于綦江工业园区北渡铝产业园内，项目与规划环评、审查意见函的符合性如下。</w:t>
            </w:r>
          </w:p>
          <w:p w14:paraId="1D132B0B">
            <w:pPr>
              <w:pStyle w:val="57"/>
              <w:keepNext w:val="0"/>
              <w:keepLines w:val="0"/>
              <w:suppressLineNumbers w:val="0"/>
              <w:spacing w:before="0" w:beforeAutospacing="0" w:after="0" w:afterAutospacing="0" w:line="400" w:lineRule="exact"/>
              <w:ind w:left="0" w:right="0" w:firstLine="459" w:firstLineChars="176"/>
              <w:rPr>
                <w:rFonts w:hint="default"/>
                <w:b/>
                <w:color w:val="auto"/>
                <w:szCs w:val="26"/>
                <w:highlight w:val="none"/>
              </w:rPr>
            </w:pPr>
            <w:r>
              <w:rPr>
                <w:rFonts w:hint="default"/>
                <w:b/>
                <w:color w:val="auto"/>
                <w:szCs w:val="26"/>
                <w:highlight w:val="none"/>
              </w:rPr>
              <w:t>1.2.1</w:t>
            </w:r>
            <w:r>
              <w:rPr>
                <w:rFonts w:hint="eastAsia"/>
                <w:b/>
                <w:color w:val="auto"/>
                <w:szCs w:val="26"/>
                <w:highlight w:val="none"/>
              </w:rPr>
              <w:t>与规划环评报告的符合性分析</w:t>
            </w:r>
          </w:p>
          <w:p w14:paraId="5072EF63">
            <w:pPr>
              <w:pStyle w:val="74"/>
              <w:keepNext w:val="0"/>
              <w:keepLines w:val="0"/>
              <w:suppressLineNumbers w:val="0"/>
              <w:spacing w:before="0" w:beforeAutospacing="0" w:after="0" w:afterAutospacing="0"/>
              <w:ind w:left="0" w:right="0" w:firstLine="520"/>
              <w:rPr>
                <w:rFonts w:hint="default"/>
                <w:color w:val="auto"/>
                <w:highlight w:val="none"/>
                <w:lang w:val="en-US"/>
              </w:rPr>
            </w:pPr>
            <w:r>
              <w:rPr>
                <w:rFonts w:hint="eastAsia"/>
                <w:color w:val="auto"/>
                <w:highlight w:val="none"/>
              </w:rPr>
              <w:t>根据规划环评报告，綦江工业园区北渡铝产业园的生态环境准入清单见下表</w:t>
            </w:r>
            <w:r>
              <w:rPr>
                <w:rFonts w:hint="eastAsia"/>
                <w:color w:val="auto"/>
                <w:highlight w:val="none"/>
                <w:lang w:val="en-US"/>
              </w:rPr>
              <w:t>。</w:t>
            </w:r>
          </w:p>
          <w:p w14:paraId="5CB04AE8">
            <w:pPr>
              <w:pStyle w:val="74"/>
              <w:keepNext w:val="0"/>
              <w:keepLines w:val="0"/>
              <w:suppressLineNumbers w:val="0"/>
              <w:spacing w:before="0" w:beforeAutospacing="0" w:after="0" w:afterAutospacing="0" w:line="240" w:lineRule="auto"/>
              <w:ind w:left="0" w:right="0" w:firstLine="520"/>
              <w:rPr>
                <w:rFonts w:hint="default"/>
                <w:color w:val="auto"/>
                <w:highlight w:val="none"/>
                <w:lang w:val="en-US"/>
              </w:rPr>
            </w:pPr>
          </w:p>
          <w:p w14:paraId="60262AD4">
            <w:pPr>
              <w:pStyle w:val="67"/>
              <w:keepNext w:val="0"/>
              <w:keepLines w:val="0"/>
              <w:suppressLineNumbers w:val="0"/>
              <w:spacing w:before="0" w:beforeAutospacing="0" w:after="0" w:afterAutospacing="0" w:line="240" w:lineRule="auto"/>
              <w:ind w:left="0" w:right="0" w:firstLine="0" w:firstLineChars="0"/>
              <w:jc w:val="center"/>
              <w:rPr>
                <w:rFonts w:hint="default"/>
                <w:b w:val="0"/>
                <w:color w:val="auto"/>
                <w:sz w:val="26"/>
                <w:szCs w:val="26"/>
                <w:highlight w:val="none"/>
              </w:rPr>
            </w:pPr>
            <w:r>
              <w:rPr>
                <w:rFonts w:hint="eastAsia"/>
                <w:b w:val="0"/>
                <w:color w:val="auto"/>
                <w:sz w:val="26"/>
                <w:szCs w:val="26"/>
                <w:highlight w:val="none"/>
              </w:rPr>
              <w:t>表</w:t>
            </w:r>
            <w:r>
              <w:rPr>
                <w:rFonts w:hint="default"/>
                <w:b w:val="0"/>
                <w:color w:val="auto"/>
                <w:sz w:val="26"/>
                <w:szCs w:val="26"/>
                <w:highlight w:val="none"/>
              </w:rPr>
              <w:t>1.</w:t>
            </w:r>
            <w:r>
              <w:rPr>
                <w:rFonts w:hint="eastAsia"/>
                <w:b w:val="0"/>
                <w:color w:val="auto"/>
                <w:sz w:val="26"/>
                <w:szCs w:val="26"/>
                <w:highlight w:val="none"/>
                <w:lang w:val="en-US" w:eastAsia="zh-CN"/>
              </w:rPr>
              <w:t>2</w:t>
            </w:r>
            <w:r>
              <w:rPr>
                <w:rFonts w:hint="default"/>
                <w:b w:val="0"/>
                <w:color w:val="auto"/>
                <w:sz w:val="26"/>
                <w:szCs w:val="26"/>
                <w:highlight w:val="none"/>
              </w:rPr>
              <w:t>-</w:t>
            </w:r>
            <w:r>
              <w:rPr>
                <w:rFonts w:hint="eastAsia"/>
                <w:b w:val="0"/>
                <w:color w:val="auto"/>
                <w:sz w:val="26"/>
                <w:szCs w:val="26"/>
                <w:highlight w:val="none"/>
                <w:lang w:val="en-US" w:eastAsia="zh-CN"/>
              </w:rPr>
              <w:t>1</w:t>
            </w:r>
            <w:r>
              <w:rPr>
                <w:rFonts w:hint="default"/>
                <w:b w:val="0"/>
                <w:color w:val="auto"/>
                <w:sz w:val="26"/>
                <w:szCs w:val="26"/>
                <w:highlight w:val="none"/>
              </w:rPr>
              <w:t xml:space="preserve">  </w:t>
            </w:r>
            <w:r>
              <w:rPr>
                <w:rFonts w:hint="eastAsia"/>
                <w:b w:val="0"/>
                <w:color w:val="auto"/>
                <w:sz w:val="26"/>
                <w:szCs w:val="26"/>
                <w:highlight w:val="none"/>
                <w:lang w:val="en-US" w:eastAsia="zh-CN"/>
              </w:rPr>
              <w:t xml:space="preserve"> </w:t>
            </w:r>
            <w:r>
              <w:rPr>
                <w:rFonts w:hint="eastAsia"/>
                <w:b w:val="0"/>
                <w:color w:val="auto"/>
                <w:sz w:val="26"/>
                <w:szCs w:val="26"/>
                <w:highlight w:val="none"/>
              </w:rPr>
              <w:t>綦江工业园区北渡铝产业园的生态环境准入清单</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573"/>
              <w:gridCol w:w="5626"/>
              <w:gridCol w:w="1510"/>
              <w:gridCol w:w="566"/>
            </w:tblGrid>
            <w:tr w14:paraId="45B3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12" w:type="dxa"/>
                  <w:gridSpan w:val="2"/>
                  <w:tcBorders>
                    <w:top w:val="single" w:color="auto" w:sz="4" w:space="0"/>
                    <w:left w:val="single" w:color="auto" w:sz="4" w:space="0"/>
                    <w:bottom w:val="single" w:color="auto" w:sz="4" w:space="0"/>
                    <w:right w:val="single" w:color="auto" w:sz="4" w:space="0"/>
                  </w:tcBorders>
                  <w:vAlign w:val="center"/>
                </w:tcPr>
                <w:p w14:paraId="3BCB50AA">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分类</w:t>
                  </w:r>
                </w:p>
              </w:tc>
              <w:tc>
                <w:tcPr>
                  <w:tcW w:w="5412" w:type="dxa"/>
                  <w:tcBorders>
                    <w:top w:val="single" w:color="auto" w:sz="4" w:space="0"/>
                    <w:left w:val="single" w:color="auto" w:sz="4" w:space="0"/>
                    <w:bottom w:val="single" w:color="auto" w:sz="4" w:space="0"/>
                    <w:right w:val="single" w:color="auto" w:sz="4" w:space="0"/>
                  </w:tcBorders>
                  <w:vAlign w:val="center"/>
                </w:tcPr>
                <w:p w14:paraId="133C0841">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环境准入要求</w:t>
                  </w:r>
                </w:p>
              </w:tc>
              <w:tc>
                <w:tcPr>
                  <w:tcW w:w="1453" w:type="dxa"/>
                  <w:tcBorders>
                    <w:top w:val="single" w:color="auto" w:sz="4" w:space="0"/>
                    <w:left w:val="single" w:color="auto" w:sz="4" w:space="0"/>
                    <w:bottom w:val="single" w:color="auto" w:sz="4" w:space="0"/>
                    <w:right w:val="single" w:color="auto" w:sz="4" w:space="0"/>
                  </w:tcBorders>
                  <w:vAlign w:val="center"/>
                </w:tcPr>
                <w:p w14:paraId="735E952D">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本项目情况</w:t>
                  </w:r>
                </w:p>
              </w:tc>
              <w:tc>
                <w:tcPr>
                  <w:tcW w:w="544" w:type="dxa"/>
                  <w:tcBorders>
                    <w:top w:val="single" w:color="auto" w:sz="4" w:space="0"/>
                    <w:left w:val="single" w:color="auto" w:sz="4" w:space="0"/>
                    <w:bottom w:val="single" w:color="auto" w:sz="4" w:space="0"/>
                    <w:right w:val="single" w:color="auto" w:sz="4" w:space="0"/>
                  </w:tcBorders>
                  <w:vAlign w:val="center"/>
                </w:tcPr>
                <w:p w14:paraId="2E45D80F">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符合性</w:t>
                  </w:r>
                </w:p>
              </w:tc>
            </w:tr>
            <w:tr w14:paraId="4C4F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right w:val="single" w:color="auto" w:sz="4" w:space="0"/>
                  </w:tcBorders>
                  <w:vAlign w:val="center"/>
                </w:tcPr>
                <w:p w14:paraId="079C5AEE">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r>
                    <w:rPr>
                      <w:rFonts w:hint="eastAsia"/>
                      <w:snapToGrid w:val="0"/>
                      <w:color w:val="auto"/>
                      <w:sz w:val="21"/>
                      <w:szCs w:val="21"/>
                      <w:highlight w:val="none"/>
                    </w:rPr>
                    <w:t>产业准入条件</w:t>
                  </w:r>
                </w:p>
              </w:tc>
              <w:tc>
                <w:tcPr>
                  <w:tcW w:w="551" w:type="dxa"/>
                  <w:vMerge w:val="restart"/>
                  <w:tcBorders>
                    <w:top w:val="single" w:color="auto" w:sz="4" w:space="0"/>
                    <w:left w:val="single" w:color="auto" w:sz="4" w:space="0"/>
                    <w:bottom w:val="single" w:color="auto" w:sz="4" w:space="0"/>
                    <w:right w:val="single" w:color="auto" w:sz="4" w:space="0"/>
                  </w:tcBorders>
                  <w:vAlign w:val="center"/>
                </w:tcPr>
                <w:p w14:paraId="12010C65">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铝行业</w:t>
                  </w:r>
                </w:p>
              </w:tc>
              <w:tc>
                <w:tcPr>
                  <w:tcW w:w="5412" w:type="dxa"/>
                  <w:tcBorders>
                    <w:top w:val="single" w:color="auto" w:sz="4" w:space="0"/>
                    <w:left w:val="single" w:color="auto" w:sz="4" w:space="0"/>
                    <w:bottom w:val="single" w:color="auto" w:sz="4" w:space="0"/>
                    <w:right w:val="single" w:color="auto" w:sz="4" w:space="0"/>
                  </w:tcBorders>
                  <w:vAlign w:val="center"/>
                </w:tcPr>
                <w:p w14:paraId="65C4DDE3">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禁止准入：</w:t>
                  </w:r>
                </w:p>
                <w:p w14:paraId="7A83D458">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①利用直接燃煤反射炉和4吨以下其他反射炉生产再生铝</w:t>
                  </w:r>
                </w:p>
                <w:p w14:paraId="1D096BA1">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②1万吨/年以下的再生铝项目</w:t>
                  </w:r>
                </w:p>
                <w:p w14:paraId="176155C5">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③利用坩埚炉熔炼再生铝合金的工艺及设备</w:t>
                  </w:r>
                </w:p>
                <w:p w14:paraId="6114FB14">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④4吨以下反射炉再生铝生产工艺及设备</w:t>
                  </w:r>
                </w:p>
                <w:p w14:paraId="64539A1D">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⑤铝自焙电解槽及160kA以下预焙槽</w:t>
                  </w:r>
                </w:p>
                <w:p w14:paraId="1E1AC79D">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⑥有色金属行业用一段式固定煤气发生炉</w:t>
                  </w:r>
                </w:p>
              </w:tc>
              <w:tc>
                <w:tcPr>
                  <w:tcW w:w="1453" w:type="dxa"/>
                  <w:vMerge w:val="restart"/>
                  <w:tcBorders>
                    <w:top w:val="single" w:color="auto" w:sz="4" w:space="0"/>
                    <w:left w:val="single" w:color="auto" w:sz="4" w:space="0"/>
                    <w:right w:val="single" w:color="auto" w:sz="4" w:space="0"/>
                  </w:tcBorders>
                  <w:vAlign w:val="center"/>
                </w:tcPr>
                <w:p w14:paraId="3E7F3195">
                  <w:pPr>
                    <w:pStyle w:val="62"/>
                    <w:keepNext w:val="0"/>
                    <w:keepLines w:val="0"/>
                    <w:suppressLineNumbers w:val="0"/>
                    <w:spacing w:before="0" w:beforeAutospacing="0" w:after="0" w:afterAutospacing="0"/>
                    <w:ind w:left="0" w:right="0"/>
                    <w:rPr>
                      <w:rFonts w:hint="default" w:eastAsia="宋体"/>
                      <w:snapToGrid w:val="0"/>
                      <w:color w:val="auto"/>
                      <w:sz w:val="21"/>
                      <w:szCs w:val="21"/>
                      <w:highlight w:val="none"/>
                      <w:lang w:val="en-US" w:eastAsia="zh-CN"/>
                    </w:rPr>
                  </w:pPr>
                  <w:r>
                    <w:rPr>
                      <w:rFonts w:hint="eastAsia"/>
                      <w:snapToGrid w:val="0"/>
                      <w:color w:val="auto"/>
                      <w:sz w:val="21"/>
                      <w:szCs w:val="21"/>
                      <w:highlight w:val="none"/>
                    </w:rPr>
                    <w:t>本项目不属于上述禁止、限制准入行业</w:t>
                  </w:r>
                  <w:r>
                    <w:rPr>
                      <w:rFonts w:hint="eastAsia"/>
                      <w:snapToGrid w:val="0"/>
                      <w:color w:val="auto"/>
                      <w:sz w:val="21"/>
                      <w:szCs w:val="21"/>
                      <w:highlight w:val="none"/>
                      <w:lang w:val="en-US" w:eastAsia="zh-CN"/>
                    </w:rPr>
                    <w:t>或设备</w:t>
                  </w:r>
                  <w:r>
                    <w:rPr>
                      <w:rFonts w:hint="eastAsia"/>
                      <w:color w:val="auto"/>
                      <w:lang w:eastAsia="zh-CN"/>
                    </w:rPr>
                    <w:t>，</w:t>
                  </w:r>
                  <w:r>
                    <w:rPr>
                      <w:rFonts w:hint="eastAsia"/>
                      <w:color w:val="auto"/>
                      <w:sz w:val="21"/>
                      <w:szCs w:val="21"/>
                      <w:highlight w:val="none"/>
                      <w:lang w:eastAsia="zh-CN"/>
                    </w:rPr>
                    <w:t>且属于列入《西部地区鼓励类产业目录（2025年本）》鼓励类产业项目。</w:t>
                  </w:r>
                </w:p>
              </w:tc>
              <w:tc>
                <w:tcPr>
                  <w:tcW w:w="544" w:type="dxa"/>
                  <w:vMerge w:val="restart"/>
                  <w:tcBorders>
                    <w:top w:val="single" w:color="auto" w:sz="4" w:space="0"/>
                    <w:left w:val="single" w:color="auto" w:sz="4" w:space="0"/>
                    <w:right w:val="single" w:color="auto" w:sz="4" w:space="0"/>
                  </w:tcBorders>
                  <w:vAlign w:val="center"/>
                </w:tcPr>
                <w:p w14:paraId="530C5EB2">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7059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14:paraId="704CCB54">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14:paraId="794F0791">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412" w:type="dxa"/>
                  <w:tcBorders>
                    <w:top w:val="single" w:color="auto" w:sz="4" w:space="0"/>
                    <w:left w:val="single" w:color="auto" w:sz="4" w:space="0"/>
                    <w:bottom w:val="single" w:color="auto" w:sz="4" w:space="0"/>
                    <w:right w:val="single" w:color="auto" w:sz="4" w:space="0"/>
                  </w:tcBorders>
                  <w:vAlign w:val="center"/>
                </w:tcPr>
                <w:p w14:paraId="64A33E4C">
                  <w:pPr>
                    <w:keepNext w:val="0"/>
                    <w:keepLines w:val="0"/>
                    <w:suppressLineNumbers w:val="0"/>
                    <w:tabs>
                      <w:tab w:val="left" w:pos="747"/>
                    </w:tabs>
                    <w:spacing w:before="0" w:beforeAutospacing="0" w:after="0" w:afterAutospacing="0"/>
                    <w:ind w:left="0" w:right="0"/>
                    <w:rPr>
                      <w:rFonts w:hint="default"/>
                      <w:color w:val="auto"/>
                      <w:sz w:val="21"/>
                      <w:szCs w:val="21"/>
                      <w:highlight w:val="none"/>
                    </w:rPr>
                  </w:pPr>
                  <w:r>
                    <w:rPr>
                      <w:rFonts w:hint="eastAsia"/>
                      <w:snapToGrid w:val="0"/>
                      <w:color w:val="auto"/>
                      <w:kern w:val="0"/>
                      <w:sz w:val="21"/>
                      <w:szCs w:val="21"/>
                      <w:highlight w:val="none"/>
                    </w:rPr>
                    <w:t>限制准入：10万吨/年以下的独立铝用炭素项目</w:t>
                  </w:r>
                </w:p>
              </w:tc>
              <w:tc>
                <w:tcPr>
                  <w:tcW w:w="1453" w:type="dxa"/>
                  <w:vMerge w:val="continue"/>
                  <w:tcBorders>
                    <w:left w:val="single" w:color="auto" w:sz="4" w:space="0"/>
                    <w:bottom w:val="single" w:color="auto" w:sz="4" w:space="0"/>
                    <w:right w:val="single" w:color="auto" w:sz="4" w:space="0"/>
                  </w:tcBorders>
                  <w:vAlign w:val="center"/>
                </w:tcPr>
                <w:p w14:paraId="03400372">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44" w:type="dxa"/>
                  <w:vMerge w:val="continue"/>
                  <w:tcBorders>
                    <w:left w:val="single" w:color="auto" w:sz="4" w:space="0"/>
                    <w:bottom w:val="single" w:color="auto" w:sz="4" w:space="0"/>
                    <w:right w:val="single" w:color="auto" w:sz="4" w:space="0"/>
                  </w:tcBorders>
                  <w:vAlign w:val="center"/>
                </w:tcPr>
                <w:p w14:paraId="63941BD3">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r>
            <w:tr w14:paraId="76E0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14:paraId="7C65FC5B">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51" w:type="dxa"/>
                  <w:vMerge w:val="restart"/>
                  <w:tcBorders>
                    <w:top w:val="single" w:color="auto" w:sz="4" w:space="0"/>
                    <w:left w:val="single" w:color="auto" w:sz="4" w:space="0"/>
                    <w:bottom w:val="single" w:color="auto" w:sz="4" w:space="0"/>
                    <w:right w:val="single" w:color="auto" w:sz="4" w:space="0"/>
                  </w:tcBorders>
                  <w:vAlign w:val="center"/>
                </w:tcPr>
                <w:p w14:paraId="1D9C5553">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建材</w:t>
                  </w:r>
                </w:p>
              </w:tc>
              <w:tc>
                <w:tcPr>
                  <w:tcW w:w="5412" w:type="dxa"/>
                  <w:tcBorders>
                    <w:top w:val="single" w:color="auto" w:sz="4" w:space="0"/>
                    <w:left w:val="single" w:color="auto" w:sz="4" w:space="0"/>
                    <w:bottom w:val="single" w:color="auto" w:sz="4" w:space="0"/>
                    <w:right w:val="single" w:color="auto" w:sz="4" w:space="0"/>
                  </w:tcBorders>
                  <w:vAlign w:val="center"/>
                </w:tcPr>
                <w:p w14:paraId="5492FD7E">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禁止准入：</w:t>
                  </w:r>
                </w:p>
                <w:p w14:paraId="499C9EDD">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①手工切割加气混凝土生产线、非蒸压养护加气混凝土生产线</w:t>
                  </w:r>
                </w:p>
                <w:p w14:paraId="5A566B9C">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②非烧结、非蒸压粉煤灰砖生产线</w:t>
                  </w:r>
                </w:p>
                <w:p w14:paraId="29C70EC8">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③年生产规模10万立方米以下的蒸压加气混凝土砌块生产线</w:t>
                  </w:r>
                </w:p>
              </w:tc>
              <w:tc>
                <w:tcPr>
                  <w:tcW w:w="1453" w:type="dxa"/>
                  <w:tcBorders>
                    <w:top w:val="single" w:color="auto" w:sz="4" w:space="0"/>
                    <w:left w:val="single" w:color="auto" w:sz="4" w:space="0"/>
                    <w:bottom w:val="single" w:color="auto" w:sz="4" w:space="0"/>
                    <w:right w:val="single" w:color="auto" w:sz="4" w:space="0"/>
                  </w:tcBorders>
                  <w:vAlign w:val="center"/>
                </w:tcPr>
                <w:p w14:paraId="1178CA6F">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r>
                    <w:rPr>
                      <w:rFonts w:hint="eastAsia"/>
                      <w:snapToGrid w:val="0"/>
                      <w:color w:val="auto"/>
                      <w:sz w:val="21"/>
                      <w:szCs w:val="21"/>
                      <w:highlight w:val="none"/>
                    </w:rPr>
                    <w:t>本项目不属于上述禁止准入行业</w:t>
                  </w:r>
                </w:p>
              </w:tc>
              <w:tc>
                <w:tcPr>
                  <w:tcW w:w="544" w:type="dxa"/>
                  <w:tcBorders>
                    <w:top w:val="single" w:color="auto" w:sz="4" w:space="0"/>
                    <w:left w:val="single" w:color="auto" w:sz="4" w:space="0"/>
                    <w:bottom w:val="single" w:color="auto" w:sz="4" w:space="0"/>
                    <w:right w:val="single" w:color="auto" w:sz="4" w:space="0"/>
                  </w:tcBorders>
                  <w:vAlign w:val="center"/>
                </w:tcPr>
                <w:p w14:paraId="08426175">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2C4D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14:paraId="4F1EA74B">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51" w:type="dxa"/>
                  <w:vMerge w:val="continue"/>
                  <w:tcBorders>
                    <w:top w:val="single" w:color="auto" w:sz="4" w:space="0"/>
                    <w:left w:val="single" w:color="auto" w:sz="4" w:space="0"/>
                    <w:bottom w:val="single" w:color="auto" w:sz="4" w:space="0"/>
                    <w:right w:val="single" w:color="auto" w:sz="4" w:space="0"/>
                  </w:tcBorders>
                  <w:vAlign w:val="center"/>
                </w:tcPr>
                <w:p w14:paraId="14F8BCDD">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412" w:type="dxa"/>
                  <w:tcBorders>
                    <w:top w:val="single" w:color="auto" w:sz="4" w:space="0"/>
                    <w:left w:val="single" w:color="auto" w:sz="4" w:space="0"/>
                    <w:bottom w:val="single" w:color="auto" w:sz="4" w:space="0"/>
                    <w:right w:val="single" w:color="auto" w:sz="4" w:space="0"/>
                  </w:tcBorders>
                  <w:vAlign w:val="center"/>
                </w:tcPr>
                <w:p w14:paraId="65BB1915">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限制准入：</w:t>
                  </w:r>
                </w:p>
                <w:p w14:paraId="360C6557">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①粘土空心砖生产线</w:t>
                  </w:r>
                </w:p>
                <w:p w14:paraId="5DF52702">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②15万平方米/年（不含）以下的石膏（空心）砌块生产线、单班5万立方米/年（不含）以下的混凝土小型空心砌块以及单班15万平方米/年（不含）以下的混凝土铺地砖固定式生产线、5万立方米/年（不含）以下的人造轻集料（陶粒）生产线</w:t>
                  </w:r>
                </w:p>
                <w:p w14:paraId="2BE85719">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③15万立方米/年（不含）以下的加气混凝土生产线</w:t>
                  </w:r>
                </w:p>
                <w:p w14:paraId="00F75D4C">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④6000万标砖/年（不含）以下的烧结砖及烧结空心砌块生产线</w:t>
                  </w:r>
                </w:p>
                <w:p w14:paraId="452BE4A2">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⑤100万米/年及以下预应力高强混凝土离心桩生产线</w:t>
                  </w:r>
                </w:p>
                <w:p w14:paraId="623957A3">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⑥预应力钢筒混凝土管（简称PCCP管）生产线：PCCP-L型：年设计生产能力≤50千米，PCCP-E型：年设计生产能力≤30千米</w:t>
                  </w:r>
                </w:p>
              </w:tc>
              <w:tc>
                <w:tcPr>
                  <w:tcW w:w="1453" w:type="dxa"/>
                  <w:tcBorders>
                    <w:top w:val="single" w:color="auto" w:sz="4" w:space="0"/>
                    <w:left w:val="single" w:color="auto" w:sz="4" w:space="0"/>
                    <w:bottom w:val="single" w:color="auto" w:sz="4" w:space="0"/>
                    <w:right w:val="single" w:color="auto" w:sz="4" w:space="0"/>
                  </w:tcBorders>
                  <w:vAlign w:val="center"/>
                </w:tcPr>
                <w:p w14:paraId="5FEB06DE">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r>
                    <w:rPr>
                      <w:rFonts w:hint="eastAsia"/>
                      <w:snapToGrid w:val="0"/>
                      <w:color w:val="auto"/>
                      <w:sz w:val="21"/>
                      <w:szCs w:val="21"/>
                      <w:highlight w:val="none"/>
                    </w:rPr>
                    <w:t>本项目不属于上述限制准入行业</w:t>
                  </w:r>
                </w:p>
              </w:tc>
              <w:tc>
                <w:tcPr>
                  <w:tcW w:w="544" w:type="dxa"/>
                  <w:tcBorders>
                    <w:top w:val="single" w:color="auto" w:sz="4" w:space="0"/>
                    <w:left w:val="single" w:color="auto" w:sz="4" w:space="0"/>
                    <w:bottom w:val="single" w:color="auto" w:sz="4" w:space="0"/>
                    <w:right w:val="single" w:color="auto" w:sz="4" w:space="0"/>
                  </w:tcBorders>
                  <w:vAlign w:val="center"/>
                </w:tcPr>
                <w:p w14:paraId="2C360064">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2C8E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14:paraId="2A9CD1D0">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51" w:type="dxa"/>
                  <w:vMerge w:val="restart"/>
                  <w:tcBorders>
                    <w:top w:val="single" w:color="auto" w:sz="4" w:space="0"/>
                    <w:left w:val="single" w:color="auto" w:sz="4" w:space="0"/>
                    <w:right w:val="single" w:color="auto" w:sz="4" w:space="0"/>
                  </w:tcBorders>
                  <w:vAlign w:val="center"/>
                </w:tcPr>
                <w:p w14:paraId="52C23F11">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其他</w:t>
                  </w:r>
                </w:p>
              </w:tc>
              <w:tc>
                <w:tcPr>
                  <w:tcW w:w="5412" w:type="dxa"/>
                  <w:tcBorders>
                    <w:top w:val="single" w:color="auto" w:sz="4" w:space="0"/>
                    <w:left w:val="single" w:color="auto" w:sz="4" w:space="0"/>
                    <w:bottom w:val="single" w:color="auto" w:sz="4" w:space="0"/>
                    <w:right w:val="single" w:color="auto" w:sz="4" w:space="0"/>
                  </w:tcBorders>
                  <w:vAlign w:val="center"/>
                </w:tcPr>
                <w:p w14:paraId="43189F10">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禁止新建食品项目</w:t>
                  </w:r>
                </w:p>
              </w:tc>
              <w:tc>
                <w:tcPr>
                  <w:tcW w:w="1453" w:type="dxa"/>
                  <w:tcBorders>
                    <w:top w:val="single" w:color="auto" w:sz="4" w:space="0"/>
                    <w:left w:val="single" w:color="auto" w:sz="4" w:space="0"/>
                    <w:bottom w:val="single" w:color="auto" w:sz="4" w:space="0"/>
                    <w:right w:val="single" w:color="auto" w:sz="4" w:space="0"/>
                  </w:tcBorders>
                  <w:vAlign w:val="center"/>
                </w:tcPr>
                <w:p w14:paraId="62903553">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本项目不属于食品项目。</w:t>
                  </w:r>
                </w:p>
              </w:tc>
              <w:tc>
                <w:tcPr>
                  <w:tcW w:w="544" w:type="dxa"/>
                  <w:tcBorders>
                    <w:top w:val="single" w:color="auto" w:sz="4" w:space="0"/>
                    <w:left w:val="single" w:color="auto" w:sz="4" w:space="0"/>
                    <w:bottom w:val="single" w:color="auto" w:sz="4" w:space="0"/>
                    <w:right w:val="single" w:color="auto" w:sz="4" w:space="0"/>
                  </w:tcBorders>
                  <w:vAlign w:val="center"/>
                </w:tcPr>
                <w:p w14:paraId="1909CA48">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5391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14:paraId="5552BA8C">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51" w:type="dxa"/>
                  <w:vMerge w:val="continue"/>
                  <w:tcBorders>
                    <w:left w:val="single" w:color="auto" w:sz="4" w:space="0"/>
                    <w:right w:val="single" w:color="auto" w:sz="4" w:space="0"/>
                  </w:tcBorders>
                  <w:vAlign w:val="center"/>
                </w:tcPr>
                <w:p w14:paraId="7F761ACC">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412" w:type="dxa"/>
                  <w:tcBorders>
                    <w:top w:val="single" w:color="auto" w:sz="4" w:space="0"/>
                    <w:left w:val="single" w:color="auto" w:sz="4" w:space="0"/>
                    <w:bottom w:val="single" w:color="auto" w:sz="4" w:space="0"/>
                    <w:right w:val="single" w:color="auto" w:sz="4" w:space="0"/>
                  </w:tcBorders>
                  <w:vAlign w:val="center"/>
                </w:tcPr>
                <w:p w14:paraId="1504DD32">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禁止新建钢铁、水泥、平板玻璃等大气污染严重的项目</w:t>
                  </w:r>
                </w:p>
              </w:tc>
              <w:tc>
                <w:tcPr>
                  <w:tcW w:w="1453" w:type="dxa"/>
                  <w:tcBorders>
                    <w:top w:val="single" w:color="auto" w:sz="4" w:space="0"/>
                    <w:left w:val="single" w:color="auto" w:sz="4" w:space="0"/>
                    <w:bottom w:val="single" w:color="auto" w:sz="4" w:space="0"/>
                    <w:right w:val="single" w:color="auto" w:sz="4" w:space="0"/>
                  </w:tcBorders>
                  <w:vAlign w:val="center"/>
                </w:tcPr>
                <w:p w14:paraId="1EB6350A">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本项目不属于上述行业。</w:t>
                  </w:r>
                </w:p>
              </w:tc>
              <w:tc>
                <w:tcPr>
                  <w:tcW w:w="544" w:type="dxa"/>
                  <w:tcBorders>
                    <w:top w:val="single" w:color="auto" w:sz="4" w:space="0"/>
                    <w:left w:val="single" w:color="auto" w:sz="4" w:space="0"/>
                    <w:bottom w:val="single" w:color="auto" w:sz="4" w:space="0"/>
                    <w:right w:val="single" w:color="auto" w:sz="4" w:space="0"/>
                  </w:tcBorders>
                  <w:vAlign w:val="center"/>
                </w:tcPr>
                <w:p w14:paraId="7B6A7C70">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4458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bottom w:val="single" w:color="auto" w:sz="4" w:space="0"/>
                    <w:right w:val="single" w:color="auto" w:sz="4" w:space="0"/>
                  </w:tcBorders>
                  <w:vAlign w:val="center"/>
                </w:tcPr>
                <w:p w14:paraId="6A8857A5">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51" w:type="dxa"/>
                  <w:vMerge w:val="continue"/>
                  <w:tcBorders>
                    <w:left w:val="single" w:color="auto" w:sz="4" w:space="0"/>
                    <w:bottom w:val="single" w:color="auto" w:sz="4" w:space="0"/>
                    <w:right w:val="single" w:color="auto" w:sz="4" w:space="0"/>
                  </w:tcBorders>
                  <w:vAlign w:val="center"/>
                </w:tcPr>
                <w:p w14:paraId="75E1DED3">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412" w:type="dxa"/>
                  <w:tcBorders>
                    <w:top w:val="single" w:color="auto" w:sz="4" w:space="0"/>
                    <w:left w:val="single" w:color="auto" w:sz="4" w:space="0"/>
                    <w:bottom w:val="single" w:color="auto" w:sz="4" w:space="0"/>
                    <w:right w:val="single" w:color="auto" w:sz="4" w:space="0"/>
                  </w:tcBorders>
                  <w:vAlign w:val="center"/>
                </w:tcPr>
                <w:p w14:paraId="56F57399">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临近重庆綦江国家地质公园古剑山园区的工业用地地块（B08-04/02、B09-03/03）后续入驻项目应与地质公园保护相协调</w:t>
                  </w:r>
                </w:p>
              </w:tc>
              <w:tc>
                <w:tcPr>
                  <w:tcW w:w="1453" w:type="dxa"/>
                  <w:tcBorders>
                    <w:top w:val="single" w:color="auto" w:sz="4" w:space="0"/>
                    <w:left w:val="single" w:color="auto" w:sz="4" w:space="0"/>
                    <w:bottom w:val="single" w:color="auto" w:sz="4" w:space="0"/>
                    <w:right w:val="single" w:color="auto" w:sz="4" w:space="0"/>
                  </w:tcBorders>
                  <w:vAlign w:val="center"/>
                </w:tcPr>
                <w:p w14:paraId="5B7F0B63">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本项目位于A04-03/02部分地块</w:t>
                  </w:r>
                  <w:r>
                    <w:rPr>
                      <w:rFonts w:hint="eastAsia"/>
                      <w:snapToGrid w:val="0"/>
                      <w:color w:val="auto"/>
                      <w:sz w:val="21"/>
                      <w:szCs w:val="21"/>
                      <w:highlight w:val="none"/>
                      <w:lang w:eastAsia="zh-CN"/>
                    </w:rPr>
                    <w:t>，</w:t>
                  </w:r>
                  <w:r>
                    <w:rPr>
                      <w:rFonts w:hint="eastAsia"/>
                      <w:snapToGrid w:val="0"/>
                      <w:color w:val="auto"/>
                      <w:sz w:val="21"/>
                      <w:szCs w:val="21"/>
                      <w:highlight w:val="none"/>
                      <w:lang w:val="en-US" w:eastAsia="zh-CN"/>
                    </w:rPr>
                    <w:t>不涉及上述地块</w:t>
                  </w:r>
                  <w:r>
                    <w:rPr>
                      <w:rFonts w:hint="eastAsia"/>
                      <w:snapToGrid w:val="0"/>
                      <w:color w:val="auto"/>
                      <w:sz w:val="21"/>
                      <w:szCs w:val="21"/>
                      <w:highlight w:val="none"/>
                    </w:rPr>
                    <w:t>。</w:t>
                  </w:r>
                </w:p>
              </w:tc>
              <w:tc>
                <w:tcPr>
                  <w:tcW w:w="544" w:type="dxa"/>
                  <w:tcBorders>
                    <w:top w:val="single" w:color="auto" w:sz="4" w:space="0"/>
                    <w:left w:val="single" w:color="auto" w:sz="4" w:space="0"/>
                    <w:bottom w:val="single" w:color="auto" w:sz="4" w:space="0"/>
                    <w:right w:val="single" w:color="auto" w:sz="4" w:space="0"/>
                  </w:tcBorders>
                  <w:vAlign w:val="center"/>
                </w:tcPr>
                <w:p w14:paraId="1EDD1758">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31EA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461393F0">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r>
                    <w:rPr>
                      <w:rFonts w:hint="eastAsia"/>
                      <w:snapToGrid w:val="0"/>
                      <w:color w:val="auto"/>
                      <w:sz w:val="21"/>
                      <w:szCs w:val="21"/>
                      <w:highlight w:val="none"/>
                    </w:rPr>
                    <w:t>污染物排放管控</w:t>
                  </w:r>
                </w:p>
              </w:tc>
              <w:tc>
                <w:tcPr>
                  <w:tcW w:w="5963" w:type="dxa"/>
                  <w:gridSpan w:val="2"/>
                  <w:tcBorders>
                    <w:top w:val="single" w:color="auto" w:sz="4" w:space="0"/>
                    <w:left w:val="single" w:color="auto" w:sz="4" w:space="0"/>
                    <w:bottom w:val="single" w:color="auto" w:sz="4" w:space="0"/>
                    <w:right w:val="single" w:color="auto" w:sz="4" w:space="0"/>
                  </w:tcBorders>
                  <w:vAlign w:val="center"/>
                </w:tcPr>
                <w:p w14:paraId="1C8D3FA1">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禁止新建、扩建废水排放重金属（铬、镉、汞、砷、铅等五类重金属）、剧毒物质和持久性有机污染物的工业项目</w:t>
                  </w:r>
                </w:p>
              </w:tc>
              <w:tc>
                <w:tcPr>
                  <w:tcW w:w="1453" w:type="dxa"/>
                  <w:tcBorders>
                    <w:top w:val="single" w:color="auto" w:sz="4" w:space="0"/>
                    <w:left w:val="single" w:color="auto" w:sz="4" w:space="0"/>
                    <w:bottom w:val="single" w:color="auto" w:sz="4" w:space="0"/>
                    <w:right w:val="single" w:color="auto" w:sz="4" w:space="0"/>
                  </w:tcBorders>
                  <w:vAlign w:val="center"/>
                </w:tcPr>
                <w:p w14:paraId="1844E5F1">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本项目不涉及重金属、剧毒物质、持久性有机污染物的废水排放。</w:t>
                  </w:r>
                </w:p>
              </w:tc>
              <w:tc>
                <w:tcPr>
                  <w:tcW w:w="544" w:type="dxa"/>
                  <w:tcBorders>
                    <w:top w:val="single" w:color="auto" w:sz="4" w:space="0"/>
                    <w:left w:val="single" w:color="auto" w:sz="4" w:space="0"/>
                    <w:bottom w:val="single" w:color="auto" w:sz="4" w:space="0"/>
                    <w:right w:val="single" w:color="auto" w:sz="4" w:space="0"/>
                  </w:tcBorders>
                  <w:vAlign w:val="center"/>
                </w:tcPr>
                <w:p w14:paraId="2537A6E6">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6268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004F5A3">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default"/>
                      <w:color w:val="auto"/>
                      <w:sz w:val="21"/>
                      <w:szCs w:val="21"/>
                      <w:highlight w:val="none"/>
                    </w:rPr>
                    <w:t>环境风险防控</w:t>
                  </w:r>
                </w:p>
              </w:tc>
              <w:tc>
                <w:tcPr>
                  <w:tcW w:w="5963" w:type="dxa"/>
                  <w:gridSpan w:val="2"/>
                  <w:tcBorders>
                    <w:top w:val="single" w:color="auto" w:sz="4" w:space="0"/>
                    <w:left w:val="single" w:color="auto" w:sz="4" w:space="0"/>
                    <w:bottom w:val="single" w:color="auto" w:sz="4" w:space="0"/>
                    <w:right w:val="single" w:color="auto" w:sz="4" w:space="0"/>
                  </w:tcBorders>
                  <w:vAlign w:val="center"/>
                </w:tcPr>
                <w:p w14:paraId="49853EA6">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color w:val="auto"/>
                      <w:sz w:val="21"/>
                      <w:szCs w:val="21"/>
                      <w:highlight w:val="none"/>
                    </w:rPr>
                    <w:t>若大板锭渣场后续不再继续使用，用途变更为商服用地、特殊用地、交通运输用地、水工建筑用地、空闲地之前，企业应当依法开展土壤污染状况调查并编制土壤污染状况调查报告，根据调查结果开展后续相关土壤污染防治工作</w:t>
                  </w:r>
                </w:p>
              </w:tc>
              <w:tc>
                <w:tcPr>
                  <w:tcW w:w="1453" w:type="dxa"/>
                  <w:tcBorders>
                    <w:top w:val="single" w:color="auto" w:sz="4" w:space="0"/>
                    <w:left w:val="single" w:color="auto" w:sz="4" w:space="0"/>
                    <w:bottom w:val="single" w:color="auto" w:sz="4" w:space="0"/>
                    <w:right w:val="single" w:color="auto" w:sz="4" w:space="0"/>
                  </w:tcBorders>
                  <w:vAlign w:val="center"/>
                </w:tcPr>
                <w:p w14:paraId="1B034795">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r>
                    <w:rPr>
                      <w:rFonts w:hint="eastAsia"/>
                      <w:snapToGrid w:val="0"/>
                      <w:color w:val="auto"/>
                      <w:sz w:val="21"/>
                      <w:szCs w:val="21"/>
                      <w:highlight w:val="none"/>
                    </w:rPr>
                    <w:t>本项目不涉及。</w:t>
                  </w:r>
                </w:p>
              </w:tc>
              <w:tc>
                <w:tcPr>
                  <w:tcW w:w="544" w:type="dxa"/>
                  <w:tcBorders>
                    <w:top w:val="single" w:color="auto" w:sz="4" w:space="0"/>
                    <w:left w:val="single" w:color="auto" w:sz="4" w:space="0"/>
                    <w:bottom w:val="single" w:color="auto" w:sz="4" w:space="0"/>
                    <w:right w:val="single" w:color="auto" w:sz="4" w:space="0"/>
                  </w:tcBorders>
                  <w:vAlign w:val="center"/>
                </w:tcPr>
                <w:p w14:paraId="6152E5F4">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r>
                    <w:rPr>
                      <w:rFonts w:hint="eastAsia"/>
                      <w:snapToGrid w:val="0"/>
                      <w:color w:val="auto"/>
                      <w:sz w:val="21"/>
                      <w:szCs w:val="21"/>
                      <w:highlight w:val="none"/>
                    </w:rPr>
                    <w:t>符合</w:t>
                  </w:r>
                </w:p>
              </w:tc>
            </w:tr>
            <w:tr w14:paraId="5A56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right w:val="single" w:color="auto" w:sz="4" w:space="0"/>
                  </w:tcBorders>
                  <w:vAlign w:val="center"/>
                </w:tcPr>
                <w:p w14:paraId="4EC14B6B">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资源开发利用</w:t>
                  </w:r>
                </w:p>
              </w:tc>
              <w:tc>
                <w:tcPr>
                  <w:tcW w:w="5963" w:type="dxa"/>
                  <w:gridSpan w:val="2"/>
                  <w:tcBorders>
                    <w:top w:val="single" w:color="auto" w:sz="4" w:space="0"/>
                    <w:left w:val="single" w:color="auto" w:sz="4" w:space="0"/>
                    <w:bottom w:val="single" w:color="auto" w:sz="4" w:space="0"/>
                    <w:right w:val="single" w:color="auto" w:sz="4" w:space="0"/>
                  </w:tcBorders>
                  <w:vAlign w:val="center"/>
                </w:tcPr>
                <w:p w14:paraId="33C27E41">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禁止新建10蒸吨/小时及以下的燃煤锅炉</w:t>
                  </w:r>
                </w:p>
              </w:tc>
              <w:tc>
                <w:tcPr>
                  <w:tcW w:w="1453" w:type="dxa"/>
                  <w:tcBorders>
                    <w:top w:val="single" w:color="auto" w:sz="4" w:space="0"/>
                    <w:left w:val="single" w:color="auto" w:sz="4" w:space="0"/>
                    <w:bottom w:val="single" w:color="auto" w:sz="4" w:space="0"/>
                    <w:right w:val="single" w:color="auto" w:sz="4" w:space="0"/>
                  </w:tcBorders>
                  <w:vAlign w:val="center"/>
                </w:tcPr>
                <w:p w14:paraId="49B31017">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本项目不涉及新建燃煤锅炉。</w:t>
                  </w:r>
                </w:p>
              </w:tc>
              <w:tc>
                <w:tcPr>
                  <w:tcW w:w="544" w:type="dxa"/>
                  <w:tcBorders>
                    <w:top w:val="single" w:color="auto" w:sz="4" w:space="0"/>
                    <w:left w:val="single" w:color="auto" w:sz="4" w:space="0"/>
                    <w:bottom w:val="single" w:color="auto" w:sz="4" w:space="0"/>
                    <w:right w:val="single" w:color="auto" w:sz="4" w:space="0"/>
                  </w:tcBorders>
                  <w:vAlign w:val="center"/>
                </w:tcPr>
                <w:p w14:paraId="3C5D84EA">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r w14:paraId="0477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1" w:type="dxa"/>
                  <w:vMerge w:val="continue"/>
                  <w:tcBorders>
                    <w:left w:val="single" w:color="auto" w:sz="4" w:space="0"/>
                    <w:bottom w:val="single" w:color="auto" w:sz="4" w:space="0"/>
                    <w:right w:val="single" w:color="auto" w:sz="4" w:space="0"/>
                  </w:tcBorders>
                  <w:vAlign w:val="center"/>
                </w:tcPr>
                <w:p w14:paraId="419DB661">
                  <w:pPr>
                    <w:pStyle w:val="62"/>
                    <w:keepNext w:val="0"/>
                    <w:keepLines w:val="0"/>
                    <w:suppressLineNumbers w:val="0"/>
                    <w:spacing w:before="0" w:beforeAutospacing="0" w:after="0" w:afterAutospacing="0"/>
                    <w:ind w:left="0" w:right="0"/>
                    <w:rPr>
                      <w:rFonts w:hint="default"/>
                      <w:snapToGrid w:val="0"/>
                      <w:color w:val="auto"/>
                      <w:sz w:val="21"/>
                      <w:szCs w:val="21"/>
                      <w:highlight w:val="none"/>
                    </w:rPr>
                  </w:pPr>
                </w:p>
              </w:tc>
              <w:tc>
                <w:tcPr>
                  <w:tcW w:w="5963" w:type="dxa"/>
                  <w:gridSpan w:val="2"/>
                  <w:tcBorders>
                    <w:top w:val="single" w:color="auto" w:sz="4" w:space="0"/>
                    <w:left w:val="single" w:color="auto" w:sz="4" w:space="0"/>
                    <w:bottom w:val="single" w:color="auto" w:sz="4" w:space="0"/>
                    <w:right w:val="single" w:color="auto" w:sz="4" w:space="0"/>
                  </w:tcBorders>
                  <w:vAlign w:val="center"/>
                </w:tcPr>
                <w:p w14:paraId="33FCC93D">
                  <w:pPr>
                    <w:pStyle w:val="62"/>
                    <w:keepNext w:val="0"/>
                    <w:keepLines w:val="0"/>
                    <w:suppressLineNumbers w:val="0"/>
                    <w:spacing w:before="0" w:beforeAutospacing="0" w:after="0" w:afterAutospacing="0"/>
                    <w:ind w:left="0" w:right="0"/>
                    <w:jc w:val="both"/>
                    <w:rPr>
                      <w:rFonts w:hint="default"/>
                      <w:snapToGrid w:val="0"/>
                      <w:color w:val="auto"/>
                      <w:sz w:val="21"/>
                      <w:szCs w:val="21"/>
                      <w:highlight w:val="none"/>
                    </w:rPr>
                  </w:pPr>
                  <w:r>
                    <w:rPr>
                      <w:rFonts w:hint="eastAsia"/>
                      <w:snapToGrid w:val="0"/>
                      <w:color w:val="auto"/>
                      <w:sz w:val="21"/>
                      <w:szCs w:val="21"/>
                      <w:highlight w:val="none"/>
                    </w:rPr>
                    <w:t>清洁生产水平不得低于国内先进水平标准</w:t>
                  </w:r>
                </w:p>
              </w:tc>
              <w:tc>
                <w:tcPr>
                  <w:tcW w:w="1453" w:type="dxa"/>
                  <w:tcBorders>
                    <w:top w:val="single" w:color="auto" w:sz="4" w:space="0"/>
                    <w:left w:val="single" w:color="auto" w:sz="4" w:space="0"/>
                    <w:bottom w:val="single" w:color="auto" w:sz="4" w:space="0"/>
                    <w:right w:val="single" w:color="auto" w:sz="4" w:space="0"/>
                  </w:tcBorders>
                  <w:vAlign w:val="center"/>
                </w:tcPr>
                <w:p w14:paraId="582587B7">
                  <w:pPr>
                    <w:pStyle w:val="62"/>
                    <w:keepNext w:val="0"/>
                    <w:keepLines w:val="0"/>
                    <w:suppressLineNumbers w:val="0"/>
                    <w:spacing w:before="0" w:beforeAutospacing="0" w:after="0" w:afterAutospacing="0"/>
                    <w:ind w:left="0" w:right="0"/>
                    <w:jc w:val="both"/>
                    <w:rPr>
                      <w:rFonts w:hint="default" w:eastAsia="宋体"/>
                      <w:snapToGrid w:val="0"/>
                      <w:color w:val="auto"/>
                      <w:sz w:val="21"/>
                      <w:szCs w:val="21"/>
                      <w:highlight w:val="none"/>
                      <w:lang w:val="en-US" w:eastAsia="zh-CN"/>
                    </w:rPr>
                  </w:pPr>
                  <w:r>
                    <w:rPr>
                      <w:rFonts w:hint="eastAsia"/>
                      <w:snapToGrid w:val="0"/>
                      <w:color w:val="auto"/>
                      <w:sz w:val="21"/>
                      <w:szCs w:val="21"/>
                      <w:highlight w:val="none"/>
                      <w:lang w:val="en-US" w:eastAsia="zh-CN"/>
                    </w:rPr>
                    <w:t>本项目清洁生产水平满足要求。</w:t>
                  </w:r>
                </w:p>
              </w:tc>
              <w:tc>
                <w:tcPr>
                  <w:tcW w:w="544" w:type="dxa"/>
                  <w:tcBorders>
                    <w:top w:val="single" w:color="auto" w:sz="4" w:space="0"/>
                    <w:left w:val="single" w:color="auto" w:sz="4" w:space="0"/>
                    <w:bottom w:val="single" w:color="auto" w:sz="4" w:space="0"/>
                    <w:right w:val="single" w:color="auto" w:sz="4" w:space="0"/>
                  </w:tcBorders>
                  <w:vAlign w:val="center"/>
                </w:tcPr>
                <w:p w14:paraId="34ABB0FC">
                  <w:pPr>
                    <w:pStyle w:val="62"/>
                    <w:keepNext w:val="0"/>
                    <w:keepLines w:val="0"/>
                    <w:suppressLineNumbers w:val="0"/>
                    <w:spacing w:before="0" w:beforeAutospacing="0" w:after="0" w:afterAutospacing="0"/>
                    <w:ind w:left="0" w:right="0"/>
                    <w:jc w:val="center"/>
                    <w:rPr>
                      <w:rFonts w:hint="default"/>
                      <w:snapToGrid w:val="0"/>
                      <w:color w:val="auto"/>
                      <w:sz w:val="21"/>
                      <w:szCs w:val="21"/>
                      <w:highlight w:val="none"/>
                    </w:rPr>
                  </w:pPr>
                  <w:r>
                    <w:rPr>
                      <w:rFonts w:hint="eastAsia"/>
                      <w:snapToGrid w:val="0"/>
                      <w:color w:val="auto"/>
                      <w:sz w:val="21"/>
                      <w:szCs w:val="21"/>
                      <w:highlight w:val="none"/>
                    </w:rPr>
                    <w:t>符合</w:t>
                  </w:r>
                </w:p>
              </w:tc>
            </w:tr>
          </w:tbl>
          <w:p w14:paraId="164F1FC0">
            <w:pPr>
              <w:pStyle w:val="65"/>
              <w:keepNext w:val="0"/>
              <w:keepLines w:val="0"/>
              <w:suppressLineNumbers w:val="0"/>
              <w:spacing w:before="0" w:beforeAutospacing="0" w:after="0" w:afterAutospacing="0"/>
              <w:ind w:left="0" w:right="0"/>
              <w:rPr>
                <w:rFonts w:hint="default"/>
                <w:color w:val="auto"/>
                <w:highlight w:val="none"/>
              </w:rPr>
            </w:pPr>
          </w:p>
          <w:p w14:paraId="063C6EC1">
            <w:pPr>
              <w:keepNext w:val="0"/>
              <w:keepLines w:val="0"/>
              <w:suppressLineNumbers w:val="0"/>
              <w:spacing w:before="0" w:beforeAutospacing="0" w:after="0" w:afterAutospacing="0" w:line="400" w:lineRule="exact"/>
              <w:ind w:left="0" w:right="0" w:firstLine="522" w:firstLineChars="200"/>
              <w:rPr>
                <w:rFonts w:hint="eastAsia"/>
                <w:b/>
                <w:color w:val="auto"/>
                <w:sz w:val="26"/>
                <w:szCs w:val="26"/>
                <w:highlight w:val="none"/>
              </w:rPr>
            </w:pPr>
            <w:r>
              <w:rPr>
                <w:rFonts w:hint="default"/>
                <w:b/>
                <w:color w:val="auto"/>
                <w:sz w:val="26"/>
                <w:szCs w:val="26"/>
                <w:highlight w:val="none"/>
              </w:rPr>
              <w:t xml:space="preserve">1.2.2 </w:t>
            </w:r>
            <w:r>
              <w:rPr>
                <w:rFonts w:hint="eastAsia"/>
                <w:b/>
                <w:color w:val="auto"/>
                <w:sz w:val="26"/>
                <w:szCs w:val="26"/>
                <w:highlight w:val="none"/>
              </w:rPr>
              <w:t>与规划环评审查意见函符合性分析</w:t>
            </w:r>
          </w:p>
          <w:p w14:paraId="223764DD">
            <w:pPr>
              <w:keepNext w:val="0"/>
              <w:keepLines w:val="0"/>
              <w:suppressLineNumbers w:val="0"/>
              <w:spacing w:before="0" w:beforeAutospacing="0" w:after="0" w:afterAutospacing="0" w:line="400" w:lineRule="exact"/>
              <w:ind w:left="0" w:right="0" w:firstLine="520" w:firstLineChars="200"/>
              <w:rPr>
                <w:rFonts w:hint="default"/>
                <w:b w:val="0"/>
                <w:bCs/>
                <w:color w:val="auto"/>
                <w:sz w:val="26"/>
                <w:szCs w:val="26"/>
                <w:highlight w:val="none"/>
              </w:rPr>
            </w:pPr>
            <w:r>
              <w:rPr>
                <w:rFonts w:hint="default"/>
                <w:b w:val="0"/>
                <w:bCs/>
                <w:color w:val="auto"/>
                <w:sz w:val="26"/>
                <w:szCs w:val="26"/>
                <w:highlight w:val="none"/>
              </w:rPr>
              <w:t>根据《重庆市生态环境局关于綦江工业园区北渡铝产业园控制性详细规划环境影响报告书审查意见的函》（渝环函</w:t>
            </w:r>
            <w:r>
              <w:rPr>
                <w:rFonts w:hint="eastAsia"/>
                <w:b w:val="0"/>
                <w:bCs/>
                <w:color w:val="auto"/>
                <w:sz w:val="26"/>
                <w:szCs w:val="26"/>
                <w:highlight w:val="none"/>
                <w:lang w:eastAsia="zh-CN"/>
              </w:rPr>
              <w:t>〔2022〕379号</w:t>
            </w:r>
            <w:r>
              <w:rPr>
                <w:rFonts w:hint="default"/>
                <w:b w:val="0"/>
                <w:bCs/>
                <w:color w:val="auto"/>
                <w:sz w:val="26"/>
                <w:szCs w:val="26"/>
                <w:highlight w:val="none"/>
              </w:rPr>
              <w:t>），项目与园区入园条件符合性分析见下表。</w:t>
            </w:r>
          </w:p>
          <w:p w14:paraId="2645E3AD">
            <w:pPr>
              <w:pStyle w:val="65"/>
              <w:keepNext w:val="0"/>
              <w:keepLines w:val="0"/>
              <w:suppressLineNumbers w:val="0"/>
              <w:spacing w:before="0" w:beforeAutospacing="0" w:after="0" w:afterAutospacing="0"/>
              <w:ind w:left="0" w:right="0"/>
              <w:rPr>
                <w:rFonts w:hint="default"/>
                <w:color w:val="auto"/>
                <w:highlight w:val="none"/>
              </w:rPr>
            </w:pPr>
          </w:p>
          <w:p w14:paraId="78295BB9">
            <w:pPr>
              <w:keepNext w:val="0"/>
              <w:keepLines w:val="0"/>
              <w:suppressLineNumbers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rPr>
              <w:t>表</w:t>
            </w:r>
            <w:r>
              <w:rPr>
                <w:rFonts w:hint="default"/>
                <w:color w:val="auto"/>
                <w:sz w:val="26"/>
                <w:szCs w:val="26"/>
                <w:highlight w:val="none"/>
              </w:rPr>
              <w:t>1.</w:t>
            </w:r>
            <w:r>
              <w:rPr>
                <w:rFonts w:hint="eastAsia"/>
                <w:color w:val="auto"/>
                <w:sz w:val="26"/>
                <w:szCs w:val="26"/>
                <w:highlight w:val="none"/>
                <w:lang w:val="en-US" w:eastAsia="zh-CN"/>
              </w:rPr>
              <w:t>1</w:t>
            </w:r>
            <w:r>
              <w:rPr>
                <w:rFonts w:hint="default"/>
                <w:color w:val="auto"/>
                <w:sz w:val="26"/>
                <w:szCs w:val="26"/>
                <w:highlight w:val="none"/>
              </w:rPr>
              <w:t>-</w:t>
            </w:r>
            <w:r>
              <w:rPr>
                <w:rFonts w:hint="eastAsia"/>
                <w:color w:val="auto"/>
                <w:sz w:val="26"/>
                <w:szCs w:val="26"/>
                <w:highlight w:val="none"/>
                <w:lang w:val="en-US" w:eastAsia="zh-CN"/>
              </w:rPr>
              <w:t>2</w:t>
            </w:r>
            <w:r>
              <w:rPr>
                <w:rFonts w:hint="default"/>
                <w:color w:val="auto"/>
                <w:sz w:val="26"/>
                <w:szCs w:val="26"/>
                <w:highlight w:val="none"/>
              </w:rPr>
              <w:t xml:space="preserve">  </w:t>
            </w:r>
            <w:r>
              <w:rPr>
                <w:rFonts w:hint="eastAsia"/>
                <w:color w:val="auto"/>
                <w:sz w:val="26"/>
                <w:szCs w:val="26"/>
                <w:highlight w:val="none"/>
              </w:rPr>
              <w:t>本项目与园区规划环评审查意见函的符合性分析</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5292"/>
              <w:gridCol w:w="2230"/>
              <w:gridCol w:w="768"/>
            </w:tblGrid>
            <w:tr w14:paraId="52B8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67C7F0A">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项目</w:t>
                  </w:r>
                </w:p>
              </w:tc>
              <w:tc>
                <w:tcPr>
                  <w:tcW w:w="5223" w:type="dxa"/>
                  <w:tcBorders>
                    <w:top w:val="single" w:color="auto" w:sz="4" w:space="0"/>
                    <w:left w:val="single" w:color="auto" w:sz="4" w:space="0"/>
                    <w:bottom w:val="single" w:color="auto" w:sz="4" w:space="0"/>
                    <w:right w:val="single" w:color="auto" w:sz="4" w:space="0"/>
                  </w:tcBorders>
                  <w:vAlign w:val="center"/>
                </w:tcPr>
                <w:p w14:paraId="047F30AF">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审查意见函要求</w:t>
                  </w:r>
                </w:p>
              </w:tc>
              <w:tc>
                <w:tcPr>
                  <w:tcW w:w="2201" w:type="dxa"/>
                  <w:tcBorders>
                    <w:top w:val="single" w:color="auto" w:sz="4" w:space="0"/>
                    <w:left w:val="single" w:color="auto" w:sz="4" w:space="0"/>
                    <w:bottom w:val="single" w:color="auto" w:sz="4" w:space="0"/>
                    <w:right w:val="single" w:color="auto" w:sz="4" w:space="0"/>
                  </w:tcBorders>
                  <w:vAlign w:val="center"/>
                </w:tcPr>
                <w:p w14:paraId="2C76EE6B">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本项目</w:t>
                  </w:r>
                </w:p>
              </w:tc>
              <w:tc>
                <w:tcPr>
                  <w:tcW w:w="757" w:type="dxa"/>
                  <w:tcBorders>
                    <w:top w:val="single" w:color="auto" w:sz="4" w:space="0"/>
                    <w:left w:val="single" w:color="auto" w:sz="4" w:space="0"/>
                    <w:bottom w:val="single" w:color="auto" w:sz="4" w:space="0"/>
                    <w:right w:val="single" w:color="auto" w:sz="4" w:space="0"/>
                  </w:tcBorders>
                  <w:vAlign w:val="center"/>
                </w:tcPr>
                <w:p w14:paraId="2C58C367">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符合性</w:t>
                  </w:r>
                </w:p>
              </w:tc>
            </w:tr>
            <w:tr w14:paraId="545A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49AF49F">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严格生态环境准入</w:t>
                  </w:r>
                </w:p>
              </w:tc>
              <w:tc>
                <w:tcPr>
                  <w:tcW w:w="5223" w:type="dxa"/>
                  <w:tcBorders>
                    <w:top w:val="single" w:color="auto" w:sz="4" w:space="0"/>
                    <w:left w:val="single" w:color="auto" w:sz="4" w:space="0"/>
                    <w:bottom w:val="single" w:color="auto" w:sz="4" w:space="0"/>
                    <w:right w:val="single" w:color="auto" w:sz="4" w:space="0"/>
                  </w:tcBorders>
                  <w:vAlign w:val="center"/>
                </w:tcPr>
                <w:p w14:paraId="7493F381">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强化规划环评与“三线一单”的联动，主要管控措施应符合重庆市及綦江区“三线一单”生态环境分区管控要求。规划区入驻项目应满足相关产业和环境准入要求以及《报告书》制定的生态环境管控要求。建议园区根据区域主要大气污染物削减方案实施进度，分阶段实施再生铝生产规模。</w:t>
                  </w:r>
                </w:p>
              </w:tc>
              <w:tc>
                <w:tcPr>
                  <w:tcW w:w="2201" w:type="dxa"/>
                  <w:tcBorders>
                    <w:top w:val="single" w:color="auto" w:sz="4" w:space="0"/>
                    <w:left w:val="single" w:color="auto" w:sz="4" w:space="0"/>
                    <w:bottom w:val="single" w:color="auto" w:sz="4" w:space="0"/>
                    <w:right w:val="single" w:color="auto" w:sz="4" w:space="0"/>
                  </w:tcBorders>
                  <w:vAlign w:val="center"/>
                </w:tcPr>
                <w:p w14:paraId="0D4AC253">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本项目满足相关产业和环境准入要求及《报告书》制定的生态环境管控要求。</w:t>
                  </w:r>
                </w:p>
              </w:tc>
              <w:tc>
                <w:tcPr>
                  <w:tcW w:w="757" w:type="dxa"/>
                  <w:tcBorders>
                    <w:top w:val="single" w:color="auto" w:sz="4" w:space="0"/>
                    <w:left w:val="single" w:color="auto" w:sz="4" w:space="0"/>
                    <w:bottom w:val="single" w:color="auto" w:sz="4" w:space="0"/>
                    <w:right w:val="single" w:color="auto" w:sz="4" w:space="0"/>
                  </w:tcBorders>
                  <w:vAlign w:val="center"/>
                </w:tcPr>
                <w:p w14:paraId="28345913">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11F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CDB8267">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空间布局约束</w:t>
                  </w:r>
                </w:p>
              </w:tc>
              <w:tc>
                <w:tcPr>
                  <w:tcW w:w="5223" w:type="dxa"/>
                  <w:tcBorders>
                    <w:top w:val="single" w:color="auto" w:sz="4" w:space="0"/>
                    <w:left w:val="single" w:color="auto" w:sz="4" w:space="0"/>
                    <w:bottom w:val="single" w:color="auto" w:sz="4" w:space="0"/>
                    <w:right w:val="single" w:color="auto" w:sz="4" w:space="0"/>
                  </w:tcBorders>
                  <w:vAlign w:val="center"/>
                </w:tcPr>
                <w:p w14:paraId="76B02AAF">
                  <w:pPr>
                    <w:keepNext w:val="0"/>
                    <w:keepLines w:val="0"/>
                    <w:suppressLineNumbers w:val="0"/>
                    <w:spacing w:before="0" w:beforeAutospacing="0" w:after="0" w:afterAutospacing="0"/>
                    <w:ind w:left="0" w:right="-73" w:rightChars="-35"/>
                    <w:rPr>
                      <w:rFonts w:hint="default"/>
                      <w:color w:val="auto"/>
                      <w:sz w:val="21"/>
                      <w:szCs w:val="21"/>
                      <w:highlight w:val="none"/>
                    </w:rPr>
                  </w:pPr>
                  <w:r>
                    <w:rPr>
                      <w:rFonts w:hint="eastAsia"/>
                      <w:color w:val="auto"/>
                      <w:sz w:val="21"/>
                      <w:szCs w:val="21"/>
                      <w:highlight w:val="none"/>
                    </w:rPr>
                    <w:t>规划区涉及环境防护距离的工业企业或项目应通过选址或调整布局严格控制在园区边界或用地红线内。加强与重庆市及綦江区国土空间总体规划、生态环境保护规划等成果衔接，结合区域资源和环境承载力深入论证规划产业布局及规模结构的环境合理性和可行性。禁止新建、扩建废水排放重金属（铬、镉、汞、砷、铅等五类重金属）、剧毒物质和持久性有机污染物的工业项目。规划区内临近古剑山-清溪河风景名胜区的工业用地地块（B04-07/03）禁止引入涉及精炼、熔炼等大气污染较重的企业或项目，临近重庆綦江国家地质公园古剑山园区的工业用地地块（B08-04/02、B09-03/03）后续入驻项目应与地质公园保护相协调。</w:t>
                  </w:r>
                </w:p>
              </w:tc>
              <w:tc>
                <w:tcPr>
                  <w:tcW w:w="2201" w:type="dxa"/>
                  <w:tcBorders>
                    <w:top w:val="single" w:color="auto" w:sz="4" w:space="0"/>
                    <w:left w:val="single" w:color="auto" w:sz="4" w:space="0"/>
                    <w:bottom w:val="single" w:color="auto" w:sz="4" w:space="0"/>
                    <w:right w:val="single" w:color="auto" w:sz="4" w:space="0"/>
                  </w:tcBorders>
                  <w:vAlign w:val="center"/>
                </w:tcPr>
                <w:p w14:paraId="5DC615E4">
                  <w:pPr>
                    <w:keepNext w:val="0"/>
                    <w:keepLines w:val="0"/>
                    <w:widowControl/>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本项目不涉及环境防护距离；本项目所在地块已纳入市政府国土空间开发利用批复范围</w:t>
                  </w:r>
                  <w:r>
                    <w:rPr>
                      <w:rFonts w:hint="eastAsia" w:ascii="宋体" w:hAnsi="宋体" w:cs="宋体"/>
                      <w:color w:val="auto"/>
                      <w:kern w:val="0"/>
                      <w:sz w:val="21"/>
                      <w:szCs w:val="21"/>
                      <w:highlight w:val="none"/>
                      <w:lang w:eastAsia="zh-CN"/>
                    </w:rPr>
                    <w:t>；本</w:t>
                  </w:r>
                  <w:r>
                    <w:rPr>
                      <w:rFonts w:hint="eastAsia" w:ascii="宋体" w:hAnsi="宋体" w:cs="宋体"/>
                      <w:color w:val="auto"/>
                      <w:kern w:val="0"/>
                      <w:sz w:val="21"/>
                      <w:szCs w:val="21"/>
                      <w:highlight w:val="none"/>
                    </w:rPr>
                    <w:t>项目不涉及重金属、剧毒物质和持久性有机污染物废水排放；本项目选址不涉及上述地块。</w:t>
                  </w:r>
                </w:p>
              </w:tc>
              <w:tc>
                <w:tcPr>
                  <w:tcW w:w="757" w:type="dxa"/>
                  <w:tcBorders>
                    <w:top w:val="single" w:color="auto" w:sz="4" w:space="0"/>
                    <w:left w:val="single" w:color="auto" w:sz="4" w:space="0"/>
                    <w:bottom w:val="single" w:color="auto" w:sz="4" w:space="0"/>
                    <w:right w:val="single" w:color="auto" w:sz="4" w:space="0"/>
                  </w:tcBorders>
                  <w:vAlign w:val="center"/>
                </w:tcPr>
                <w:p w14:paraId="2A7552F8">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2194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6" w:type="dxa"/>
                  <w:vMerge w:val="restart"/>
                  <w:tcBorders>
                    <w:top w:val="single" w:color="auto" w:sz="4" w:space="0"/>
                    <w:left w:val="single" w:color="auto" w:sz="4" w:space="0"/>
                    <w:right w:val="single" w:color="auto" w:sz="4" w:space="0"/>
                  </w:tcBorders>
                  <w:vAlign w:val="center"/>
                </w:tcPr>
                <w:p w14:paraId="743F911F">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污染物排放管控</w:t>
                  </w:r>
                </w:p>
              </w:tc>
              <w:tc>
                <w:tcPr>
                  <w:tcW w:w="5223" w:type="dxa"/>
                  <w:tcBorders>
                    <w:top w:val="single" w:color="auto" w:sz="4" w:space="0"/>
                    <w:left w:val="single" w:color="auto" w:sz="4" w:space="0"/>
                    <w:bottom w:val="single" w:color="auto" w:sz="4" w:space="0"/>
                    <w:right w:val="single" w:color="auto" w:sz="4" w:space="0"/>
                  </w:tcBorders>
                  <w:vAlign w:val="center"/>
                </w:tcPr>
                <w:p w14:paraId="6A53AA69">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根据本次规划，衔接水、大气、土壤等污染防治相关要求，《报告书》提出了规划区污染物排放总量管控要求，规划实施排放的主要污染物及特征污染物排放量不得突破《报告书》确定的总量管控指标。</w:t>
                  </w:r>
                </w:p>
              </w:tc>
              <w:tc>
                <w:tcPr>
                  <w:tcW w:w="2201" w:type="dxa"/>
                  <w:tcBorders>
                    <w:top w:val="single" w:color="auto" w:sz="4" w:space="0"/>
                    <w:left w:val="single" w:color="auto" w:sz="4" w:space="0"/>
                    <w:bottom w:val="single" w:color="auto" w:sz="4" w:space="0"/>
                    <w:right w:val="single" w:color="auto" w:sz="4" w:space="0"/>
                  </w:tcBorders>
                  <w:vAlign w:val="center"/>
                </w:tcPr>
                <w:p w14:paraId="14CBDAD6">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本项目主要污染物及特征污染物排放量未突破规划环评报告确定的总量管控指标。</w:t>
                  </w:r>
                </w:p>
              </w:tc>
              <w:tc>
                <w:tcPr>
                  <w:tcW w:w="757" w:type="dxa"/>
                  <w:tcBorders>
                    <w:top w:val="single" w:color="auto" w:sz="4" w:space="0"/>
                    <w:left w:val="single" w:color="auto" w:sz="4" w:space="0"/>
                    <w:bottom w:val="single" w:color="auto" w:sz="4" w:space="0"/>
                    <w:right w:val="single" w:color="auto" w:sz="4" w:space="0"/>
                  </w:tcBorders>
                  <w:vAlign w:val="center"/>
                </w:tcPr>
                <w:p w14:paraId="6FC4A4C1">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3E94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6" w:type="dxa"/>
                  <w:vMerge w:val="continue"/>
                  <w:tcBorders>
                    <w:left w:val="single" w:color="auto" w:sz="4" w:space="0"/>
                    <w:right w:val="single" w:color="auto" w:sz="4" w:space="0"/>
                  </w:tcBorders>
                  <w:vAlign w:val="center"/>
                </w:tcPr>
                <w:p w14:paraId="539B3645">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p>
              </w:tc>
              <w:tc>
                <w:tcPr>
                  <w:tcW w:w="5223" w:type="dxa"/>
                  <w:tcBorders>
                    <w:top w:val="single" w:color="auto" w:sz="4" w:space="0"/>
                    <w:left w:val="single" w:color="auto" w:sz="4" w:space="0"/>
                    <w:bottom w:val="single" w:color="auto" w:sz="4" w:space="0"/>
                    <w:right w:val="single" w:color="auto" w:sz="4" w:space="0"/>
                  </w:tcBorders>
                  <w:vAlign w:val="center"/>
                </w:tcPr>
                <w:p w14:paraId="62B5C726">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1.水污染物排放管控。</w:t>
                  </w:r>
                </w:p>
                <w:p w14:paraId="3EB54226">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严格落实水生态环境保护要求，防范水环境风险，确保区域水环境质量达标和水生态环境安全。规划区排水系统采用雨、污分流制，入驻企业采取合理的废水处理回用方式，减少废水排放量和新鲜水取用量，外排废水需经预处理达园区污水处理厂进水水质要求后，通过污水管网排入园区污水处理厂进一步处理达到《城镇污水处理厂污染物排放标准》（GB18918-2002）一级B标准（氟化物达到《污水综合排放标准》（GB8978-1996）一级标准）后排入綦江。加强地下水污染源头预防，落实地下水环境分区管理、分级防治措施和跟踪监测计划，防止规划实施对区域地下水环境的污染，保障地下水生态环境安全。在规划区内持续推进清洁生产，新入驻企业采用先进的生产工艺，减少水资源的消耗和污染物的排放。加快实施园区污水处理厂一期工程（设计处理规模0.2万立方米/天）及配套管网建设，建议在污水处理厂处理负荷达80%时启动二期扩建工程，并科学论证扩建规模。</w:t>
                  </w:r>
                </w:p>
              </w:tc>
              <w:tc>
                <w:tcPr>
                  <w:tcW w:w="2201" w:type="dxa"/>
                  <w:tcBorders>
                    <w:top w:val="single" w:color="auto" w:sz="4" w:space="0"/>
                    <w:left w:val="single" w:color="auto" w:sz="4" w:space="0"/>
                    <w:bottom w:val="single" w:color="auto" w:sz="4" w:space="0"/>
                    <w:right w:val="single" w:color="auto" w:sz="4" w:space="0"/>
                  </w:tcBorders>
                  <w:vAlign w:val="center"/>
                </w:tcPr>
                <w:p w14:paraId="0E515904">
                  <w:pPr>
                    <w:keepNext w:val="0"/>
                    <w:keepLines w:val="0"/>
                    <w:suppressLineNumbers w:val="0"/>
                    <w:spacing w:before="0" w:beforeAutospacing="0" w:after="0" w:afterAutospacing="0"/>
                    <w:ind w:left="-73" w:leftChars="-35" w:right="-73" w:rightChars="-35"/>
                    <w:rPr>
                      <w:rFonts w:hint="default" w:eastAsia="宋体"/>
                      <w:color w:val="auto"/>
                      <w:sz w:val="21"/>
                      <w:szCs w:val="21"/>
                      <w:highlight w:val="none"/>
                      <w:lang w:val="en-US" w:eastAsia="zh-CN"/>
                    </w:rPr>
                  </w:pPr>
                  <w:r>
                    <w:rPr>
                      <w:rFonts w:hint="eastAsia"/>
                      <w:color w:val="auto"/>
                      <w:sz w:val="21"/>
                      <w:szCs w:val="21"/>
                      <w:highlight w:val="none"/>
                      <w:lang w:val="en-US" w:eastAsia="zh-CN"/>
                    </w:rPr>
                    <w:t>目前北渡产业园污水处理厂已建成，预计2026年1月投运，远期项目污废水可预处理达进水水质要求后</w:t>
                  </w:r>
                  <w:r>
                    <w:rPr>
                      <w:rFonts w:hint="eastAsia"/>
                      <w:color w:val="auto"/>
                      <w:sz w:val="21"/>
                      <w:szCs w:val="21"/>
                      <w:highlight w:val="none"/>
                    </w:rPr>
                    <w:t>进入园区污水处理厂深度处理</w:t>
                  </w:r>
                  <w:r>
                    <w:rPr>
                      <w:rFonts w:hint="eastAsia"/>
                      <w:color w:val="auto"/>
                      <w:sz w:val="21"/>
                      <w:szCs w:val="21"/>
                      <w:highlight w:val="none"/>
                      <w:lang w:eastAsia="zh-CN"/>
                    </w:rPr>
                    <w:t>达到</w:t>
                  </w:r>
                  <w:r>
                    <w:rPr>
                      <w:rFonts w:hint="eastAsia"/>
                      <w:color w:val="auto"/>
                      <w:sz w:val="21"/>
                      <w:szCs w:val="21"/>
                      <w:highlight w:val="none"/>
                    </w:rPr>
                    <w:t>《城镇污水处理厂污染物排放标准》（GB 18918-2002）一级B标准后排入綦江河</w:t>
                  </w:r>
                  <w:r>
                    <w:rPr>
                      <w:rFonts w:hint="eastAsia"/>
                      <w:color w:val="auto"/>
                      <w:sz w:val="21"/>
                      <w:szCs w:val="21"/>
                      <w:highlight w:val="none"/>
                      <w:lang w:eastAsia="zh-CN"/>
                    </w:rPr>
                    <w:t>，</w:t>
                  </w:r>
                  <w:r>
                    <w:rPr>
                      <w:rFonts w:hint="eastAsia"/>
                      <w:color w:val="auto"/>
                      <w:sz w:val="21"/>
                      <w:szCs w:val="21"/>
                      <w:highlight w:val="none"/>
                      <w:lang w:val="en-US" w:eastAsia="zh-CN"/>
                    </w:rPr>
                    <w:t>项目不涉及氟化物排放。</w:t>
                  </w:r>
                </w:p>
                <w:p w14:paraId="7F5729C5">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项目</w:t>
                  </w:r>
                  <w:r>
                    <w:rPr>
                      <w:rFonts w:hint="eastAsia"/>
                      <w:color w:val="auto"/>
                      <w:sz w:val="21"/>
                      <w:szCs w:val="21"/>
                      <w:highlight w:val="none"/>
                      <w:lang w:val="en-US" w:eastAsia="zh-CN"/>
                    </w:rPr>
                    <w:t>对生产设施区域</w:t>
                  </w:r>
                  <w:r>
                    <w:rPr>
                      <w:rFonts w:hint="eastAsia"/>
                      <w:color w:val="auto"/>
                      <w:sz w:val="21"/>
                      <w:szCs w:val="21"/>
                      <w:highlight w:val="none"/>
                    </w:rPr>
                    <w:t>严格</w:t>
                  </w:r>
                  <w:r>
                    <w:rPr>
                      <w:rFonts w:hint="eastAsia"/>
                      <w:color w:val="auto"/>
                      <w:sz w:val="21"/>
                      <w:szCs w:val="21"/>
                      <w:highlight w:val="none"/>
                      <w:lang w:val="en-US" w:eastAsia="zh-CN"/>
                    </w:rPr>
                    <w:t>落实</w:t>
                  </w:r>
                  <w:r>
                    <w:rPr>
                      <w:rFonts w:hint="eastAsia"/>
                      <w:color w:val="auto"/>
                      <w:sz w:val="21"/>
                      <w:szCs w:val="21"/>
                      <w:highlight w:val="none"/>
                    </w:rPr>
                    <w:t>规范分区、分级防渗。</w:t>
                  </w:r>
                </w:p>
              </w:tc>
              <w:tc>
                <w:tcPr>
                  <w:tcW w:w="757" w:type="dxa"/>
                  <w:tcBorders>
                    <w:top w:val="single" w:color="auto" w:sz="4" w:space="0"/>
                    <w:left w:val="single" w:color="auto" w:sz="4" w:space="0"/>
                    <w:bottom w:val="single" w:color="auto" w:sz="4" w:space="0"/>
                    <w:right w:val="single" w:color="auto" w:sz="4" w:space="0"/>
                  </w:tcBorders>
                  <w:vAlign w:val="center"/>
                </w:tcPr>
                <w:p w14:paraId="127EB1E9">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702D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766" w:type="dxa"/>
                  <w:vMerge w:val="continue"/>
                  <w:tcBorders>
                    <w:left w:val="single" w:color="auto" w:sz="4" w:space="0"/>
                    <w:right w:val="single" w:color="auto" w:sz="4" w:space="0"/>
                  </w:tcBorders>
                  <w:vAlign w:val="center"/>
                </w:tcPr>
                <w:p w14:paraId="28E36316">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p>
              </w:tc>
              <w:tc>
                <w:tcPr>
                  <w:tcW w:w="5223" w:type="dxa"/>
                  <w:tcBorders>
                    <w:top w:val="single" w:color="auto" w:sz="4" w:space="0"/>
                    <w:left w:val="single" w:color="auto" w:sz="4" w:space="0"/>
                    <w:bottom w:val="single" w:color="auto" w:sz="4" w:space="0"/>
                    <w:right w:val="single" w:color="auto" w:sz="4" w:space="0"/>
                  </w:tcBorders>
                  <w:vAlign w:val="center"/>
                </w:tcPr>
                <w:p w14:paraId="624F8F42">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2.大气污染物排放管控。</w:t>
                  </w:r>
                </w:p>
                <w:p w14:paraId="2C3F2FC7">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优化能源结构，严格落实清洁能源计划，禁止新建使用燃煤、重油等高污染燃料的项目，推广使用清洁能源；采取先进工艺，改进能源利用技术，提高能源综合利用效率，从源头减少和控制温室气体排放。持续改善区域空气环境质量。入驻企业生产废气应采用高效的收集措施和先进的污染防治设施，确保工艺废气稳定达标排放。对产生氟化物、二噁英等毒性较大污染物的项目，应采取严格的治理措施，提高污染物收集效率，确保达标排放。涉及挥发性有机污染物排放的项目应从源头加强控制，优先使用低（无）VOCs含量的原辅料，并按照《挥发性有机物无组织排放控制标准》（GB37822-2019）相关要求，通过采取先进生产技术、高效工艺和设备等，减少工艺过程无组织排放。严格控制工业企业粉尘无组织排放，加强工业企业臭气、异味的污染防治，确保厂界达标，避免对周边环境敏感点造成影响。</w:t>
                  </w:r>
                </w:p>
              </w:tc>
              <w:tc>
                <w:tcPr>
                  <w:tcW w:w="2201" w:type="dxa"/>
                  <w:tcBorders>
                    <w:top w:val="single" w:color="auto" w:sz="4" w:space="0"/>
                    <w:left w:val="single" w:color="auto" w:sz="4" w:space="0"/>
                    <w:bottom w:val="single" w:color="auto" w:sz="4" w:space="0"/>
                    <w:right w:val="single" w:color="auto" w:sz="4" w:space="0"/>
                  </w:tcBorders>
                  <w:vAlign w:val="center"/>
                </w:tcPr>
                <w:p w14:paraId="7263EE25">
                  <w:pPr>
                    <w:keepNext w:val="0"/>
                    <w:keepLines w:val="0"/>
                    <w:suppressLineNumbers w:val="0"/>
                    <w:spacing w:before="0" w:beforeAutospacing="0" w:after="0" w:afterAutospacing="0"/>
                    <w:ind w:left="-73" w:leftChars="-35" w:right="-73" w:rightChars="-35"/>
                    <w:rPr>
                      <w:rFonts w:hint="default"/>
                      <w:color w:val="auto"/>
                      <w:sz w:val="21"/>
                      <w:szCs w:val="21"/>
                      <w:highlight w:val="none"/>
                      <w:lang w:val="en-US"/>
                    </w:rPr>
                  </w:pPr>
                  <w:r>
                    <w:rPr>
                      <w:rFonts w:hint="eastAsia"/>
                      <w:color w:val="auto"/>
                      <w:sz w:val="21"/>
                      <w:szCs w:val="21"/>
                      <w:highlight w:val="none"/>
                    </w:rPr>
                    <w:t>本项目</w:t>
                  </w:r>
                  <w:r>
                    <w:rPr>
                      <w:rFonts w:hint="eastAsia"/>
                      <w:color w:val="auto"/>
                      <w:sz w:val="21"/>
                      <w:szCs w:val="21"/>
                      <w:highlight w:val="none"/>
                      <w:lang w:val="en-US" w:eastAsia="zh-CN"/>
                    </w:rPr>
                    <w:t>生产设备均</w:t>
                  </w:r>
                  <w:r>
                    <w:rPr>
                      <w:rFonts w:hint="eastAsia"/>
                      <w:color w:val="auto"/>
                      <w:sz w:val="21"/>
                      <w:szCs w:val="21"/>
                      <w:highlight w:val="none"/>
                    </w:rPr>
                    <w:t>使用电</w:t>
                  </w:r>
                  <w:r>
                    <w:rPr>
                      <w:rFonts w:hint="eastAsia"/>
                      <w:color w:val="auto"/>
                      <w:sz w:val="21"/>
                      <w:szCs w:val="21"/>
                      <w:highlight w:val="none"/>
                      <w:lang w:val="en-US" w:eastAsia="zh-CN"/>
                    </w:rPr>
                    <w:t>为能源</w:t>
                  </w:r>
                  <w:r>
                    <w:rPr>
                      <w:rFonts w:hint="eastAsia"/>
                      <w:color w:val="auto"/>
                      <w:sz w:val="21"/>
                      <w:szCs w:val="21"/>
                      <w:highlight w:val="none"/>
                    </w:rPr>
                    <w:t>，</w:t>
                  </w:r>
                  <w:r>
                    <w:rPr>
                      <w:rFonts w:hint="eastAsia"/>
                      <w:color w:val="auto"/>
                      <w:sz w:val="21"/>
                      <w:szCs w:val="21"/>
                      <w:highlight w:val="none"/>
                      <w:lang w:val="en-US" w:eastAsia="zh-CN"/>
                    </w:rPr>
                    <w:t>食堂涉及少量天然气使用，均</w:t>
                  </w:r>
                  <w:r>
                    <w:rPr>
                      <w:rFonts w:hint="eastAsia"/>
                      <w:color w:val="auto"/>
                      <w:sz w:val="21"/>
                      <w:szCs w:val="21"/>
                      <w:highlight w:val="none"/>
                    </w:rPr>
                    <w:t>不涉及燃煤、重油等高污染燃料；本项目对各环节废气进行收集处理、确保达标排放</w:t>
                  </w:r>
                  <w:r>
                    <w:rPr>
                      <w:rFonts w:hint="eastAsia"/>
                      <w:color w:val="auto"/>
                      <w:sz w:val="21"/>
                      <w:szCs w:val="21"/>
                      <w:highlight w:val="none"/>
                      <w:lang w:eastAsia="zh-CN"/>
                    </w:rPr>
                    <w:t>；本</w:t>
                  </w:r>
                  <w:r>
                    <w:rPr>
                      <w:rFonts w:hint="eastAsia"/>
                      <w:color w:val="auto"/>
                      <w:sz w:val="21"/>
                      <w:szCs w:val="21"/>
                      <w:highlight w:val="none"/>
                    </w:rPr>
                    <w:t>项目不涉及氟化物、二噁英等毒性较大污染物；</w:t>
                  </w:r>
                  <w:r>
                    <w:rPr>
                      <w:rFonts w:hint="eastAsia"/>
                      <w:color w:val="auto"/>
                      <w:sz w:val="21"/>
                      <w:szCs w:val="21"/>
                      <w:highlight w:val="none"/>
                      <w:lang w:val="en-US" w:eastAsia="zh-CN"/>
                    </w:rPr>
                    <w:t>本项目产生的废气污染物能够实现达标排放。</w:t>
                  </w:r>
                </w:p>
              </w:tc>
              <w:tc>
                <w:tcPr>
                  <w:tcW w:w="757" w:type="dxa"/>
                  <w:tcBorders>
                    <w:top w:val="single" w:color="auto" w:sz="4" w:space="0"/>
                    <w:left w:val="single" w:color="auto" w:sz="4" w:space="0"/>
                    <w:bottom w:val="single" w:color="auto" w:sz="4" w:space="0"/>
                    <w:right w:val="single" w:color="auto" w:sz="4" w:space="0"/>
                  </w:tcBorders>
                  <w:vAlign w:val="center"/>
                </w:tcPr>
                <w:p w14:paraId="24B2B63A">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66D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66" w:type="dxa"/>
                  <w:vMerge w:val="continue"/>
                  <w:tcBorders>
                    <w:left w:val="single" w:color="auto" w:sz="4" w:space="0"/>
                    <w:right w:val="single" w:color="auto" w:sz="4" w:space="0"/>
                  </w:tcBorders>
                  <w:vAlign w:val="center"/>
                </w:tcPr>
                <w:p w14:paraId="7DA56EAB">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p>
              </w:tc>
              <w:tc>
                <w:tcPr>
                  <w:tcW w:w="5223" w:type="dxa"/>
                  <w:tcBorders>
                    <w:top w:val="single" w:color="auto" w:sz="4" w:space="0"/>
                    <w:left w:val="single" w:color="auto" w:sz="4" w:space="0"/>
                    <w:bottom w:val="single" w:color="auto" w:sz="4" w:space="0"/>
                    <w:right w:val="single" w:color="auto" w:sz="4" w:space="0"/>
                  </w:tcBorders>
                  <w:vAlign w:val="center"/>
                </w:tcPr>
                <w:p w14:paraId="73C7EDEA">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3.固体废物管控。</w:t>
                  </w:r>
                </w:p>
                <w:p w14:paraId="2C23B37F">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固体废物应按资源化、减量化、无害化方式进行妥善收集、处置和利用。生活垃圾经分类收集后由环卫部门统一清运处置；从生产过程削减固体废物的产生量，大力发展循环经济，粉煤灰、脱硫石膏等工业固体废物纳入园区配套发展的再生资源循环产业制备空心砖等建材，提高固体废物综合利用效率；废边角料、废铝屑等一般工业固体废物应由企业自行回收利用或交其他单位综合利用，无法利用的应满足《一般工业固体废物贮存和填埋污染控制标准》（GB 18599-2020）要求；铝灰、废油、废活性炭、废油棉纱等危险废物依法依规交有资质单位处置，并按《危险废物贮存污染控制标准》（GB18579-2001）及2013年修改清单等有关规定设置暂存点。危险废物转移应严格执行《危险废物转移管理办法》（生态环境部、公安部、交通运输部第23号令）相关要求。</w:t>
                  </w:r>
                </w:p>
              </w:tc>
              <w:tc>
                <w:tcPr>
                  <w:tcW w:w="2201" w:type="dxa"/>
                  <w:tcBorders>
                    <w:top w:val="single" w:color="auto" w:sz="4" w:space="0"/>
                    <w:left w:val="single" w:color="auto" w:sz="4" w:space="0"/>
                    <w:bottom w:val="single" w:color="auto" w:sz="4" w:space="0"/>
                    <w:right w:val="single" w:color="auto" w:sz="4" w:space="0"/>
                  </w:tcBorders>
                  <w:vAlign w:val="center"/>
                </w:tcPr>
                <w:p w14:paraId="672AABD2">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本项目产生的一般固废定期外售</w:t>
                  </w:r>
                  <w:r>
                    <w:rPr>
                      <w:rFonts w:hint="eastAsia"/>
                      <w:color w:val="auto"/>
                      <w:sz w:val="21"/>
                      <w:szCs w:val="21"/>
                      <w:highlight w:val="none"/>
                      <w:lang w:val="en-US" w:eastAsia="zh-CN"/>
                    </w:rPr>
                    <w:t>或外委处置</w:t>
                  </w:r>
                  <w:r>
                    <w:rPr>
                      <w:rFonts w:hint="eastAsia"/>
                      <w:color w:val="auto"/>
                      <w:sz w:val="21"/>
                      <w:szCs w:val="21"/>
                      <w:highlight w:val="none"/>
                    </w:rPr>
                    <w:t>，危险废物严格按照《危险废物贮存污染控制标准》（GB</w:t>
                  </w:r>
                  <w:r>
                    <w:rPr>
                      <w:rFonts w:hint="default"/>
                      <w:color w:val="auto"/>
                      <w:sz w:val="21"/>
                      <w:szCs w:val="21"/>
                      <w:highlight w:val="none"/>
                    </w:rPr>
                    <w:t>18579-2023</w:t>
                  </w:r>
                  <w:r>
                    <w:rPr>
                      <w:rFonts w:hint="eastAsia"/>
                      <w:color w:val="auto"/>
                      <w:sz w:val="21"/>
                      <w:szCs w:val="21"/>
                      <w:highlight w:val="none"/>
                    </w:rPr>
                    <w:t>）等有关规定贮存，危险废物转移应严格执行《危险废物转移管理办法》（生态环境部、公安部、交通运输部第23号令）相关要求。</w:t>
                  </w:r>
                </w:p>
              </w:tc>
              <w:tc>
                <w:tcPr>
                  <w:tcW w:w="757" w:type="dxa"/>
                  <w:tcBorders>
                    <w:top w:val="single" w:color="auto" w:sz="4" w:space="0"/>
                    <w:left w:val="single" w:color="auto" w:sz="4" w:space="0"/>
                    <w:bottom w:val="single" w:color="auto" w:sz="4" w:space="0"/>
                    <w:right w:val="single" w:color="auto" w:sz="4" w:space="0"/>
                  </w:tcBorders>
                  <w:vAlign w:val="center"/>
                </w:tcPr>
                <w:p w14:paraId="6189BB20">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3AF5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6" w:type="dxa"/>
                  <w:vMerge w:val="continue"/>
                  <w:tcBorders>
                    <w:left w:val="single" w:color="auto" w:sz="4" w:space="0"/>
                    <w:right w:val="single" w:color="auto" w:sz="4" w:space="0"/>
                  </w:tcBorders>
                  <w:vAlign w:val="center"/>
                </w:tcPr>
                <w:p w14:paraId="5BD5BFB0">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p>
              </w:tc>
              <w:tc>
                <w:tcPr>
                  <w:tcW w:w="5223" w:type="dxa"/>
                  <w:tcBorders>
                    <w:top w:val="single" w:color="auto" w:sz="4" w:space="0"/>
                    <w:left w:val="single" w:color="auto" w:sz="4" w:space="0"/>
                    <w:bottom w:val="single" w:color="auto" w:sz="4" w:space="0"/>
                    <w:right w:val="single" w:color="auto" w:sz="4" w:space="0"/>
                  </w:tcBorders>
                  <w:vAlign w:val="center"/>
                </w:tcPr>
                <w:p w14:paraId="111D1D4E">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4.噪声污染管控。</w:t>
                  </w:r>
                </w:p>
                <w:p w14:paraId="319D1CB2">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合理布局企业噪声源，高噪声源企业选址和布局尽量远离居住、学校等声环境敏感区；工业企业选择低噪声设备，采取消声、隔声、减振等措施，确保厂界噪声达标。合理规划区域运输线路和时间，车辆实行限速、限时、禁鸣，减轻运输过程对沿线居民的影响，并根据影响程度采取适宜的降噪工程措施。</w:t>
                  </w:r>
                </w:p>
              </w:tc>
              <w:tc>
                <w:tcPr>
                  <w:tcW w:w="2201" w:type="dxa"/>
                  <w:tcBorders>
                    <w:top w:val="single" w:color="auto" w:sz="4" w:space="0"/>
                    <w:left w:val="single" w:color="auto" w:sz="4" w:space="0"/>
                    <w:bottom w:val="single" w:color="auto" w:sz="4" w:space="0"/>
                    <w:right w:val="single" w:color="auto" w:sz="4" w:space="0"/>
                  </w:tcBorders>
                  <w:vAlign w:val="center"/>
                </w:tcPr>
                <w:p w14:paraId="5B327920">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项目评价范围内无声环境保护目标，在采取厂房隔声、基础减震等措施后，能够确保厂界噪声达标排放。</w:t>
                  </w:r>
                </w:p>
              </w:tc>
              <w:tc>
                <w:tcPr>
                  <w:tcW w:w="757" w:type="dxa"/>
                  <w:tcBorders>
                    <w:top w:val="single" w:color="auto" w:sz="4" w:space="0"/>
                    <w:left w:val="single" w:color="auto" w:sz="4" w:space="0"/>
                    <w:bottom w:val="single" w:color="auto" w:sz="4" w:space="0"/>
                    <w:right w:val="single" w:color="auto" w:sz="4" w:space="0"/>
                  </w:tcBorders>
                  <w:vAlign w:val="center"/>
                </w:tcPr>
                <w:p w14:paraId="2143BC98">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310C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766" w:type="dxa"/>
                  <w:vMerge w:val="continue"/>
                  <w:tcBorders>
                    <w:left w:val="single" w:color="auto" w:sz="4" w:space="0"/>
                    <w:right w:val="single" w:color="auto" w:sz="4" w:space="0"/>
                  </w:tcBorders>
                  <w:vAlign w:val="center"/>
                </w:tcPr>
                <w:p w14:paraId="2FE72B40">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p>
              </w:tc>
              <w:tc>
                <w:tcPr>
                  <w:tcW w:w="5223" w:type="dxa"/>
                  <w:tcBorders>
                    <w:top w:val="single" w:color="auto" w:sz="4" w:space="0"/>
                    <w:left w:val="single" w:color="auto" w:sz="4" w:space="0"/>
                    <w:bottom w:val="single" w:color="auto" w:sz="4" w:space="0"/>
                    <w:right w:val="single" w:color="auto" w:sz="4" w:space="0"/>
                  </w:tcBorders>
                  <w:vAlign w:val="center"/>
                </w:tcPr>
                <w:p w14:paraId="2923EB8E">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5.土壤污染管控。</w:t>
                  </w:r>
                </w:p>
                <w:p w14:paraId="1686D652">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按照《中共中央 国务院关于深入打好污染防治攻坚战的意见》《重庆市建设用地土壤污染防治办法》等相关要求，有效管控建设用地土壤污染风险，防范建设用地新增污染。入驻企业应采取有效的土壤污染控制措施，加强土壤污染防治。</w:t>
                  </w:r>
                </w:p>
              </w:tc>
              <w:tc>
                <w:tcPr>
                  <w:tcW w:w="2201" w:type="dxa"/>
                  <w:tcBorders>
                    <w:top w:val="single" w:color="auto" w:sz="4" w:space="0"/>
                    <w:left w:val="single" w:color="auto" w:sz="4" w:space="0"/>
                    <w:bottom w:val="single" w:color="auto" w:sz="4" w:space="0"/>
                    <w:right w:val="single" w:color="auto" w:sz="4" w:space="0"/>
                  </w:tcBorders>
                  <w:vAlign w:val="center"/>
                </w:tcPr>
                <w:p w14:paraId="47B73E31">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本项目按照“源头控制、过程防控、跟踪监测”的土壤污染防治措施，将厂区分为重点防渗区、一般防渗区、简单防渗区，从源头防范土壤污染。</w:t>
                  </w:r>
                </w:p>
              </w:tc>
              <w:tc>
                <w:tcPr>
                  <w:tcW w:w="757" w:type="dxa"/>
                  <w:tcBorders>
                    <w:top w:val="single" w:color="auto" w:sz="4" w:space="0"/>
                    <w:left w:val="single" w:color="auto" w:sz="4" w:space="0"/>
                    <w:bottom w:val="single" w:color="auto" w:sz="4" w:space="0"/>
                    <w:right w:val="single" w:color="auto" w:sz="4" w:space="0"/>
                  </w:tcBorders>
                  <w:vAlign w:val="center"/>
                </w:tcPr>
                <w:p w14:paraId="1DD9EECF">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6A4D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766" w:type="dxa"/>
                  <w:vMerge w:val="continue"/>
                  <w:tcBorders>
                    <w:left w:val="single" w:color="auto" w:sz="4" w:space="0"/>
                    <w:bottom w:val="single" w:color="auto" w:sz="4" w:space="0"/>
                    <w:right w:val="single" w:color="auto" w:sz="4" w:space="0"/>
                  </w:tcBorders>
                  <w:vAlign w:val="center"/>
                </w:tcPr>
                <w:p w14:paraId="0E286FFB">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p>
              </w:tc>
              <w:tc>
                <w:tcPr>
                  <w:tcW w:w="5223" w:type="dxa"/>
                  <w:tcBorders>
                    <w:top w:val="single" w:color="auto" w:sz="4" w:space="0"/>
                    <w:left w:val="single" w:color="auto" w:sz="4" w:space="0"/>
                    <w:bottom w:val="single" w:color="auto" w:sz="4" w:space="0"/>
                    <w:right w:val="single" w:color="auto" w:sz="4" w:space="0"/>
                  </w:tcBorders>
                  <w:vAlign w:val="center"/>
                </w:tcPr>
                <w:p w14:paraId="1905DC61">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6.碳减排。</w:t>
                  </w:r>
                </w:p>
                <w:p w14:paraId="0DE2E9FA">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园区及相关企业应按照《中共中央国务院关于完整准确全面贯彻新发展理念做好碳达峰碳中和工作的意见》《成渝地区双城经济圈碳达峰碳中和联合行动方案》等政策、规划关于碳达峰、碳中和的有关规定和要求，做好碳排放控制管理，推动减污降碳协同共治。园区应进一步优化产业结构和能源结构，从源头控制碳排放强度，加快传统产业绿色低碳改造，加强碳排放重点企业管控，严禁扩大电解铝产业规模。企业应围绕工业生产源头、过程、产品三个重点，加强低碳生产设计，把绿色低碳发展的理念和方法落实到企业生产全过程。同时，加强园区建筑、交通低碳化发展，强化绿色低碳理念宣传教育。</w:t>
                  </w:r>
                </w:p>
              </w:tc>
              <w:tc>
                <w:tcPr>
                  <w:tcW w:w="2201" w:type="dxa"/>
                  <w:tcBorders>
                    <w:top w:val="single" w:color="auto" w:sz="4" w:space="0"/>
                    <w:left w:val="single" w:color="auto" w:sz="4" w:space="0"/>
                    <w:bottom w:val="single" w:color="auto" w:sz="4" w:space="0"/>
                    <w:right w:val="single" w:color="auto" w:sz="4" w:space="0"/>
                  </w:tcBorders>
                  <w:vAlign w:val="center"/>
                </w:tcPr>
                <w:p w14:paraId="16994BF6">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本项目不属于高耗能行业，不属于《工业重点领域能效标杆水平和基准水平（2023 年版）》所列需要满足能效水平的行业类别。</w:t>
                  </w:r>
                </w:p>
              </w:tc>
              <w:tc>
                <w:tcPr>
                  <w:tcW w:w="757" w:type="dxa"/>
                  <w:tcBorders>
                    <w:top w:val="single" w:color="auto" w:sz="4" w:space="0"/>
                    <w:left w:val="single" w:color="auto" w:sz="4" w:space="0"/>
                    <w:bottom w:val="single" w:color="auto" w:sz="4" w:space="0"/>
                    <w:right w:val="single" w:color="auto" w:sz="4" w:space="0"/>
                  </w:tcBorders>
                  <w:vAlign w:val="center"/>
                </w:tcPr>
                <w:p w14:paraId="28C9297B">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08D3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DC9BE1C">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环境风险防控</w:t>
                  </w:r>
                </w:p>
              </w:tc>
              <w:tc>
                <w:tcPr>
                  <w:tcW w:w="5223" w:type="dxa"/>
                  <w:tcBorders>
                    <w:top w:val="single" w:color="auto" w:sz="4" w:space="0"/>
                    <w:left w:val="single" w:color="auto" w:sz="4" w:space="0"/>
                    <w:bottom w:val="single" w:color="auto" w:sz="4" w:space="0"/>
                    <w:right w:val="single" w:color="auto" w:sz="4" w:space="0"/>
                  </w:tcBorders>
                  <w:vAlign w:val="center"/>
                </w:tcPr>
                <w:p w14:paraId="35B4DB92">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规划区应建立健全环境风险防范体系，强化规划区区域层面环境风险防范措施，及时完善规划区环境风险评估报告及应急预案。加强对企业环境风险源的监督管理，相关企业应严格落实各项环境风险防范措施，防范突发性环境风险事故发生。</w:t>
                  </w:r>
                </w:p>
              </w:tc>
              <w:tc>
                <w:tcPr>
                  <w:tcW w:w="2201" w:type="dxa"/>
                  <w:tcBorders>
                    <w:top w:val="single" w:color="auto" w:sz="4" w:space="0"/>
                    <w:left w:val="single" w:color="auto" w:sz="4" w:space="0"/>
                    <w:bottom w:val="single" w:color="auto" w:sz="4" w:space="0"/>
                    <w:right w:val="single" w:color="auto" w:sz="4" w:space="0"/>
                  </w:tcBorders>
                  <w:vAlign w:val="center"/>
                </w:tcPr>
                <w:p w14:paraId="078B5EE5">
                  <w:pPr>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项目将严格落实各项环境风险防范措施，防范突发性环境风险事故发生。</w:t>
                  </w:r>
                </w:p>
              </w:tc>
              <w:tc>
                <w:tcPr>
                  <w:tcW w:w="757" w:type="dxa"/>
                  <w:tcBorders>
                    <w:top w:val="single" w:color="auto" w:sz="4" w:space="0"/>
                    <w:left w:val="single" w:color="auto" w:sz="4" w:space="0"/>
                    <w:bottom w:val="single" w:color="auto" w:sz="4" w:space="0"/>
                    <w:right w:val="single" w:color="auto" w:sz="4" w:space="0"/>
                  </w:tcBorders>
                  <w:vAlign w:val="center"/>
                </w:tcPr>
                <w:p w14:paraId="656DD2F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07B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6094F46">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资源利用效率</w:t>
                  </w:r>
                </w:p>
              </w:tc>
              <w:tc>
                <w:tcPr>
                  <w:tcW w:w="5223" w:type="dxa"/>
                  <w:tcBorders>
                    <w:top w:val="single" w:color="auto" w:sz="4" w:space="0"/>
                    <w:left w:val="single" w:color="auto" w:sz="4" w:space="0"/>
                    <w:bottom w:val="single" w:color="auto" w:sz="4" w:space="0"/>
                    <w:right w:val="single" w:color="auto" w:sz="4" w:space="0"/>
                  </w:tcBorders>
                  <w:vAlign w:val="center"/>
                </w:tcPr>
                <w:p w14:paraId="69B802E4">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严格控制规划区燃煤、天然气和新鲜水的消耗总量，禁止新增燃煤。规划实施不得突破有关部门制定的能源和水资源消耗上限，确保规划实施后区域大气和水环境质量保持稳中向好转变。清洁生产水平不得低于国内先进水平。</w:t>
                  </w:r>
                </w:p>
              </w:tc>
              <w:tc>
                <w:tcPr>
                  <w:tcW w:w="2201" w:type="dxa"/>
                  <w:tcBorders>
                    <w:top w:val="single" w:color="auto" w:sz="4" w:space="0"/>
                    <w:left w:val="single" w:color="auto" w:sz="4" w:space="0"/>
                    <w:bottom w:val="single" w:color="auto" w:sz="4" w:space="0"/>
                    <w:right w:val="single" w:color="auto" w:sz="4" w:space="0"/>
                  </w:tcBorders>
                  <w:vAlign w:val="center"/>
                </w:tcPr>
                <w:p w14:paraId="1ACC8FC9">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项目能源、水资源消耗不突破有关部门制定的上限，</w:t>
                  </w:r>
                  <w:r>
                    <w:rPr>
                      <w:rFonts w:hint="eastAsia"/>
                      <w:color w:val="auto"/>
                      <w:sz w:val="21"/>
                      <w:szCs w:val="21"/>
                      <w:highlight w:val="none"/>
                      <w:lang w:val="en-US" w:eastAsia="zh-CN"/>
                    </w:rPr>
                    <w:t>清洁生产水平满足要求</w:t>
                  </w:r>
                  <w:r>
                    <w:rPr>
                      <w:rFonts w:hint="eastAsia"/>
                      <w:color w:val="auto"/>
                      <w:sz w:val="21"/>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14:paraId="0DDC0C2B">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r w14:paraId="6C69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7DA779B">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规范环境管理</w:t>
                  </w:r>
                </w:p>
              </w:tc>
              <w:tc>
                <w:tcPr>
                  <w:tcW w:w="5223" w:type="dxa"/>
                  <w:tcBorders>
                    <w:top w:val="single" w:color="auto" w:sz="4" w:space="0"/>
                    <w:left w:val="single" w:color="auto" w:sz="4" w:space="0"/>
                    <w:bottom w:val="single" w:color="auto" w:sz="4" w:space="0"/>
                    <w:right w:val="single" w:color="auto" w:sz="4" w:space="0"/>
                  </w:tcBorders>
                  <w:vAlign w:val="center"/>
                </w:tcPr>
                <w:p w14:paraId="50B11E63">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加强日常环境监管，执行建设项目环境影响评价和固定污染源排污许可制度。园区应建立环境空气、地表水、地下水、土壤、声等环境要素的监控体系，落实环境跟踪监测计划，适时开展环境影响跟踪评价，规划范围、规划期限、规模及结构、布局等方面进行重大调整，应重新进行规划环境影响评价。</w:t>
                  </w:r>
                </w:p>
                <w:p w14:paraId="1FFEBACB">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园区拟引入的建设项目，应结合规划环评提出的指导意见做好环境影响评价工作，加强与规划环评的联动，重点做好工程分析、污染物允许排放量测算和环保措施可行性论证等内容。规划环评中规划协调性分析、环境现状、污染源调查等符合要求的资料可供建设项目环评共享。</w:t>
                  </w:r>
                </w:p>
              </w:tc>
              <w:tc>
                <w:tcPr>
                  <w:tcW w:w="2201" w:type="dxa"/>
                  <w:tcBorders>
                    <w:top w:val="single" w:color="auto" w:sz="4" w:space="0"/>
                    <w:left w:val="single" w:color="auto" w:sz="4" w:space="0"/>
                    <w:bottom w:val="single" w:color="auto" w:sz="4" w:space="0"/>
                    <w:right w:val="single" w:color="auto" w:sz="4" w:space="0"/>
                  </w:tcBorders>
                  <w:vAlign w:val="center"/>
                </w:tcPr>
                <w:p w14:paraId="2351C48E">
                  <w:pPr>
                    <w:keepNext w:val="0"/>
                    <w:keepLines w:val="0"/>
                    <w:suppressLineNumbers w:val="0"/>
                    <w:spacing w:before="0" w:beforeAutospacing="0" w:after="0" w:afterAutospacing="0"/>
                    <w:ind w:left="-73" w:leftChars="-35" w:right="-73" w:rightChars="-35"/>
                    <w:rPr>
                      <w:rFonts w:hint="default"/>
                      <w:color w:val="auto"/>
                      <w:sz w:val="21"/>
                      <w:szCs w:val="21"/>
                      <w:highlight w:val="none"/>
                    </w:rPr>
                  </w:pPr>
                  <w:r>
                    <w:rPr>
                      <w:rFonts w:hint="eastAsia"/>
                      <w:color w:val="auto"/>
                      <w:sz w:val="21"/>
                      <w:szCs w:val="21"/>
                      <w:highlight w:val="none"/>
                    </w:rPr>
                    <w:t>本项目结合规划环评提出的</w:t>
                  </w:r>
                  <w:r>
                    <w:rPr>
                      <w:rFonts w:hint="eastAsia"/>
                      <w:color w:val="auto"/>
                      <w:sz w:val="21"/>
                      <w:szCs w:val="21"/>
                      <w:highlight w:val="none"/>
                      <w:lang w:val="en-US" w:eastAsia="zh-CN"/>
                    </w:rPr>
                    <w:t>指导</w:t>
                  </w:r>
                  <w:r>
                    <w:rPr>
                      <w:rFonts w:hint="eastAsia"/>
                      <w:color w:val="auto"/>
                      <w:sz w:val="21"/>
                      <w:szCs w:val="21"/>
                      <w:highlight w:val="none"/>
                    </w:rPr>
                    <w:t>意见开展评价工作。</w:t>
                  </w:r>
                </w:p>
              </w:tc>
              <w:tc>
                <w:tcPr>
                  <w:tcW w:w="757" w:type="dxa"/>
                  <w:tcBorders>
                    <w:top w:val="single" w:color="auto" w:sz="4" w:space="0"/>
                    <w:left w:val="single" w:color="auto" w:sz="4" w:space="0"/>
                    <w:bottom w:val="single" w:color="auto" w:sz="4" w:space="0"/>
                    <w:right w:val="single" w:color="auto" w:sz="4" w:space="0"/>
                  </w:tcBorders>
                  <w:vAlign w:val="center"/>
                </w:tcPr>
                <w:p w14:paraId="310FF92E">
                  <w:pPr>
                    <w:keepNext w:val="0"/>
                    <w:keepLines w:val="0"/>
                    <w:suppressLineNumbers w:val="0"/>
                    <w:spacing w:before="0" w:beforeAutospacing="0" w:after="0" w:afterAutospacing="0"/>
                    <w:ind w:left="-73" w:leftChars="-35" w:right="-73" w:rightChars="-35"/>
                    <w:jc w:val="center"/>
                    <w:rPr>
                      <w:rFonts w:hint="default"/>
                      <w:color w:val="auto"/>
                      <w:sz w:val="21"/>
                      <w:szCs w:val="21"/>
                      <w:highlight w:val="none"/>
                    </w:rPr>
                  </w:pPr>
                  <w:r>
                    <w:rPr>
                      <w:rFonts w:hint="eastAsia"/>
                      <w:color w:val="auto"/>
                      <w:sz w:val="21"/>
                      <w:szCs w:val="21"/>
                      <w:highlight w:val="none"/>
                    </w:rPr>
                    <w:t>符合</w:t>
                  </w:r>
                </w:p>
              </w:tc>
            </w:tr>
          </w:tbl>
          <w:p w14:paraId="3919838D">
            <w:pPr>
              <w:pStyle w:val="65"/>
              <w:keepNext w:val="0"/>
              <w:keepLines w:val="0"/>
              <w:suppressLineNumbers w:val="0"/>
              <w:spacing w:before="0" w:beforeAutospacing="0" w:after="0" w:afterAutospacing="0"/>
              <w:ind w:left="0" w:right="0"/>
              <w:rPr>
                <w:rFonts w:hint="default"/>
                <w:color w:val="auto"/>
                <w:highlight w:val="none"/>
              </w:rPr>
            </w:pPr>
          </w:p>
          <w:p w14:paraId="3152531E">
            <w:pPr>
              <w:pStyle w:val="74"/>
              <w:keepNext w:val="0"/>
              <w:keepLines w:val="0"/>
              <w:suppressLineNumbers w:val="0"/>
              <w:spacing w:before="0" w:beforeAutospacing="0" w:after="0" w:afterAutospacing="0"/>
              <w:ind w:left="0" w:right="0" w:firstLine="520"/>
              <w:rPr>
                <w:rFonts w:hint="default" w:ascii="宋体" w:hAnsi="宋体" w:cs="宋体"/>
                <w:color w:val="auto"/>
                <w:kern w:val="0"/>
                <w:sz w:val="24"/>
                <w:szCs w:val="24"/>
                <w:highlight w:val="none"/>
              </w:rPr>
            </w:pPr>
            <w:r>
              <w:rPr>
                <w:rFonts w:hint="eastAsia"/>
                <w:color w:val="auto"/>
                <w:szCs w:val="26"/>
                <w:highlight w:val="none"/>
              </w:rPr>
              <w:t>综上，本项目符合《綦江工业园区北渡铝产业园控制性详细规划环境影响报告书》及其审查意见函的相关要求。</w:t>
            </w:r>
            <w:r>
              <w:rPr>
                <w:rFonts w:hint="eastAsia" w:ascii="宋体" w:hAnsi="宋体" w:cs="宋体"/>
                <w:color w:val="auto"/>
                <w:kern w:val="0"/>
                <w:szCs w:val="26"/>
                <w:highlight w:val="none"/>
              </w:rPr>
              <w:t xml:space="preserve"> </w:t>
            </w:r>
          </w:p>
        </w:tc>
      </w:tr>
      <w:tr w14:paraId="7729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vAlign w:val="center"/>
          </w:tcPr>
          <w:p w14:paraId="1B71702F">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kern w:val="0"/>
                <w:sz w:val="26"/>
                <w:szCs w:val="26"/>
                <w:highlight w:val="none"/>
              </w:rPr>
            </w:pPr>
            <w:r>
              <w:rPr>
                <w:rFonts w:hint="eastAsia"/>
                <w:color w:val="auto"/>
                <w:kern w:val="0"/>
                <w:sz w:val="26"/>
                <w:szCs w:val="26"/>
                <w:highlight w:val="none"/>
              </w:rPr>
              <w:t>其他符合性分析</w:t>
            </w:r>
          </w:p>
        </w:tc>
        <w:tc>
          <w:tcPr>
            <w:tcW w:w="7875" w:type="dxa"/>
            <w:tcBorders>
              <w:top w:val="single" w:color="auto" w:sz="4" w:space="0"/>
              <w:left w:val="single" w:color="auto" w:sz="4" w:space="0"/>
              <w:bottom w:val="single" w:color="auto" w:sz="4" w:space="0"/>
              <w:right w:val="single" w:color="auto" w:sz="4" w:space="0"/>
            </w:tcBorders>
            <w:vAlign w:val="center"/>
          </w:tcPr>
          <w:p w14:paraId="78C73F46">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default"/>
                <w:color w:val="auto"/>
                <w:sz w:val="26"/>
                <w:szCs w:val="26"/>
                <w:highlight w:val="none"/>
              </w:rPr>
              <w:t>1.3</w:t>
            </w:r>
            <w:r>
              <w:rPr>
                <w:rFonts w:hint="eastAsia"/>
                <w:color w:val="auto"/>
                <w:sz w:val="26"/>
                <w:szCs w:val="26"/>
                <w:highlight w:val="none"/>
                <w:lang w:val="en-US" w:eastAsia="zh-CN"/>
              </w:rPr>
              <w:t xml:space="preserve"> </w:t>
            </w:r>
            <w:r>
              <w:rPr>
                <w:rFonts w:hint="eastAsia"/>
                <w:color w:val="auto"/>
                <w:sz w:val="26"/>
                <w:szCs w:val="26"/>
                <w:highlight w:val="none"/>
              </w:rPr>
              <w:t>产业政策符合性</w:t>
            </w:r>
          </w:p>
          <w:p w14:paraId="61209CA0">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根据《重庆市产业园区规划环评影响评价与建设项目环境影响评价联动实施方案（试行）的通知》（渝环规〔2022〕2号）的实施条件第四条“4.所属区县环境质量稳定达标，产业园区建有大气、水主要污染物排放总量管理台账，未超过规划环评核定的园区环境容量”，由于本项目所属的綦江区202</w:t>
            </w:r>
            <w:r>
              <w:rPr>
                <w:rFonts w:hint="eastAsia"/>
                <w:color w:val="auto"/>
                <w:highlight w:val="none"/>
                <w:lang w:val="en-US" w:eastAsia="zh-CN"/>
              </w:rPr>
              <w:t>4</w:t>
            </w:r>
            <w:r>
              <w:rPr>
                <w:rFonts w:hint="eastAsia"/>
                <w:color w:val="auto"/>
                <w:highlight w:val="none"/>
              </w:rPr>
              <w:t>年为环境空气不达标区，不满足该文件建设项目的环境影响评价可简化分析的条件，因此，本次评价对项目相关的法律法规、环保政策均进行符合性分析。</w:t>
            </w:r>
          </w:p>
          <w:p w14:paraId="77896423">
            <w:pPr>
              <w:pStyle w:val="67"/>
              <w:keepNext w:val="0"/>
              <w:keepLines w:val="0"/>
              <w:suppressLineNumbers w:val="0"/>
              <w:spacing w:before="0" w:beforeAutospacing="0" w:after="0" w:afterAutospacing="0" w:line="400" w:lineRule="exact"/>
              <w:ind w:left="0" w:right="0" w:firstLine="522"/>
              <w:rPr>
                <w:rFonts w:hint="default"/>
                <w:color w:val="auto"/>
                <w:kern w:val="2"/>
                <w:sz w:val="26"/>
                <w:szCs w:val="26"/>
                <w:highlight w:val="none"/>
              </w:rPr>
            </w:pPr>
            <w:r>
              <w:rPr>
                <w:rFonts w:hint="default"/>
                <w:color w:val="auto"/>
                <w:sz w:val="26"/>
                <w:szCs w:val="26"/>
                <w:highlight w:val="none"/>
              </w:rPr>
              <w:t>1.3.1</w:t>
            </w:r>
            <w:r>
              <w:rPr>
                <w:rFonts w:hint="eastAsia"/>
                <w:color w:val="auto"/>
                <w:sz w:val="26"/>
                <w:szCs w:val="26"/>
                <w:highlight w:val="none"/>
              </w:rPr>
              <w:t>与《产业结构调整指导目录》的符合性分析</w:t>
            </w:r>
          </w:p>
          <w:p w14:paraId="75BB6A80">
            <w:pPr>
              <w:pStyle w:val="57"/>
              <w:keepNext w:val="0"/>
              <w:keepLines w:val="0"/>
              <w:suppressLineNumbers w:val="0"/>
              <w:spacing w:before="0" w:beforeAutospacing="0" w:after="0" w:afterAutospacing="0" w:line="400" w:lineRule="exact"/>
              <w:ind w:left="0" w:right="0" w:firstLine="520"/>
              <w:rPr>
                <w:rFonts w:hint="default"/>
                <w:color w:val="auto"/>
                <w:szCs w:val="26"/>
                <w:highlight w:val="none"/>
              </w:rPr>
            </w:pPr>
            <w:r>
              <w:rPr>
                <w:rFonts w:hint="eastAsia"/>
                <w:color w:val="auto"/>
                <w:szCs w:val="26"/>
                <w:highlight w:val="none"/>
              </w:rPr>
              <w:t>本项目行业类别为“C3752摩托车零部件及配件制造”“C3770助动车制造”和“有色金属铸造（3392）”，不属于《产业结构调整指导目录（2</w:t>
            </w:r>
            <w:r>
              <w:rPr>
                <w:rFonts w:hint="eastAsia"/>
                <w:color w:val="auto"/>
                <w:szCs w:val="26"/>
                <w:highlight w:val="none"/>
                <w:lang w:val="en-US" w:eastAsia="zh-CN"/>
              </w:rPr>
              <w:t>024</w:t>
            </w:r>
            <w:r>
              <w:rPr>
                <w:rFonts w:hint="eastAsia"/>
                <w:color w:val="auto"/>
                <w:szCs w:val="26"/>
                <w:highlight w:val="none"/>
              </w:rPr>
              <w:t>年本）》中的鼓励类、限制类和淘汰类项目，根据国务院《</w:t>
            </w:r>
            <w:bookmarkStart w:id="4" w:name="_GoBack"/>
            <w:bookmarkEnd w:id="4"/>
            <w:r>
              <w:rPr>
                <w:rFonts w:hint="eastAsia"/>
                <w:color w:val="auto"/>
                <w:szCs w:val="26"/>
                <w:highlight w:val="none"/>
              </w:rPr>
              <w:t>产业结构调整暂行规定》（国办</w:t>
            </w:r>
            <w:r>
              <w:rPr>
                <w:rFonts w:hint="eastAsia"/>
                <w:color w:val="auto"/>
                <w:szCs w:val="26"/>
                <w:highlight w:val="none"/>
                <w:lang w:eastAsia="zh-CN"/>
              </w:rPr>
              <w:t>〔2005〕40号</w:t>
            </w:r>
            <w:r>
              <w:rPr>
                <w:rFonts w:hint="eastAsia"/>
                <w:color w:val="auto"/>
                <w:szCs w:val="26"/>
                <w:highlight w:val="none"/>
              </w:rPr>
              <w:t>）可知，“不属于鼓励类、限制类和淘汰类，且符合国家有关</w:t>
            </w:r>
            <w:r>
              <w:rPr>
                <w:rFonts w:hint="eastAsia"/>
                <w:color w:val="auto"/>
                <w:szCs w:val="26"/>
                <w:highlight w:val="none"/>
                <w:lang w:eastAsia="zh-CN"/>
              </w:rPr>
              <w:t>法律法规</w:t>
            </w:r>
            <w:r>
              <w:rPr>
                <w:rFonts w:hint="eastAsia"/>
                <w:color w:val="auto"/>
                <w:szCs w:val="26"/>
                <w:highlight w:val="none"/>
              </w:rPr>
              <w:t>和政策规定的，为允许类</w:t>
            </w:r>
            <w:r>
              <w:rPr>
                <w:rFonts w:hint="eastAsia"/>
                <w:color w:val="auto"/>
                <w:szCs w:val="26"/>
                <w:highlight w:val="none"/>
                <w:lang w:eastAsia="zh-CN"/>
              </w:rPr>
              <w:t>，</w:t>
            </w:r>
            <w:r>
              <w:rPr>
                <w:rFonts w:hint="eastAsia"/>
                <w:color w:val="auto"/>
                <w:szCs w:val="26"/>
                <w:highlight w:val="none"/>
                <w:lang w:val="en-US" w:eastAsia="zh-CN"/>
              </w:rPr>
              <w:t>但属于列入《西部地区鼓励类产业目录（2025年本）》的产业项目。</w:t>
            </w:r>
          </w:p>
          <w:p w14:paraId="07A16512">
            <w:pPr>
              <w:pStyle w:val="57"/>
              <w:keepNext w:val="0"/>
              <w:keepLines w:val="0"/>
              <w:suppressLineNumbers w:val="0"/>
              <w:spacing w:before="0" w:beforeAutospacing="0" w:after="0" w:afterAutospacing="0" w:line="400" w:lineRule="exact"/>
              <w:ind w:left="0" w:right="0" w:firstLine="520"/>
              <w:rPr>
                <w:rFonts w:hint="eastAsia"/>
                <w:color w:val="auto"/>
                <w:szCs w:val="26"/>
                <w:highlight w:val="none"/>
              </w:rPr>
            </w:pPr>
            <w:r>
              <w:rPr>
                <w:rFonts w:hint="eastAsia"/>
                <w:color w:val="auto"/>
                <w:szCs w:val="26"/>
                <w:highlight w:val="none"/>
              </w:rPr>
              <w:t>同时，重庆市綦江区发展和改革委员会以《重庆市企业投资项目备案证》（2112-500110-04-01-297747）对本项目予以备案。</w:t>
            </w:r>
          </w:p>
          <w:p w14:paraId="2A372D1F">
            <w:pPr>
              <w:pStyle w:val="57"/>
              <w:keepNext w:val="0"/>
              <w:keepLines w:val="0"/>
              <w:suppressLineNumbers w:val="0"/>
              <w:spacing w:before="0" w:beforeAutospacing="0" w:after="0" w:afterAutospacing="0" w:line="400" w:lineRule="exact"/>
              <w:ind w:left="0" w:right="0" w:firstLine="520"/>
              <w:rPr>
                <w:rFonts w:hint="default"/>
                <w:color w:val="auto"/>
                <w:szCs w:val="26"/>
                <w:highlight w:val="none"/>
              </w:rPr>
            </w:pPr>
            <w:r>
              <w:rPr>
                <w:rFonts w:hint="default"/>
                <w:color w:val="auto"/>
                <w:szCs w:val="26"/>
                <w:highlight w:val="none"/>
              </w:rPr>
              <w:t>因此，本项目符合国家产业政策</w:t>
            </w:r>
            <w:r>
              <w:rPr>
                <w:rFonts w:hint="eastAsia"/>
                <w:color w:val="auto"/>
                <w:szCs w:val="26"/>
                <w:highlight w:val="none"/>
                <w:lang w:eastAsia="zh-CN"/>
              </w:rPr>
              <w:t>，</w:t>
            </w:r>
            <w:r>
              <w:rPr>
                <w:rFonts w:hint="eastAsia"/>
                <w:color w:val="auto"/>
                <w:szCs w:val="26"/>
                <w:highlight w:val="none"/>
                <w:lang w:val="en-US" w:eastAsia="zh-CN"/>
              </w:rPr>
              <w:t>符合《西部地区鼓励类产业目录（2025年本）》规定。</w:t>
            </w:r>
          </w:p>
          <w:p w14:paraId="60AE556A">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default"/>
                <w:color w:val="auto"/>
                <w:sz w:val="26"/>
                <w:szCs w:val="26"/>
                <w:highlight w:val="none"/>
              </w:rPr>
              <w:t>1.3.2</w:t>
            </w:r>
            <w:r>
              <w:rPr>
                <w:rFonts w:hint="eastAsia"/>
                <w:color w:val="auto"/>
                <w:sz w:val="26"/>
                <w:szCs w:val="26"/>
                <w:highlight w:val="none"/>
              </w:rPr>
              <w:t>与《重庆市发展和改革委员会关于印发重庆市产业投资准入工作手册的通知》（渝发改投资〔2022〕1436号）符合性</w:t>
            </w:r>
          </w:p>
          <w:p w14:paraId="5C515653">
            <w:pPr>
              <w:pStyle w:val="57"/>
              <w:keepNext w:val="0"/>
              <w:keepLines w:val="0"/>
              <w:suppressLineNumbers w:val="0"/>
              <w:spacing w:before="0" w:beforeAutospacing="0" w:after="0" w:afterAutospacing="0" w:line="400" w:lineRule="exact"/>
              <w:ind w:left="0" w:right="0" w:firstLine="520"/>
              <w:rPr>
                <w:rFonts w:hint="default"/>
                <w:color w:val="auto"/>
                <w:szCs w:val="26"/>
                <w:highlight w:val="none"/>
              </w:rPr>
            </w:pPr>
            <w:r>
              <w:rPr>
                <w:rFonts w:hint="eastAsia"/>
                <w:color w:val="auto"/>
                <w:szCs w:val="26"/>
                <w:highlight w:val="none"/>
              </w:rPr>
              <w:t>项目与《重庆市产业投资准入工作手册》的符合性分析见表</w:t>
            </w:r>
            <w:r>
              <w:rPr>
                <w:rFonts w:hint="default"/>
                <w:color w:val="auto"/>
                <w:szCs w:val="26"/>
                <w:highlight w:val="none"/>
              </w:rPr>
              <w:t>1.3-1</w:t>
            </w:r>
            <w:r>
              <w:rPr>
                <w:rFonts w:hint="eastAsia"/>
                <w:color w:val="auto"/>
                <w:szCs w:val="26"/>
                <w:highlight w:val="none"/>
              </w:rPr>
              <w:t>。</w:t>
            </w:r>
          </w:p>
          <w:p w14:paraId="7CEBBFA2">
            <w:pPr>
              <w:pStyle w:val="50"/>
              <w:keepNext w:val="0"/>
              <w:keepLines w:val="0"/>
              <w:suppressLineNumbers w:val="0"/>
              <w:spacing w:before="0" w:beforeAutospacing="0" w:after="0" w:afterAutospacing="0"/>
              <w:ind w:left="0" w:right="0"/>
              <w:rPr>
                <w:rFonts w:hint="default"/>
                <w:color w:val="auto"/>
                <w:highlight w:val="none"/>
              </w:rPr>
            </w:pPr>
          </w:p>
          <w:p w14:paraId="3C905CF6">
            <w:pPr>
              <w:pStyle w:val="65"/>
              <w:keepNext w:val="0"/>
              <w:keepLines w:val="0"/>
              <w:suppressLineNumbers w:val="0"/>
              <w:spacing w:before="0" w:beforeAutospacing="0" w:after="0" w:afterAutospacing="0"/>
              <w:ind w:left="0" w:right="0"/>
              <w:rPr>
                <w:rFonts w:hint="default"/>
                <w:color w:val="auto"/>
                <w:sz w:val="26"/>
                <w:szCs w:val="26"/>
                <w:highlight w:val="none"/>
              </w:rPr>
            </w:pPr>
            <w:bookmarkStart w:id="2" w:name="_Ref16958659"/>
            <w:r>
              <w:rPr>
                <w:rFonts w:hint="eastAsia"/>
                <w:color w:val="auto"/>
                <w:sz w:val="26"/>
                <w:szCs w:val="26"/>
                <w:highlight w:val="none"/>
              </w:rPr>
              <w:t>表</w:t>
            </w:r>
            <w:bookmarkEnd w:id="2"/>
            <w:r>
              <w:rPr>
                <w:rFonts w:hint="default"/>
                <w:color w:val="auto"/>
                <w:sz w:val="26"/>
                <w:szCs w:val="26"/>
                <w:highlight w:val="none"/>
              </w:rPr>
              <w:t xml:space="preserve">1.3-1  </w:t>
            </w:r>
            <w:r>
              <w:rPr>
                <w:rFonts w:hint="eastAsia"/>
                <w:color w:val="auto"/>
                <w:sz w:val="26"/>
                <w:szCs w:val="26"/>
                <w:highlight w:val="none"/>
              </w:rPr>
              <w:t>项目与《重庆市产业投资准入工作手册》符合性分析</w:t>
            </w:r>
          </w:p>
          <w:tbl>
            <w:tblPr>
              <w:tblStyle w:val="25"/>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6"/>
              <w:gridCol w:w="1168"/>
              <w:gridCol w:w="1180"/>
            </w:tblGrid>
            <w:tr w14:paraId="61CB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65" w:type="pct"/>
                  <w:tcBorders>
                    <w:top w:val="single" w:color="auto" w:sz="4" w:space="0"/>
                    <w:left w:val="single" w:color="auto" w:sz="4" w:space="0"/>
                    <w:bottom w:val="single" w:color="auto" w:sz="4" w:space="0"/>
                    <w:right w:val="single" w:color="auto" w:sz="4" w:space="0"/>
                  </w:tcBorders>
                  <w:vAlign w:val="center"/>
                </w:tcPr>
                <w:p w14:paraId="01893087">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产业</w:t>
                  </w:r>
                </w:p>
              </w:tc>
              <w:tc>
                <w:tcPr>
                  <w:tcW w:w="664" w:type="pct"/>
                  <w:tcBorders>
                    <w:top w:val="single" w:color="auto" w:sz="4" w:space="0"/>
                    <w:left w:val="single" w:color="auto" w:sz="4" w:space="0"/>
                    <w:bottom w:val="single" w:color="auto" w:sz="4" w:space="0"/>
                    <w:right w:val="single" w:color="auto" w:sz="4" w:space="0"/>
                  </w:tcBorders>
                  <w:vAlign w:val="center"/>
                </w:tcPr>
                <w:p w14:paraId="64831535">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准入要求</w:t>
                  </w:r>
                </w:p>
              </w:tc>
              <w:tc>
                <w:tcPr>
                  <w:tcW w:w="671" w:type="pct"/>
                  <w:tcBorders>
                    <w:top w:val="single" w:color="auto" w:sz="4" w:space="0"/>
                    <w:left w:val="single" w:color="auto" w:sz="4" w:space="0"/>
                    <w:bottom w:val="single" w:color="auto" w:sz="4" w:space="0"/>
                    <w:right w:val="single" w:color="auto" w:sz="4" w:space="0"/>
                  </w:tcBorders>
                  <w:vAlign w:val="center"/>
                </w:tcPr>
                <w:p w14:paraId="7CC4C54A">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符合性</w:t>
                  </w:r>
                </w:p>
              </w:tc>
            </w:tr>
            <w:tr w14:paraId="4A47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65" w:type="pct"/>
                  <w:tcBorders>
                    <w:top w:val="single" w:color="auto" w:sz="4" w:space="0"/>
                    <w:left w:val="single" w:color="auto" w:sz="4" w:space="0"/>
                    <w:bottom w:val="single" w:color="auto" w:sz="4" w:space="0"/>
                    <w:right w:val="single" w:color="auto" w:sz="4" w:space="0"/>
                  </w:tcBorders>
                  <w:vAlign w:val="center"/>
                </w:tcPr>
                <w:p w14:paraId="717DA1CB">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国家产业结构调整指导目录中的淘汰类项目。</w:t>
                  </w:r>
                </w:p>
                <w:p w14:paraId="4D503982">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 xml:space="preserve">天然林商业性采伐。  </w:t>
                  </w:r>
                </w:p>
                <w:p w14:paraId="708A6E5B">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法律法规和相关政策明令不予准入的其他项目。</w:t>
                  </w:r>
                </w:p>
              </w:tc>
              <w:tc>
                <w:tcPr>
                  <w:tcW w:w="664" w:type="pct"/>
                  <w:tcBorders>
                    <w:top w:val="single" w:color="auto" w:sz="4" w:space="0"/>
                    <w:left w:val="single" w:color="auto" w:sz="4" w:space="0"/>
                    <w:bottom w:val="single" w:color="auto" w:sz="4" w:space="0"/>
                    <w:right w:val="single" w:color="auto" w:sz="4" w:space="0"/>
                  </w:tcBorders>
                  <w:vAlign w:val="center"/>
                </w:tcPr>
                <w:p w14:paraId="116937CC">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全市范围内不予准入的产业</w:t>
                  </w:r>
                </w:p>
              </w:tc>
              <w:tc>
                <w:tcPr>
                  <w:tcW w:w="671" w:type="pct"/>
                  <w:tcBorders>
                    <w:top w:val="single" w:color="auto" w:sz="4" w:space="0"/>
                    <w:left w:val="single" w:color="auto" w:sz="4" w:space="0"/>
                    <w:bottom w:val="single" w:color="auto" w:sz="4" w:space="0"/>
                    <w:right w:val="single" w:color="auto" w:sz="4" w:space="0"/>
                  </w:tcBorders>
                  <w:vAlign w:val="center"/>
                </w:tcPr>
                <w:p w14:paraId="08598142">
                  <w:pPr>
                    <w:pStyle w:val="62"/>
                    <w:keepNext w:val="0"/>
                    <w:keepLines w:val="0"/>
                    <w:suppressLineNumbers w:val="0"/>
                    <w:spacing w:before="0" w:beforeAutospacing="0" w:after="0" w:afterAutospacing="0"/>
                    <w:ind w:left="0" w:right="0"/>
                    <w:rPr>
                      <w:rFonts w:hint="eastAsia" w:eastAsia="宋体"/>
                      <w:color w:val="auto"/>
                      <w:sz w:val="21"/>
                      <w:szCs w:val="21"/>
                      <w:highlight w:val="none"/>
                      <w:lang w:eastAsia="zh-CN"/>
                    </w:rPr>
                  </w:pPr>
                  <w:r>
                    <w:rPr>
                      <w:rFonts w:hint="eastAsia"/>
                      <w:color w:val="auto"/>
                      <w:sz w:val="21"/>
                      <w:szCs w:val="21"/>
                      <w:highlight w:val="none"/>
                    </w:rPr>
                    <w:t>本项目不属于上述不予准入的产业</w:t>
                  </w:r>
                  <w:r>
                    <w:rPr>
                      <w:rFonts w:hint="eastAsia"/>
                      <w:color w:val="auto"/>
                      <w:sz w:val="21"/>
                      <w:szCs w:val="21"/>
                      <w:highlight w:val="none"/>
                      <w:lang w:eastAsia="zh-CN"/>
                    </w:rPr>
                    <w:t>，</w:t>
                  </w:r>
                  <w:r>
                    <w:rPr>
                      <w:rFonts w:hint="eastAsia"/>
                      <w:color w:val="auto"/>
                      <w:sz w:val="21"/>
                      <w:szCs w:val="21"/>
                      <w:highlight w:val="none"/>
                      <w:lang w:val="en-US" w:eastAsia="zh-CN"/>
                    </w:rPr>
                    <w:t>且</w:t>
                  </w:r>
                  <w:r>
                    <w:rPr>
                      <w:rFonts w:hint="eastAsia"/>
                      <w:color w:val="auto"/>
                      <w:sz w:val="21"/>
                      <w:szCs w:val="21"/>
                      <w:highlight w:val="none"/>
                      <w:lang w:eastAsia="zh-CN"/>
                    </w:rPr>
                    <w:t>属于列入《西部地区鼓励类产业目录（2025年本）》鼓励类产业项目。</w:t>
                  </w:r>
                </w:p>
              </w:tc>
            </w:tr>
            <w:tr w14:paraId="5C5B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65" w:type="pct"/>
                  <w:tcBorders>
                    <w:top w:val="single" w:color="auto" w:sz="4" w:space="0"/>
                    <w:left w:val="single" w:color="auto" w:sz="4" w:space="0"/>
                    <w:bottom w:val="single" w:color="auto" w:sz="4" w:space="0"/>
                    <w:right w:val="single" w:color="auto" w:sz="4" w:space="0"/>
                  </w:tcBorders>
                  <w:vAlign w:val="center"/>
                </w:tcPr>
                <w:p w14:paraId="7519BDD8">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 xml:space="preserve">外环绕城高速公路以内长江、嘉陵江水域采砂。 </w:t>
                  </w:r>
                </w:p>
                <w:p w14:paraId="7ADB0E4C">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 xml:space="preserve">二十五度以上陡坡地开垦种植农作物。 </w:t>
                  </w:r>
                </w:p>
                <w:p w14:paraId="650653A9">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 xml:space="preserve">在自然保护区核心区、缓冲区的岸线和河段范围内投资建设旅游和生产经营项目。  </w:t>
                  </w:r>
                </w:p>
                <w:p w14:paraId="3F105039">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4.</w:t>
                  </w:r>
                  <w:r>
                    <w:rPr>
                      <w:rFonts w:hint="eastAsia"/>
                      <w:color w:val="auto"/>
                      <w:sz w:val="21"/>
                      <w:szCs w:val="21"/>
                      <w:highlight w:val="none"/>
                    </w:rPr>
                    <w:t xml:space="preserve">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  </w:t>
                  </w:r>
                </w:p>
                <w:p w14:paraId="4F7B5A0A">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5.</w:t>
                  </w:r>
                  <w:r>
                    <w:rPr>
                      <w:rFonts w:hint="eastAsia"/>
                      <w:color w:val="auto"/>
                      <w:sz w:val="21"/>
                      <w:szCs w:val="21"/>
                      <w:highlight w:val="none"/>
                    </w:rPr>
                    <w:t xml:space="preserve">长江干流岸线3公里范围内和重要支流岸线1公里范围内新建、改建、扩建尾矿库、冶炼渣库和磷石膏库（以提升安全、生态环境保护水平为目的的改建除外）。  </w:t>
                  </w:r>
                </w:p>
                <w:p w14:paraId="27F13A27">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6.</w:t>
                  </w:r>
                  <w:r>
                    <w:rPr>
                      <w:rFonts w:hint="eastAsia"/>
                      <w:color w:val="auto"/>
                      <w:sz w:val="21"/>
                      <w:szCs w:val="21"/>
                      <w:highlight w:val="none"/>
                    </w:rPr>
                    <w:t xml:space="preserve">在风景名胜区核心景区的岸线和河段范围内投资建设与风景名胜资源保护无关的项目。  </w:t>
                  </w:r>
                </w:p>
                <w:p w14:paraId="77141EE8">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7.</w:t>
                  </w:r>
                  <w:r>
                    <w:rPr>
                      <w:rFonts w:hint="eastAsia"/>
                      <w:color w:val="auto"/>
                      <w:sz w:val="21"/>
                      <w:szCs w:val="21"/>
                      <w:highlight w:val="none"/>
                    </w:rPr>
                    <w:t xml:space="preserve">在国家湿地公园的岸线和河段范围内挖沙、采矿，以及任何不符合主体功能定位的投资建设项目。  </w:t>
                  </w:r>
                </w:p>
                <w:p w14:paraId="0E54D5BE">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rPr>
                    <w:t xml:space="preserve">在《长江岸线保护和开发利用总体规划》划定的岸线保护区和保留区内投资建设除事关公共安全及公众利益的防洪护岸、河道治理、供水、生态环境保护、航道整治、国家重要基础设施以外的项目。  </w:t>
                  </w:r>
                </w:p>
                <w:p w14:paraId="4F464F4A">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rPr>
                    <w:t xml:space="preserve">在《全国重要江河湖泊水功能区划》划定的河段及湖泊保护区、保留区内投资建设不利于水资源及自然生态保护的项目。  </w:t>
                  </w:r>
                </w:p>
              </w:tc>
              <w:tc>
                <w:tcPr>
                  <w:tcW w:w="664" w:type="pct"/>
                  <w:tcBorders>
                    <w:top w:val="single" w:color="auto" w:sz="4" w:space="0"/>
                    <w:left w:val="single" w:color="auto" w:sz="4" w:space="0"/>
                    <w:bottom w:val="single" w:color="auto" w:sz="4" w:space="0"/>
                    <w:right w:val="single" w:color="auto" w:sz="4" w:space="0"/>
                  </w:tcBorders>
                  <w:vAlign w:val="center"/>
                </w:tcPr>
                <w:p w14:paraId="48CF6008">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重点区域不予准入的产业</w:t>
                  </w:r>
                </w:p>
              </w:tc>
              <w:tc>
                <w:tcPr>
                  <w:tcW w:w="671" w:type="pct"/>
                  <w:tcBorders>
                    <w:top w:val="single" w:color="auto" w:sz="4" w:space="0"/>
                    <w:left w:val="single" w:color="auto" w:sz="4" w:space="0"/>
                    <w:bottom w:val="single" w:color="auto" w:sz="4" w:space="0"/>
                    <w:right w:val="single" w:color="auto" w:sz="4" w:space="0"/>
                  </w:tcBorders>
                  <w:vAlign w:val="center"/>
                </w:tcPr>
                <w:p w14:paraId="7BD15F2F">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本项目不属于上述不予准入产业</w:t>
                  </w:r>
                </w:p>
              </w:tc>
            </w:tr>
            <w:tr w14:paraId="7EDA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65" w:type="pct"/>
                  <w:tcBorders>
                    <w:top w:val="single" w:color="auto" w:sz="4" w:space="0"/>
                    <w:left w:val="single" w:color="auto" w:sz="4" w:space="0"/>
                    <w:bottom w:val="single" w:color="auto" w:sz="4" w:space="0"/>
                    <w:right w:val="single" w:color="auto" w:sz="4" w:space="0"/>
                  </w:tcBorders>
                  <w:vAlign w:val="center"/>
                </w:tcPr>
                <w:p w14:paraId="57261489">
                  <w:pPr>
                    <w:pStyle w:val="50"/>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 xml:space="preserve">新建、扩建不符合国家产能置换要求的严重过剩产能行业的项目。新建、扩建不符合要求的高耗能高排放项目。 </w:t>
                  </w:r>
                </w:p>
                <w:p w14:paraId="7C729CC2">
                  <w:pPr>
                    <w:pStyle w:val="50"/>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 xml:space="preserve">新建、扩建不符合国家石化、现代煤化工等产业布局规划的项目。  </w:t>
                  </w:r>
                </w:p>
                <w:p w14:paraId="457F65FB">
                  <w:pPr>
                    <w:pStyle w:val="50"/>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 xml:space="preserve">在合规园区外新建、扩建钢铁、石化、化工、焦化、建材、有色、制浆造纸等高污染项目。  </w:t>
                  </w:r>
                </w:p>
                <w:p w14:paraId="00BFAECB">
                  <w:pPr>
                    <w:pStyle w:val="50"/>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lang w:eastAsia="zh-CN"/>
                    </w:rPr>
                    <w:t>4.</w:t>
                  </w:r>
                  <w:r>
                    <w:rPr>
                      <w:rFonts w:hint="eastAsia"/>
                      <w:color w:val="auto"/>
                      <w:sz w:val="21"/>
                      <w:szCs w:val="21"/>
                      <w:highlight w:val="none"/>
                    </w:rPr>
                    <w:t xml:space="preserve">《汽车产业投资管理规定》（国家发展和改革委员会令第22号）明确禁止建设的汽车投资项目。  </w:t>
                  </w:r>
                </w:p>
              </w:tc>
              <w:tc>
                <w:tcPr>
                  <w:tcW w:w="664" w:type="pct"/>
                  <w:tcBorders>
                    <w:top w:val="single" w:color="auto" w:sz="4" w:space="0"/>
                    <w:left w:val="single" w:color="auto" w:sz="4" w:space="0"/>
                    <w:bottom w:val="single" w:color="auto" w:sz="4" w:space="0"/>
                    <w:right w:val="single" w:color="auto" w:sz="4" w:space="0"/>
                  </w:tcBorders>
                  <w:vAlign w:val="center"/>
                </w:tcPr>
                <w:p w14:paraId="50ABC830">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全市范围内限制准入的产业</w:t>
                  </w:r>
                </w:p>
              </w:tc>
              <w:tc>
                <w:tcPr>
                  <w:tcW w:w="671" w:type="pct"/>
                  <w:tcBorders>
                    <w:top w:val="single" w:color="auto" w:sz="4" w:space="0"/>
                    <w:left w:val="single" w:color="auto" w:sz="4" w:space="0"/>
                    <w:bottom w:val="single" w:color="auto" w:sz="4" w:space="0"/>
                    <w:right w:val="single" w:color="auto" w:sz="4" w:space="0"/>
                  </w:tcBorders>
                  <w:vAlign w:val="center"/>
                </w:tcPr>
                <w:p w14:paraId="799A5B67">
                  <w:pPr>
                    <w:pStyle w:val="62"/>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rPr>
                    <w:t>本项目</w:t>
                  </w:r>
                  <w:r>
                    <w:rPr>
                      <w:rFonts w:hint="eastAsia"/>
                      <w:color w:val="auto"/>
                      <w:sz w:val="21"/>
                      <w:szCs w:val="21"/>
                      <w:highlight w:val="none"/>
                      <w:lang w:val="en-US" w:eastAsia="zh-CN"/>
                    </w:rPr>
                    <w:t>位于合规园区内，</w:t>
                  </w:r>
                  <w:r>
                    <w:rPr>
                      <w:rFonts w:hint="eastAsia"/>
                      <w:color w:val="auto"/>
                      <w:sz w:val="21"/>
                      <w:szCs w:val="21"/>
                      <w:highlight w:val="none"/>
                    </w:rPr>
                    <w:t>不属于上述限制</w:t>
                  </w:r>
                  <w:r>
                    <w:rPr>
                      <w:rFonts w:hint="eastAsia"/>
                      <w:color w:val="auto"/>
                      <w:sz w:val="21"/>
                      <w:szCs w:val="21"/>
                      <w:highlight w:val="none"/>
                      <w:lang w:val="en-US" w:eastAsia="zh-CN"/>
                    </w:rPr>
                    <w:t>类别</w:t>
                  </w:r>
                </w:p>
              </w:tc>
            </w:tr>
            <w:tr w14:paraId="2693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65" w:type="pct"/>
                  <w:tcBorders>
                    <w:top w:val="single" w:color="auto" w:sz="4" w:space="0"/>
                    <w:left w:val="single" w:color="auto" w:sz="4" w:space="0"/>
                    <w:bottom w:val="single" w:color="auto" w:sz="4" w:space="0"/>
                    <w:right w:val="single" w:color="auto" w:sz="4" w:space="0"/>
                  </w:tcBorders>
                  <w:vAlign w:val="center"/>
                </w:tcPr>
                <w:p w14:paraId="48B83F93">
                  <w:pPr>
                    <w:pStyle w:val="50"/>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 xml:space="preserve">长江干支流、重要湖泊岸线1公里范围内新建、扩建化工园区和化工项目，长江、嘉陵江、乌江岸线1公里范围内布局新建纸浆制造、印染等存在环境风险的项目。 </w:t>
                  </w:r>
                </w:p>
                <w:p w14:paraId="3F14001F">
                  <w:pPr>
                    <w:pStyle w:val="50"/>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在水产种质资源保护区的岸线和河段范围内新建围湖造田等投资建设项目。</w:t>
                  </w:r>
                </w:p>
              </w:tc>
              <w:tc>
                <w:tcPr>
                  <w:tcW w:w="664" w:type="pct"/>
                  <w:tcBorders>
                    <w:top w:val="single" w:color="auto" w:sz="4" w:space="0"/>
                    <w:left w:val="single" w:color="auto" w:sz="4" w:space="0"/>
                    <w:bottom w:val="single" w:color="auto" w:sz="4" w:space="0"/>
                    <w:right w:val="single" w:color="auto" w:sz="4" w:space="0"/>
                  </w:tcBorders>
                  <w:vAlign w:val="center"/>
                </w:tcPr>
                <w:p w14:paraId="593C6441">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重点区域范围内限制准入的产业</w:t>
                  </w:r>
                </w:p>
              </w:tc>
              <w:tc>
                <w:tcPr>
                  <w:tcW w:w="671" w:type="pct"/>
                  <w:tcBorders>
                    <w:top w:val="single" w:color="auto" w:sz="4" w:space="0"/>
                    <w:left w:val="single" w:color="auto" w:sz="4" w:space="0"/>
                    <w:bottom w:val="single" w:color="auto" w:sz="4" w:space="0"/>
                    <w:right w:val="single" w:color="auto" w:sz="4" w:space="0"/>
                  </w:tcBorders>
                  <w:vAlign w:val="center"/>
                </w:tcPr>
                <w:p w14:paraId="552B7840">
                  <w:pPr>
                    <w:pStyle w:val="62"/>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本项目不属于上述限制准入的产业。</w:t>
                  </w:r>
                </w:p>
              </w:tc>
            </w:tr>
          </w:tbl>
          <w:p w14:paraId="13763264">
            <w:pPr>
              <w:pStyle w:val="65"/>
              <w:keepNext w:val="0"/>
              <w:keepLines w:val="0"/>
              <w:suppressLineNumbers w:val="0"/>
              <w:spacing w:before="0" w:beforeAutospacing="0" w:after="0" w:afterAutospacing="0"/>
              <w:ind w:left="0" w:right="0"/>
              <w:rPr>
                <w:rFonts w:hint="default"/>
                <w:color w:val="auto"/>
                <w:highlight w:val="none"/>
              </w:rPr>
            </w:pPr>
          </w:p>
          <w:p w14:paraId="497AE2EF">
            <w:pPr>
              <w:pStyle w:val="57"/>
              <w:keepNext w:val="0"/>
              <w:keepLines w:val="0"/>
              <w:suppressLineNumbers w:val="0"/>
              <w:spacing w:before="0" w:beforeAutospacing="0" w:after="0" w:afterAutospacing="0" w:line="400" w:lineRule="exact"/>
              <w:ind w:left="0" w:right="0" w:firstLine="520"/>
              <w:rPr>
                <w:rFonts w:hint="default"/>
                <w:color w:val="auto"/>
                <w:kern w:val="2"/>
                <w:szCs w:val="26"/>
                <w:highlight w:val="none"/>
              </w:rPr>
            </w:pPr>
            <w:r>
              <w:rPr>
                <w:rFonts w:hint="eastAsia"/>
                <w:color w:val="auto"/>
                <w:szCs w:val="26"/>
                <w:highlight w:val="none"/>
              </w:rPr>
              <w:t>综上，本项目符合渝发改投资〔2022〕1436号文的准入要求。</w:t>
            </w:r>
          </w:p>
          <w:p w14:paraId="624BF08F">
            <w:pPr>
              <w:pStyle w:val="74"/>
              <w:keepNext w:val="0"/>
              <w:keepLines w:val="0"/>
              <w:suppressLineNumbers w:val="0"/>
              <w:spacing w:before="0" w:beforeAutospacing="0" w:after="0" w:afterAutospacing="0"/>
              <w:ind w:left="0" w:right="0" w:firstLine="522"/>
              <w:rPr>
                <w:rFonts w:hint="eastAsia"/>
                <w:b/>
                <w:color w:val="auto"/>
                <w:highlight w:val="none"/>
              </w:rPr>
            </w:pPr>
            <w:r>
              <w:rPr>
                <w:rFonts w:hint="default"/>
                <w:b/>
                <w:color w:val="auto"/>
                <w:highlight w:val="none"/>
              </w:rPr>
              <w:t>1.3.</w:t>
            </w:r>
            <w:r>
              <w:rPr>
                <w:rFonts w:hint="eastAsia"/>
                <w:b/>
                <w:color w:val="auto"/>
                <w:highlight w:val="none"/>
                <w:lang w:val="en-US" w:eastAsia="zh-CN"/>
              </w:rPr>
              <w:t>3</w:t>
            </w:r>
            <w:r>
              <w:rPr>
                <w:rFonts w:hint="eastAsia"/>
                <w:b/>
                <w:color w:val="auto"/>
                <w:highlight w:val="none"/>
              </w:rPr>
              <w:t>与《长江经济带发展负面清单指南（试行）》（2022年版，推动长江经济带发展领导小组办公室2022年1月19日印发）符合性</w:t>
            </w:r>
          </w:p>
          <w:p w14:paraId="56E82988">
            <w:pPr>
              <w:pStyle w:val="74"/>
              <w:keepNext w:val="0"/>
              <w:keepLines w:val="0"/>
              <w:suppressLineNumbers w:val="0"/>
              <w:spacing w:before="0" w:beforeAutospacing="0" w:after="0" w:afterAutospacing="0"/>
              <w:ind w:left="0" w:right="0" w:firstLine="522"/>
              <w:rPr>
                <w:rFonts w:hint="default"/>
                <w:b w:val="0"/>
                <w:bCs/>
                <w:color w:val="auto"/>
                <w:highlight w:val="none"/>
                <w:lang w:val="en-US" w:eastAsia="zh-CN"/>
              </w:rPr>
            </w:pPr>
            <w:r>
              <w:rPr>
                <w:rFonts w:hint="default"/>
                <w:b w:val="0"/>
                <w:bCs/>
                <w:color w:val="auto"/>
                <w:highlight w:val="none"/>
                <w:lang w:val="en-US" w:eastAsia="zh-CN"/>
              </w:rPr>
              <w:t>根据推动长江经济带发展领导小组办公室2022年1月19日印发的《长江经济带发展负面清单指南（试行，2022年版）》，本项目与《负面清单指南》的符合性见下表。</w:t>
            </w:r>
          </w:p>
          <w:p w14:paraId="75D32091">
            <w:pPr>
              <w:pStyle w:val="74"/>
              <w:keepNext w:val="0"/>
              <w:keepLines w:val="0"/>
              <w:suppressLineNumbers w:val="0"/>
              <w:spacing w:before="0" w:beforeAutospacing="0" w:after="0" w:afterAutospacing="0" w:line="240" w:lineRule="auto"/>
              <w:ind w:left="0" w:right="0" w:firstLine="0" w:firstLineChars="0"/>
              <w:rPr>
                <w:rFonts w:hint="default"/>
                <w:b w:val="0"/>
                <w:bCs/>
                <w:color w:val="auto"/>
                <w:highlight w:val="none"/>
                <w:lang w:val="en-US" w:eastAsia="zh-CN"/>
              </w:rPr>
            </w:pPr>
          </w:p>
          <w:p w14:paraId="741CB634">
            <w:pPr>
              <w:keepNext w:val="0"/>
              <w:keepLines w:val="0"/>
              <w:suppressLineNumbers w:val="0"/>
              <w:snapToGrid w:val="0"/>
              <w:spacing w:before="0" w:beforeAutospacing="0" w:after="0" w:afterAutospacing="0"/>
              <w:ind w:left="0" w:right="0"/>
              <w:jc w:val="center"/>
              <w:rPr>
                <w:rFonts w:hint="default"/>
                <w:b w:val="0"/>
                <w:bCs/>
                <w:color w:val="auto"/>
                <w:sz w:val="26"/>
                <w:szCs w:val="26"/>
                <w:highlight w:val="none"/>
              </w:rPr>
            </w:pPr>
            <w:r>
              <w:rPr>
                <w:rFonts w:hint="eastAsia"/>
                <w:b w:val="0"/>
                <w:bCs/>
                <w:color w:val="auto"/>
                <w:sz w:val="26"/>
                <w:szCs w:val="26"/>
                <w:highlight w:val="none"/>
              </w:rPr>
              <w:t>表</w:t>
            </w:r>
            <w:r>
              <w:rPr>
                <w:rFonts w:hint="default"/>
                <w:b w:val="0"/>
                <w:bCs/>
                <w:color w:val="auto"/>
                <w:sz w:val="26"/>
                <w:szCs w:val="26"/>
                <w:highlight w:val="none"/>
              </w:rPr>
              <w:t>1.3-</w:t>
            </w:r>
            <w:r>
              <w:rPr>
                <w:rFonts w:hint="eastAsia"/>
                <w:b w:val="0"/>
                <w:bCs/>
                <w:color w:val="auto"/>
                <w:sz w:val="26"/>
                <w:szCs w:val="26"/>
                <w:highlight w:val="none"/>
                <w:lang w:val="en-US" w:eastAsia="zh-CN"/>
              </w:rPr>
              <w:t>2  与</w:t>
            </w:r>
            <w:r>
              <w:rPr>
                <w:rFonts w:hint="eastAsia"/>
                <w:b w:val="0"/>
                <w:bCs/>
                <w:color w:val="auto"/>
                <w:sz w:val="26"/>
                <w:szCs w:val="26"/>
                <w:highlight w:val="none"/>
              </w:rPr>
              <w:t>《长江经济带发展负面清单指南》符合性分析</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5654"/>
              <w:gridCol w:w="2863"/>
            </w:tblGrid>
            <w:tr w14:paraId="4E39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7281D48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4682" w:type="dxa"/>
                  <w:tcBorders>
                    <w:top w:val="single" w:color="auto" w:sz="4" w:space="0"/>
                    <w:left w:val="single" w:color="auto" w:sz="4" w:space="0"/>
                    <w:bottom w:val="single" w:color="auto" w:sz="4" w:space="0"/>
                    <w:right w:val="single" w:color="auto" w:sz="4" w:space="0"/>
                  </w:tcBorders>
                  <w:vAlign w:val="center"/>
                </w:tcPr>
                <w:p w14:paraId="7C6C7FD9">
                  <w:pPr>
                    <w:keepNext w:val="0"/>
                    <w:keepLines w:val="0"/>
                    <w:suppressLineNumbers w:val="0"/>
                    <w:snapToGrid w:val="0"/>
                    <w:spacing w:before="0" w:beforeAutospacing="0" w:after="0" w:afterAutospacing="0"/>
                    <w:ind w:left="0" w:right="0" w:firstLine="0"/>
                    <w:jc w:val="center"/>
                    <w:rPr>
                      <w:rFonts w:hint="default"/>
                      <w:color w:val="auto"/>
                      <w:sz w:val="21"/>
                      <w:szCs w:val="21"/>
                      <w:highlight w:val="none"/>
                    </w:rPr>
                  </w:pPr>
                  <w:r>
                    <w:rPr>
                      <w:rFonts w:hint="eastAsia"/>
                      <w:color w:val="auto"/>
                      <w:sz w:val="21"/>
                      <w:szCs w:val="21"/>
                      <w:highlight w:val="none"/>
                    </w:rPr>
                    <w:t>要求</w:t>
                  </w:r>
                </w:p>
              </w:tc>
              <w:tc>
                <w:tcPr>
                  <w:tcW w:w="2370" w:type="dxa"/>
                  <w:tcBorders>
                    <w:top w:val="single" w:color="auto" w:sz="4" w:space="0"/>
                    <w:left w:val="single" w:color="auto" w:sz="4" w:space="0"/>
                    <w:bottom w:val="single" w:color="auto" w:sz="4" w:space="0"/>
                    <w:right w:val="single" w:color="auto" w:sz="4" w:space="0"/>
                  </w:tcBorders>
                  <w:vAlign w:val="center"/>
                </w:tcPr>
                <w:p w14:paraId="74F7E1C4">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本项目符合性分析</w:t>
                  </w:r>
                </w:p>
              </w:tc>
            </w:tr>
            <w:tr w14:paraId="4EAD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23F9EB78">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w:t>
                  </w:r>
                </w:p>
              </w:tc>
              <w:tc>
                <w:tcPr>
                  <w:tcW w:w="4682" w:type="dxa"/>
                  <w:tcBorders>
                    <w:top w:val="single" w:color="auto" w:sz="4" w:space="0"/>
                    <w:left w:val="single" w:color="auto" w:sz="4" w:space="0"/>
                    <w:bottom w:val="single" w:color="auto" w:sz="4" w:space="0"/>
                    <w:right w:val="single" w:color="auto" w:sz="4" w:space="0"/>
                  </w:tcBorders>
                  <w:vAlign w:val="center"/>
                </w:tcPr>
                <w:p w14:paraId="160874A7">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禁止建设不符合全国和省级港口布局规划以及港口总体规划的码头项目，禁止建设不符合《长江干线过江通道布局规划》的过长江通道项目。</w:t>
                  </w:r>
                </w:p>
              </w:tc>
              <w:tc>
                <w:tcPr>
                  <w:tcW w:w="2370" w:type="dxa"/>
                  <w:tcBorders>
                    <w:top w:val="single" w:color="auto" w:sz="4" w:space="0"/>
                    <w:left w:val="single" w:color="auto" w:sz="4" w:space="0"/>
                    <w:bottom w:val="single" w:color="auto" w:sz="4" w:space="0"/>
                    <w:right w:val="single" w:color="auto" w:sz="4" w:space="0"/>
                  </w:tcBorders>
                  <w:vAlign w:val="center"/>
                </w:tcPr>
                <w:p w14:paraId="4196338E">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本项目不属于码头、过江通道项目。</w:t>
                  </w:r>
                </w:p>
              </w:tc>
            </w:tr>
            <w:tr w14:paraId="361D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27A55E4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2</w:t>
                  </w:r>
                </w:p>
              </w:tc>
              <w:tc>
                <w:tcPr>
                  <w:tcW w:w="4682" w:type="dxa"/>
                  <w:tcBorders>
                    <w:top w:val="single" w:color="auto" w:sz="4" w:space="0"/>
                    <w:left w:val="single" w:color="auto" w:sz="4" w:space="0"/>
                    <w:bottom w:val="single" w:color="auto" w:sz="4" w:space="0"/>
                    <w:right w:val="single" w:color="auto" w:sz="4" w:space="0"/>
                  </w:tcBorders>
                  <w:vAlign w:val="center"/>
                </w:tcPr>
                <w:p w14:paraId="240E6286">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禁止在自然保护区核心区、缓冲区的岸线和河段范围内投资建设旅游和生产经营项目。禁止在风景名胜区核心景区的岸线和河段范围内投资建设与风景名胜资源保护无关的项目。</w:t>
                  </w:r>
                </w:p>
              </w:tc>
              <w:tc>
                <w:tcPr>
                  <w:tcW w:w="2370" w:type="dxa"/>
                  <w:tcBorders>
                    <w:top w:val="single" w:color="auto" w:sz="4" w:space="0"/>
                    <w:left w:val="single" w:color="auto" w:sz="4" w:space="0"/>
                    <w:bottom w:val="single" w:color="auto" w:sz="4" w:space="0"/>
                    <w:right w:val="single" w:color="auto" w:sz="4" w:space="0"/>
                  </w:tcBorders>
                  <w:vAlign w:val="center"/>
                </w:tcPr>
                <w:p w14:paraId="50F64CEE">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本项目位于工业园区内，不涉及自然保护区、风景名胜区。</w:t>
                  </w:r>
                </w:p>
              </w:tc>
            </w:tr>
            <w:tr w14:paraId="1E80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2B3FB34C">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3</w:t>
                  </w:r>
                </w:p>
              </w:tc>
              <w:tc>
                <w:tcPr>
                  <w:tcW w:w="4682" w:type="dxa"/>
                  <w:tcBorders>
                    <w:top w:val="single" w:color="auto" w:sz="4" w:space="0"/>
                    <w:left w:val="single" w:color="auto" w:sz="4" w:space="0"/>
                    <w:bottom w:val="single" w:color="auto" w:sz="4" w:space="0"/>
                    <w:right w:val="single" w:color="auto" w:sz="4" w:space="0"/>
                  </w:tcBorders>
                  <w:vAlign w:val="center"/>
                </w:tcPr>
                <w:p w14:paraId="3D2A9B80">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370" w:type="dxa"/>
                  <w:tcBorders>
                    <w:top w:val="single" w:color="auto" w:sz="4" w:space="0"/>
                    <w:left w:val="single" w:color="auto" w:sz="4" w:space="0"/>
                    <w:bottom w:val="single" w:color="auto" w:sz="4" w:space="0"/>
                    <w:right w:val="single" w:color="auto" w:sz="4" w:space="0"/>
                  </w:tcBorders>
                  <w:vAlign w:val="center"/>
                </w:tcPr>
                <w:p w14:paraId="71705152">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本项目位于工业园区内，不涉及饮用水源保护区。</w:t>
                  </w:r>
                </w:p>
              </w:tc>
            </w:tr>
            <w:tr w14:paraId="755F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6CD20631">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4</w:t>
                  </w:r>
                </w:p>
              </w:tc>
              <w:tc>
                <w:tcPr>
                  <w:tcW w:w="4682" w:type="dxa"/>
                  <w:tcBorders>
                    <w:top w:val="single" w:color="auto" w:sz="4" w:space="0"/>
                    <w:left w:val="single" w:color="auto" w:sz="4" w:space="0"/>
                    <w:bottom w:val="single" w:color="auto" w:sz="4" w:space="0"/>
                    <w:right w:val="single" w:color="auto" w:sz="4" w:space="0"/>
                  </w:tcBorders>
                  <w:vAlign w:val="center"/>
                </w:tcPr>
                <w:p w14:paraId="01B0B88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禁止在水产种质资源保护区的岸线和河段范围内新建围湖造田、围海造地或围填海等投资建设项目。禁止在国家湿地公园的岸线和河段范围内挖砂、采矿，以及任何不符合主体功能定位的投资建设项目。</w:t>
                  </w:r>
                </w:p>
              </w:tc>
              <w:tc>
                <w:tcPr>
                  <w:tcW w:w="2370" w:type="dxa"/>
                  <w:tcBorders>
                    <w:top w:val="single" w:color="auto" w:sz="4" w:space="0"/>
                    <w:left w:val="single" w:color="auto" w:sz="4" w:space="0"/>
                    <w:bottom w:val="single" w:color="auto" w:sz="4" w:space="0"/>
                    <w:right w:val="single" w:color="auto" w:sz="4" w:space="0"/>
                  </w:tcBorders>
                  <w:vAlign w:val="center"/>
                </w:tcPr>
                <w:p w14:paraId="6BD6F38A">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本项目位于工业园区内，不涉及国家湿地公园、水产种质资源保护区。</w:t>
                  </w:r>
                </w:p>
              </w:tc>
            </w:tr>
            <w:tr w14:paraId="2F5A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2528D142">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5</w:t>
                  </w:r>
                </w:p>
              </w:tc>
              <w:tc>
                <w:tcPr>
                  <w:tcW w:w="4682" w:type="dxa"/>
                  <w:tcBorders>
                    <w:top w:val="single" w:color="auto" w:sz="4" w:space="0"/>
                    <w:left w:val="single" w:color="auto" w:sz="4" w:space="0"/>
                    <w:bottom w:val="single" w:color="auto" w:sz="4" w:space="0"/>
                    <w:right w:val="single" w:color="auto" w:sz="4" w:space="0"/>
                  </w:tcBorders>
                  <w:vAlign w:val="center"/>
                </w:tcPr>
                <w:p w14:paraId="026A18D5">
                  <w:pPr>
                    <w:keepNext w:val="0"/>
                    <w:keepLines w:val="0"/>
                    <w:suppressLineNumbers w:val="0"/>
                    <w:tabs>
                      <w:tab w:val="left" w:pos="50"/>
                    </w:tabs>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违法利用、占用长江流域河湖岸线。禁止在《长江岸线保护和开发利用总体规划》划定的岸线保护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370" w:type="dxa"/>
                  <w:tcBorders>
                    <w:top w:val="single" w:color="auto" w:sz="4" w:space="0"/>
                    <w:left w:val="single" w:color="auto" w:sz="4" w:space="0"/>
                    <w:bottom w:val="single" w:color="auto" w:sz="4" w:space="0"/>
                    <w:right w:val="single" w:color="auto" w:sz="4" w:space="0"/>
                  </w:tcBorders>
                  <w:vAlign w:val="center"/>
                </w:tcPr>
                <w:p w14:paraId="228CEB7A">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本项目位于工业园区内，不涉及岸线保护区及保留区、河段及湖泊保护区及保留区。</w:t>
                  </w:r>
                </w:p>
              </w:tc>
            </w:tr>
            <w:tr w14:paraId="70C7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108008E6">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6</w:t>
                  </w:r>
                </w:p>
              </w:tc>
              <w:tc>
                <w:tcPr>
                  <w:tcW w:w="4682" w:type="dxa"/>
                  <w:tcBorders>
                    <w:top w:val="single" w:color="auto" w:sz="4" w:space="0"/>
                    <w:left w:val="single" w:color="auto" w:sz="4" w:space="0"/>
                    <w:bottom w:val="single" w:color="auto" w:sz="4" w:space="0"/>
                    <w:right w:val="single" w:color="auto" w:sz="4" w:space="0"/>
                  </w:tcBorders>
                  <w:vAlign w:val="center"/>
                </w:tcPr>
                <w:p w14:paraId="5CF7E549">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禁止未经许可在长江干支流及湖泊新设、改设或扩大排污口。</w:t>
                  </w:r>
                </w:p>
              </w:tc>
              <w:tc>
                <w:tcPr>
                  <w:tcW w:w="2370" w:type="dxa"/>
                  <w:tcBorders>
                    <w:top w:val="single" w:color="auto" w:sz="4" w:space="0"/>
                    <w:left w:val="single" w:color="auto" w:sz="4" w:space="0"/>
                    <w:bottom w:val="single" w:color="auto" w:sz="4" w:space="0"/>
                    <w:right w:val="single" w:color="auto" w:sz="4" w:space="0"/>
                  </w:tcBorders>
                  <w:vAlign w:val="center"/>
                </w:tcPr>
                <w:p w14:paraId="7636590C">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本项目不涉及新设、改设或扩大排污口。</w:t>
                  </w:r>
                </w:p>
              </w:tc>
            </w:tr>
            <w:tr w14:paraId="761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2E758BC1">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7</w:t>
                  </w:r>
                </w:p>
              </w:tc>
              <w:tc>
                <w:tcPr>
                  <w:tcW w:w="4682" w:type="dxa"/>
                  <w:tcBorders>
                    <w:top w:val="single" w:color="auto" w:sz="4" w:space="0"/>
                    <w:left w:val="single" w:color="auto" w:sz="4" w:space="0"/>
                    <w:bottom w:val="single" w:color="auto" w:sz="4" w:space="0"/>
                    <w:right w:val="single" w:color="auto" w:sz="4" w:space="0"/>
                  </w:tcBorders>
                  <w:vAlign w:val="center"/>
                </w:tcPr>
                <w:p w14:paraId="13F8D41E">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禁止在“一江一口两湖七河”和</w:t>
                  </w:r>
                  <w:r>
                    <w:rPr>
                      <w:rFonts w:hint="default"/>
                      <w:color w:val="auto"/>
                      <w:sz w:val="21"/>
                      <w:szCs w:val="21"/>
                      <w:highlight w:val="none"/>
                    </w:rPr>
                    <w:t>322</w:t>
                  </w:r>
                  <w:r>
                    <w:rPr>
                      <w:rFonts w:hint="eastAsia"/>
                      <w:color w:val="auto"/>
                      <w:sz w:val="21"/>
                      <w:szCs w:val="21"/>
                      <w:highlight w:val="none"/>
                    </w:rPr>
                    <w:t>个水生生物保护区开展生产线捕捞。</w:t>
                  </w:r>
                </w:p>
              </w:tc>
              <w:tc>
                <w:tcPr>
                  <w:tcW w:w="2370" w:type="dxa"/>
                  <w:tcBorders>
                    <w:top w:val="single" w:color="auto" w:sz="4" w:space="0"/>
                    <w:left w:val="single" w:color="auto" w:sz="4" w:space="0"/>
                    <w:bottom w:val="single" w:color="auto" w:sz="4" w:space="0"/>
                    <w:right w:val="single" w:color="auto" w:sz="4" w:space="0"/>
                  </w:tcBorders>
                  <w:vAlign w:val="center"/>
                </w:tcPr>
                <w:p w14:paraId="599CE0F1">
                  <w:pPr>
                    <w:keepNext w:val="0"/>
                    <w:keepLines w:val="0"/>
                    <w:suppressLineNumbers w:val="0"/>
                    <w:snapToGrid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rPr>
                    <w:t>本项目不属于该类项目。</w:t>
                  </w:r>
                </w:p>
              </w:tc>
            </w:tr>
            <w:tr w14:paraId="3666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00B4AED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8</w:t>
                  </w:r>
                </w:p>
              </w:tc>
              <w:tc>
                <w:tcPr>
                  <w:tcW w:w="4682" w:type="dxa"/>
                  <w:tcBorders>
                    <w:top w:val="single" w:color="auto" w:sz="4" w:space="0"/>
                    <w:left w:val="single" w:color="auto" w:sz="4" w:space="0"/>
                    <w:bottom w:val="single" w:color="auto" w:sz="4" w:space="0"/>
                    <w:right w:val="single" w:color="auto" w:sz="4" w:space="0"/>
                  </w:tcBorders>
                  <w:vAlign w:val="center"/>
                </w:tcPr>
                <w:p w14:paraId="1B5FB4E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370" w:type="dxa"/>
                  <w:tcBorders>
                    <w:top w:val="single" w:color="auto" w:sz="4" w:space="0"/>
                    <w:left w:val="single" w:color="auto" w:sz="4" w:space="0"/>
                    <w:bottom w:val="single" w:color="auto" w:sz="4" w:space="0"/>
                    <w:right w:val="single" w:color="auto" w:sz="4" w:space="0"/>
                  </w:tcBorders>
                  <w:vAlign w:val="center"/>
                </w:tcPr>
                <w:p w14:paraId="5E328BAE">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r>
            <w:tr w14:paraId="097D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21BCC09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9</w:t>
                  </w:r>
                </w:p>
              </w:tc>
              <w:tc>
                <w:tcPr>
                  <w:tcW w:w="4682" w:type="dxa"/>
                  <w:tcBorders>
                    <w:top w:val="single" w:color="auto" w:sz="4" w:space="0"/>
                    <w:left w:val="single" w:color="auto" w:sz="4" w:space="0"/>
                    <w:bottom w:val="single" w:color="auto" w:sz="4" w:space="0"/>
                    <w:right w:val="single" w:color="auto" w:sz="4" w:space="0"/>
                  </w:tcBorders>
                  <w:vAlign w:val="center"/>
                </w:tcPr>
                <w:p w14:paraId="7E237885">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禁止在合规园区外新建、扩建钢铁、石化、化工、焦化、建材、有色、纸浆造纸等高污染项目。</w:t>
                  </w:r>
                </w:p>
              </w:tc>
              <w:tc>
                <w:tcPr>
                  <w:tcW w:w="2370" w:type="dxa"/>
                  <w:tcBorders>
                    <w:top w:val="single" w:color="auto" w:sz="4" w:space="0"/>
                    <w:left w:val="single" w:color="auto" w:sz="4" w:space="0"/>
                    <w:bottom w:val="single" w:color="auto" w:sz="4" w:space="0"/>
                    <w:right w:val="single" w:color="auto" w:sz="4" w:space="0"/>
                  </w:tcBorders>
                  <w:vAlign w:val="center"/>
                </w:tcPr>
                <w:p w14:paraId="2D623B37">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w:t>
                  </w:r>
                  <w:r>
                    <w:rPr>
                      <w:rFonts w:hint="eastAsia"/>
                      <w:color w:val="auto"/>
                      <w:sz w:val="21"/>
                      <w:szCs w:val="21"/>
                      <w:highlight w:val="none"/>
                      <w:lang w:val="en-US" w:eastAsia="zh-CN"/>
                    </w:rPr>
                    <w:t>位于合规园区内</w:t>
                  </w:r>
                  <w:r>
                    <w:rPr>
                      <w:rFonts w:hint="eastAsia"/>
                      <w:color w:val="auto"/>
                      <w:sz w:val="21"/>
                      <w:szCs w:val="21"/>
                      <w:highlight w:val="none"/>
                    </w:rPr>
                    <w:t>。</w:t>
                  </w:r>
                </w:p>
              </w:tc>
            </w:tr>
            <w:tr w14:paraId="57CA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6F17167A">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10</w:t>
                  </w:r>
                </w:p>
              </w:tc>
              <w:tc>
                <w:tcPr>
                  <w:tcW w:w="4682" w:type="dxa"/>
                  <w:tcBorders>
                    <w:top w:val="single" w:color="auto" w:sz="4" w:space="0"/>
                    <w:left w:val="single" w:color="auto" w:sz="4" w:space="0"/>
                    <w:bottom w:val="single" w:color="auto" w:sz="4" w:space="0"/>
                    <w:right w:val="single" w:color="auto" w:sz="4" w:space="0"/>
                  </w:tcBorders>
                  <w:vAlign w:val="center"/>
                </w:tcPr>
                <w:p w14:paraId="087C1A73">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禁止新建、扩建不符合国家石化、现代煤化工等产业布局规划的项目。</w:t>
                  </w:r>
                </w:p>
              </w:tc>
              <w:tc>
                <w:tcPr>
                  <w:tcW w:w="2370" w:type="dxa"/>
                  <w:tcBorders>
                    <w:top w:val="single" w:color="auto" w:sz="4" w:space="0"/>
                    <w:left w:val="single" w:color="auto" w:sz="4" w:space="0"/>
                    <w:bottom w:val="single" w:color="auto" w:sz="4" w:space="0"/>
                    <w:right w:val="single" w:color="auto" w:sz="4" w:space="0"/>
                  </w:tcBorders>
                  <w:vAlign w:val="center"/>
                </w:tcPr>
                <w:p w14:paraId="3EF8810B">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r>
            <w:tr w14:paraId="2813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336C5796">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11</w:t>
                  </w:r>
                </w:p>
              </w:tc>
              <w:tc>
                <w:tcPr>
                  <w:tcW w:w="4682" w:type="dxa"/>
                  <w:tcBorders>
                    <w:top w:val="single" w:color="auto" w:sz="4" w:space="0"/>
                    <w:left w:val="single" w:color="auto" w:sz="4" w:space="0"/>
                    <w:bottom w:val="single" w:color="auto" w:sz="4" w:space="0"/>
                    <w:right w:val="single" w:color="auto" w:sz="4" w:space="0"/>
                  </w:tcBorders>
                  <w:vAlign w:val="center"/>
                </w:tcPr>
                <w:p w14:paraId="49AFA3DB">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禁止新建、扩建法律法规和相关政策</w:t>
                  </w:r>
                  <w:r>
                    <w:rPr>
                      <w:rFonts w:hint="eastAsia"/>
                      <w:color w:val="auto"/>
                      <w:sz w:val="21"/>
                      <w:szCs w:val="21"/>
                      <w:highlight w:val="none"/>
                      <w:lang w:eastAsia="zh-CN"/>
                    </w:rPr>
                    <w:t>明令禁止</w:t>
                  </w:r>
                  <w:r>
                    <w:rPr>
                      <w:rFonts w:hint="eastAsia"/>
                      <w:color w:val="auto"/>
                      <w:sz w:val="21"/>
                      <w:szCs w:val="21"/>
                      <w:highlight w:val="none"/>
                    </w:rPr>
                    <w:t>的落后产能项目。禁止新建、扩建不符合国家产能置换要求的严重过剩产能行业的项目。禁止新建、扩建不符合要求的高耗能高排放项目。</w:t>
                  </w:r>
                </w:p>
              </w:tc>
              <w:tc>
                <w:tcPr>
                  <w:tcW w:w="2370" w:type="dxa"/>
                  <w:tcBorders>
                    <w:top w:val="single" w:color="auto" w:sz="4" w:space="0"/>
                    <w:left w:val="single" w:color="auto" w:sz="4" w:space="0"/>
                    <w:bottom w:val="single" w:color="auto" w:sz="4" w:space="0"/>
                    <w:right w:val="single" w:color="auto" w:sz="4" w:space="0"/>
                  </w:tcBorders>
                  <w:vAlign w:val="center"/>
                </w:tcPr>
                <w:p w14:paraId="12B33207">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本项目不属于国家产能置换要求严重过剩产能行业的项目。</w:t>
                  </w:r>
                </w:p>
              </w:tc>
            </w:tr>
            <w:tr w14:paraId="789C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dxa"/>
                  <w:tcBorders>
                    <w:top w:val="single" w:color="auto" w:sz="4" w:space="0"/>
                    <w:left w:val="single" w:color="auto" w:sz="4" w:space="0"/>
                    <w:bottom w:val="single" w:color="auto" w:sz="4" w:space="0"/>
                    <w:right w:val="single" w:color="auto" w:sz="4" w:space="0"/>
                  </w:tcBorders>
                  <w:vAlign w:val="center"/>
                </w:tcPr>
                <w:p w14:paraId="515AC0E0">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12</w:t>
                  </w:r>
                </w:p>
              </w:tc>
              <w:tc>
                <w:tcPr>
                  <w:tcW w:w="4682" w:type="dxa"/>
                  <w:tcBorders>
                    <w:top w:val="single" w:color="auto" w:sz="4" w:space="0"/>
                    <w:left w:val="single" w:color="auto" w:sz="4" w:space="0"/>
                    <w:bottom w:val="single" w:color="auto" w:sz="4" w:space="0"/>
                    <w:right w:val="single" w:color="auto" w:sz="4" w:space="0"/>
                  </w:tcBorders>
                  <w:vAlign w:val="center"/>
                </w:tcPr>
                <w:p w14:paraId="73F43C2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法律法规及相关政策文件有更加严格规定的从其规定。</w:t>
                  </w:r>
                </w:p>
              </w:tc>
              <w:tc>
                <w:tcPr>
                  <w:tcW w:w="2370" w:type="dxa"/>
                  <w:tcBorders>
                    <w:top w:val="single" w:color="auto" w:sz="4" w:space="0"/>
                    <w:left w:val="single" w:color="auto" w:sz="4" w:space="0"/>
                    <w:bottom w:val="single" w:color="auto" w:sz="4" w:space="0"/>
                    <w:right w:val="single" w:color="auto" w:sz="4" w:space="0"/>
                  </w:tcBorders>
                  <w:vAlign w:val="center"/>
                </w:tcPr>
                <w:p w14:paraId="5DB97638">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bl>
          <w:p w14:paraId="3BAF63B2">
            <w:pPr>
              <w:keepNext w:val="0"/>
              <w:keepLines w:val="0"/>
              <w:suppressLineNumbers w:val="0"/>
              <w:snapToGrid w:val="0"/>
              <w:spacing w:before="0" w:beforeAutospacing="0" w:after="0" w:afterAutospacing="0"/>
              <w:ind w:left="0" w:right="0"/>
              <w:rPr>
                <w:rFonts w:hint="default"/>
                <w:color w:val="auto"/>
                <w:highlight w:val="none"/>
              </w:rPr>
            </w:pPr>
          </w:p>
          <w:p w14:paraId="6085F510">
            <w:pPr>
              <w:keepNext w:val="0"/>
              <w:keepLines w:val="0"/>
              <w:suppressLineNumbers w:val="0"/>
              <w:snapToGrid w:val="0"/>
              <w:spacing w:before="0" w:beforeAutospacing="0" w:after="0" w:afterAutospacing="0" w:line="400" w:lineRule="exact"/>
              <w:ind w:left="0" w:right="0" w:firstLine="520" w:firstLineChars="200"/>
              <w:rPr>
                <w:rFonts w:hint="eastAsia"/>
                <w:color w:val="auto"/>
                <w:sz w:val="26"/>
                <w:szCs w:val="26"/>
                <w:highlight w:val="none"/>
              </w:rPr>
            </w:pPr>
            <w:r>
              <w:rPr>
                <w:rFonts w:hint="eastAsia"/>
                <w:color w:val="auto"/>
                <w:sz w:val="26"/>
                <w:szCs w:val="26"/>
                <w:highlight w:val="none"/>
              </w:rPr>
              <w:t>综上所述，本项目建设符合《长江经济带发展负面清单指南（试行）》所提出的相关要求。</w:t>
            </w:r>
          </w:p>
          <w:p w14:paraId="70D1EBC7">
            <w:pPr>
              <w:pStyle w:val="74"/>
              <w:keepNext w:val="0"/>
              <w:keepLines w:val="0"/>
              <w:suppressLineNumbers w:val="0"/>
              <w:spacing w:before="0" w:beforeAutospacing="0" w:after="0" w:afterAutospacing="0"/>
              <w:ind w:left="0" w:right="0" w:firstLine="522"/>
              <w:rPr>
                <w:rFonts w:hint="default"/>
                <w:b/>
                <w:color w:val="auto"/>
                <w:highlight w:val="none"/>
              </w:rPr>
            </w:pPr>
            <w:r>
              <w:rPr>
                <w:rFonts w:hint="default"/>
                <w:b/>
                <w:color w:val="auto"/>
                <w:highlight w:val="none"/>
              </w:rPr>
              <w:t>1.3.</w:t>
            </w:r>
            <w:r>
              <w:rPr>
                <w:rFonts w:hint="eastAsia"/>
                <w:b/>
                <w:color w:val="auto"/>
                <w:highlight w:val="none"/>
                <w:lang w:val="en-US" w:eastAsia="zh-CN"/>
              </w:rPr>
              <w:t>4</w:t>
            </w:r>
            <w:r>
              <w:rPr>
                <w:rFonts w:hint="eastAsia"/>
                <w:b/>
                <w:color w:val="auto"/>
                <w:highlight w:val="none"/>
              </w:rPr>
              <w:t>与《四川省、重庆市长江经济带发展负面清单实施细则</w:t>
            </w:r>
            <w:r>
              <w:rPr>
                <w:rFonts w:hint="eastAsia"/>
                <w:b/>
                <w:color w:val="auto"/>
                <w:highlight w:val="none"/>
                <w:lang w:eastAsia="zh-CN"/>
              </w:rPr>
              <w:t>（</w:t>
            </w:r>
            <w:r>
              <w:rPr>
                <w:rFonts w:hint="eastAsia"/>
                <w:b/>
                <w:color w:val="auto"/>
                <w:highlight w:val="none"/>
              </w:rPr>
              <w:t>试行，</w:t>
            </w:r>
            <w:r>
              <w:rPr>
                <w:rFonts w:hint="default"/>
                <w:b/>
                <w:color w:val="auto"/>
                <w:highlight w:val="none"/>
              </w:rPr>
              <w:t>2022</w:t>
            </w:r>
            <w:r>
              <w:rPr>
                <w:rFonts w:hint="eastAsia"/>
                <w:b/>
                <w:color w:val="auto"/>
                <w:highlight w:val="none"/>
              </w:rPr>
              <w:t>年版）》（川长江办</w:t>
            </w:r>
            <w:r>
              <w:rPr>
                <w:rFonts w:hint="eastAsia"/>
                <w:b/>
                <w:color w:val="auto"/>
                <w:highlight w:val="none"/>
                <w:lang w:eastAsia="zh-CN"/>
              </w:rPr>
              <w:t>〔2022〕17号</w:t>
            </w:r>
            <w:r>
              <w:rPr>
                <w:rFonts w:hint="eastAsia"/>
                <w:b/>
                <w:color w:val="auto"/>
                <w:highlight w:val="none"/>
              </w:rPr>
              <w:t>）的符合性</w:t>
            </w:r>
          </w:p>
          <w:p w14:paraId="52EF525E">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本项目与《实施细则》的符合性分析见下表。</w:t>
            </w:r>
          </w:p>
          <w:p w14:paraId="2F7A9D9D">
            <w:pPr>
              <w:pStyle w:val="65"/>
              <w:keepNext w:val="0"/>
              <w:keepLines w:val="0"/>
              <w:suppressLineNumbers w:val="0"/>
              <w:spacing w:before="0" w:beforeAutospacing="0" w:after="0" w:afterAutospacing="0"/>
              <w:ind w:left="0" w:right="0"/>
              <w:rPr>
                <w:rFonts w:hint="default"/>
                <w:color w:val="auto"/>
                <w:highlight w:val="none"/>
              </w:rPr>
            </w:pPr>
          </w:p>
          <w:p w14:paraId="13169F2B">
            <w:pPr>
              <w:keepNext w:val="0"/>
              <w:keepLines w:val="0"/>
              <w:suppressLineNumbers w:val="0"/>
              <w:snapToGrid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rPr>
              <w:t>表</w:t>
            </w:r>
            <w:r>
              <w:rPr>
                <w:rFonts w:hint="default"/>
                <w:color w:val="auto"/>
                <w:sz w:val="26"/>
                <w:szCs w:val="26"/>
                <w:highlight w:val="none"/>
              </w:rPr>
              <w:t>1.</w:t>
            </w:r>
            <w:r>
              <w:rPr>
                <w:rFonts w:hint="eastAsia"/>
                <w:color w:val="auto"/>
                <w:sz w:val="26"/>
                <w:szCs w:val="26"/>
                <w:highlight w:val="none"/>
                <w:lang w:val="en-US" w:eastAsia="zh-CN"/>
              </w:rPr>
              <w:t>3</w:t>
            </w:r>
            <w:r>
              <w:rPr>
                <w:rFonts w:hint="default"/>
                <w:color w:val="auto"/>
                <w:sz w:val="26"/>
                <w:szCs w:val="26"/>
                <w:highlight w:val="none"/>
              </w:rPr>
              <w:t>-</w:t>
            </w:r>
            <w:r>
              <w:rPr>
                <w:rFonts w:hint="eastAsia"/>
                <w:color w:val="auto"/>
                <w:sz w:val="26"/>
                <w:szCs w:val="26"/>
                <w:highlight w:val="none"/>
                <w:lang w:val="en-US" w:eastAsia="zh-CN"/>
              </w:rPr>
              <w:t>3</w:t>
            </w:r>
            <w:r>
              <w:rPr>
                <w:rFonts w:hint="default"/>
                <w:color w:val="auto"/>
                <w:sz w:val="26"/>
                <w:szCs w:val="26"/>
                <w:highlight w:val="none"/>
              </w:rPr>
              <w:t xml:space="preserve"> </w:t>
            </w:r>
            <w:r>
              <w:rPr>
                <w:rFonts w:hint="eastAsia"/>
                <w:color w:val="auto"/>
                <w:sz w:val="26"/>
                <w:szCs w:val="26"/>
                <w:highlight w:val="none"/>
              </w:rPr>
              <w:t>与《四川省、重庆市长江经济带发展负面清单实施细则》符合性</w:t>
            </w:r>
          </w:p>
          <w:tbl>
            <w:tblPr>
              <w:tblStyle w:val="25"/>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5829"/>
              <w:gridCol w:w="1513"/>
              <w:gridCol w:w="908"/>
            </w:tblGrid>
            <w:tr w14:paraId="402C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2A055E41">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5684" w:type="dxa"/>
                  <w:tcBorders>
                    <w:top w:val="single" w:color="auto" w:sz="4" w:space="0"/>
                    <w:left w:val="single" w:color="auto" w:sz="4" w:space="0"/>
                    <w:bottom w:val="single" w:color="auto" w:sz="4" w:space="0"/>
                    <w:right w:val="single" w:color="auto" w:sz="4" w:space="0"/>
                  </w:tcBorders>
                  <w:vAlign w:val="center"/>
                </w:tcPr>
                <w:p w14:paraId="0ECA73F2">
                  <w:pPr>
                    <w:keepNext w:val="0"/>
                    <w:keepLines w:val="0"/>
                    <w:suppressLineNumbers w:val="0"/>
                    <w:snapToGrid w:val="0"/>
                    <w:spacing w:before="0" w:beforeAutospacing="0" w:after="0" w:afterAutospacing="0"/>
                    <w:ind w:left="0" w:right="0" w:firstLine="440"/>
                    <w:jc w:val="center"/>
                    <w:rPr>
                      <w:rFonts w:hint="default"/>
                      <w:color w:val="auto"/>
                      <w:sz w:val="21"/>
                      <w:szCs w:val="21"/>
                      <w:highlight w:val="none"/>
                    </w:rPr>
                  </w:pPr>
                  <w:r>
                    <w:rPr>
                      <w:rFonts w:hint="eastAsia"/>
                      <w:color w:val="auto"/>
                      <w:sz w:val="21"/>
                      <w:szCs w:val="21"/>
                      <w:highlight w:val="none"/>
                    </w:rPr>
                    <w:t>管控内容</w:t>
                  </w:r>
                </w:p>
              </w:tc>
              <w:tc>
                <w:tcPr>
                  <w:tcW w:w="1475" w:type="dxa"/>
                  <w:tcBorders>
                    <w:top w:val="single" w:color="auto" w:sz="4" w:space="0"/>
                    <w:left w:val="single" w:color="auto" w:sz="4" w:space="0"/>
                    <w:bottom w:val="single" w:color="auto" w:sz="4" w:space="0"/>
                    <w:right w:val="single" w:color="auto" w:sz="4" w:space="0"/>
                  </w:tcBorders>
                  <w:vAlign w:val="center"/>
                </w:tcPr>
                <w:p w14:paraId="6ED8490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本项目情况</w:t>
                  </w:r>
                </w:p>
              </w:tc>
              <w:tc>
                <w:tcPr>
                  <w:tcW w:w="885" w:type="dxa"/>
                  <w:tcBorders>
                    <w:top w:val="single" w:color="auto" w:sz="4" w:space="0"/>
                    <w:left w:val="single" w:color="auto" w:sz="4" w:space="0"/>
                    <w:bottom w:val="single" w:color="auto" w:sz="4" w:space="0"/>
                    <w:right w:val="single" w:color="auto" w:sz="4" w:space="0"/>
                  </w:tcBorders>
                  <w:vAlign w:val="center"/>
                </w:tcPr>
                <w:p w14:paraId="775B545A">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符合性</w:t>
                  </w:r>
                </w:p>
              </w:tc>
            </w:tr>
            <w:tr w14:paraId="06BC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E63D15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w:t>
                  </w:r>
                </w:p>
              </w:tc>
              <w:tc>
                <w:tcPr>
                  <w:tcW w:w="5684" w:type="dxa"/>
                  <w:tcBorders>
                    <w:top w:val="single" w:color="auto" w:sz="4" w:space="0"/>
                    <w:left w:val="single" w:color="auto" w:sz="4" w:space="0"/>
                    <w:bottom w:val="single" w:color="auto" w:sz="4" w:space="0"/>
                    <w:right w:val="single" w:color="auto" w:sz="4" w:space="0"/>
                  </w:tcBorders>
                  <w:vAlign w:val="center"/>
                </w:tcPr>
                <w:p w14:paraId="428EFF4E">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第五条</w:t>
                  </w:r>
                  <w:r>
                    <w:rPr>
                      <w:rFonts w:hint="default"/>
                      <w:color w:val="auto"/>
                      <w:sz w:val="21"/>
                      <w:szCs w:val="21"/>
                      <w:highlight w:val="none"/>
                    </w:rPr>
                    <w:t xml:space="preserve"> </w:t>
                  </w:r>
                  <w:r>
                    <w:rPr>
                      <w:rFonts w:hint="eastAsia"/>
                      <w:color w:val="auto"/>
                      <w:sz w:val="21"/>
                      <w:szCs w:val="21"/>
                      <w:highlight w:val="none"/>
                    </w:rPr>
                    <w:t>禁止新建、改建和扩建不符合全国港口布局规划，以及《四川省内河水运发展规划泸州—宜宾—乐山港口群布局规划》《重庆港总体规划</w:t>
                  </w:r>
                  <w:r>
                    <w:rPr>
                      <w:rFonts w:hint="eastAsia"/>
                      <w:color w:val="auto"/>
                      <w:sz w:val="21"/>
                      <w:szCs w:val="21"/>
                      <w:highlight w:val="none"/>
                      <w:lang w:eastAsia="zh-CN"/>
                    </w:rPr>
                    <w:t>（</w:t>
                  </w:r>
                  <w:r>
                    <w:rPr>
                      <w:rFonts w:hint="default"/>
                      <w:color w:val="auto"/>
                      <w:sz w:val="21"/>
                      <w:szCs w:val="21"/>
                      <w:highlight w:val="none"/>
                    </w:rPr>
                    <w:t>2035</w:t>
                  </w:r>
                  <w:r>
                    <w:rPr>
                      <w:rFonts w:hint="eastAsia"/>
                      <w:color w:val="auto"/>
                      <w:sz w:val="21"/>
                      <w:szCs w:val="21"/>
                      <w:highlight w:val="none"/>
                    </w:rPr>
                    <w:t>年</w:t>
                  </w:r>
                  <w:r>
                    <w:rPr>
                      <w:rFonts w:hint="eastAsia"/>
                      <w:color w:val="auto"/>
                      <w:sz w:val="21"/>
                      <w:szCs w:val="21"/>
                      <w:highlight w:val="none"/>
                      <w:lang w:eastAsia="zh-CN"/>
                    </w:rPr>
                    <w:t>）</w:t>
                  </w:r>
                  <w:r>
                    <w:rPr>
                      <w:rFonts w:hint="eastAsia"/>
                      <w:color w:val="auto"/>
                      <w:sz w:val="21"/>
                      <w:szCs w:val="21"/>
                      <w:highlight w:val="none"/>
                    </w:rPr>
                    <w:t>》等省级港口布局规划及市级港口总体规划的码头项目。</w:t>
                  </w:r>
                </w:p>
              </w:tc>
              <w:tc>
                <w:tcPr>
                  <w:tcW w:w="1475" w:type="dxa"/>
                  <w:tcBorders>
                    <w:top w:val="single" w:color="auto" w:sz="4" w:space="0"/>
                    <w:left w:val="single" w:color="auto" w:sz="4" w:space="0"/>
                    <w:bottom w:val="single" w:color="auto" w:sz="4" w:space="0"/>
                    <w:right w:val="single" w:color="auto" w:sz="4" w:space="0"/>
                  </w:tcBorders>
                  <w:vAlign w:val="center"/>
                </w:tcPr>
                <w:p w14:paraId="6EDD3393">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本项目不属于码头项目。</w:t>
                  </w:r>
                </w:p>
              </w:tc>
              <w:tc>
                <w:tcPr>
                  <w:tcW w:w="885" w:type="dxa"/>
                  <w:tcBorders>
                    <w:top w:val="single" w:color="auto" w:sz="4" w:space="0"/>
                    <w:left w:val="single" w:color="auto" w:sz="4" w:space="0"/>
                    <w:bottom w:val="single" w:color="auto" w:sz="4" w:space="0"/>
                    <w:right w:val="single" w:color="auto" w:sz="4" w:space="0"/>
                  </w:tcBorders>
                  <w:vAlign w:val="center"/>
                </w:tcPr>
                <w:p w14:paraId="014ABAB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0BE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1256D1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2</w:t>
                  </w:r>
                </w:p>
              </w:tc>
              <w:tc>
                <w:tcPr>
                  <w:tcW w:w="5684" w:type="dxa"/>
                  <w:tcBorders>
                    <w:top w:val="single" w:color="auto" w:sz="4" w:space="0"/>
                    <w:left w:val="single" w:color="auto" w:sz="4" w:space="0"/>
                    <w:bottom w:val="single" w:color="auto" w:sz="4" w:space="0"/>
                    <w:right w:val="single" w:color="auto" w:sz="4" w:space="0"/>
                  </w:tcBorders>
                  <w:vAlign w:val="center"/>
                </w:tcPr>
                <w:p w14:paraId="2AECB339">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第六条</w:t>
                  </w:r>
                  <w:r>
                    <w:rPr>
                      <w:rFonts w:hint="default"/>
                      <w:color w:val="auto"/>
                      <w:sz w:val="21"/>
                      <w:szCs w:val="21"/>
                      <w:highlight w:val="none"/>
                    </w:rPr>
                    <w:t xml:space="preserve"> </w:t>
                  </w:r>
                  <w:r>
                    <w:rPr>
                      <w:rFonts w:hint="eastAsia"/>
                      <w:color w:val="auto"/>
                      <w:sz w:val="21"/>
                      <w:szCs w:val="21"/>
                      <w:highlight w:val="none"/>
                    </w:rPr>
                    <w:t>禁止新建、改建和扩建不符合《长江干线过江通道布局规划</w:t>
                  </w:r>
                  <w:r>
                    <w:rPr>
                      <w:rFonts w:hint="eastAsia"/>
                      <w:color w:val="auto"/>
                      <w:sz w:val="21"/>
                      <w:szCs w:val="21"/>
                      <w:highlight w:val="none"/>
                      <w:lang w:eastAsia="zh-CN"/>
                    </w:rPr>
                    <w:t>（</w:t>
                  </w:r>
                  <w:r>
                    <w:rPr>
                      <w:rFonts w:hint="default"/>
                      <w:color w:val="auto"/>
                      <w:sz w:val="21"/>
                      <w:szCs w:val="21"/>
                      <w:highlight w:val="none"/>
                    </w:rPr>
                    <w:t>2020</w:t>
                  </w:r>
                  <w:r>
                    <w:rPr>
                      <w:rFonts w:hint="eastAsia"/>
                      <w:color w:val="auto"/>
                      <w:sz w:val="21"/>
                      <w:szCs w:val="21"/>
                      <w:highlight w:val="none"/>
                    </w:rPr>
                    <w:t>—</w:t>
                  </w:r>
                  <w:r>
                    <w:rPr>
                      <w:rFonts w:hint="default"/>
                      <w:color w:val="auto"/>
                      <w:sz w:val="21"/>
                      <w:szCs w:val="21"/>
                      <w:highlight w:val="none"/>
                    </w:rPr>
                    <w:t>2035</w:t>
                  </w:r>
                  <w:r>
                    <w:rPr>
                      <w:rFonts w:hint="eastAsia"/>
                      <w:color w:val="auto"/>
                      <w:sz w:val="21"/>
                      <w:szCs w:val="21"/>
                      <w:highlight w:val="none"/>
                    </w:rPr>
                    <w:t>年</w:t>
                  </w:r>
                  <w:r>
                    <w:rPr>
                      <w:rFonts w:hint="eastAsia"/>
                      <w:color w:val="auto"/>
                      <w:sz w:val="21"/>
                      <w:szCs w:val="21"/>
                      <w:highlight w:val="none"/>
                      <w:lang w:eastAsia="zh-CN"/>
                    </w:rPr>
                    <w:t>）</w:t>
                  </w:r>
                  <w:r>
                    <w:rPr>
                      <w:rFonts w:hint="eastAsia"/>
                      <w:color w:val="auto"/>
                      <w:sz w:val="21"/>
                      <w:szCs w:val="21"/>
                      <w:highlight w:val="none"/>
                    </w:rPr>
                    <w:t>》的过长江通道项目</w:t>
                  </w:r>
                  <w:r>
                    <w:rPr>
                      <w:rFonts w:hint="eastAsia"/>
                      <w:color w:val="auto"/>
                      <w:sz w:val="21"/>
                      <w:szCs w:val="21"/>
                      <w:highlight w:val="none"/>
                      <w:lang w:eastAsia="zh-CN"/>
                    </w:rPr>
                    <w:t>（</w:t>
                  </w:r>
                  <w:r>
                    <w:rPr>
                      <w:rFonts w:hint="eastAsia"/>
                      <w:color w:val="auto"/>
                      <w:sz w:val="21"/>
                      <w:szCs w:val="21"/>
                      <w:highlight w:val="none"/>
                    </w:rPr>
                    <w:t>含桥梁、隧道</w:t>
                  </w:r>
                  <w:r>
                    <w:rPr>
                      <w:rFonts w:hint="eastAsia"/>
                      <w:color w:val="auto"/>
                      <w:sz w:val="21"/>
                      <w:szCs w:val="21"/>
                      <w:highlight w:val="none"/>
                      <w:lang w:eastAsia="zh-CN"/>
                    </w:rPr>
                    <w:t>）</w:t>
                  </w:r>
                  <w:r>
                    <w:rPr>
                      <w:rFonts w:hint="eastAsia"/>
                      <w:color w:val="auto"/>
                      <w:sz w:val="21"/>
                      <w:szCs w:val="21"/>
                      <w:highlight w:val="none"/>
                    </w:rPr>
                    <w:t>，国家发展改革委同意过长江通道线位调整的除外。</w:t>
                  </w:r>
                </w:p>
              </w:tc>
              <w:tc>
                <w:tcPr>
                  <w:tcW w:w="1475" w:type="dxa"/>
                  <w:tcBorders>
                    <w:top w:val="single" w:color="auto" w:sz="4" w:space="0"/>
                    <w:left w:val="single" w:color="auto" w:sz="4" w:space="0"/>
                    <w:bottom w:val="single" w:color="auto" w:sz="4" w:space="0"/>
                    <w:right w:val="single" w:color="auto" w:sz="4" w:space="0"/>
                  </w:tcBorders>
                  <w:vAlign w:val="center"/>
                </w:tcPr>
                <w:p w14:paraId="6362A945">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本项目不属于过江通道项目。</w:t>
                  </w:r>
                </w:p>
              </w:tc>
              <w:tc>
                <w:tcPr>
                  <w:tcW w:w="885" w:type="dxa"/>
                  <w:tcBorders>
                    <w:top w:val="single" w:color="auto" w:sz="4" w:space="0"/>
                    <w:left w:val="single" w:color="auto" w:sz="4" w:space="0"/>
                    <w:bottom w:val="single" w:color="auto" w:sz="4" w:space="0"/>
                    <w:right w:val="single" w:color="auto" w:sz="4" w:space="0"/>
                  </w:tcBorders>
                  <w:vAlign w:val="center"/>
                </w:tcPr>
                <w:p w14:paraId="68F37F4A">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70D7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45A6F3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3</w:t>
                  </w:r>
                </w:p>
              </w:tc>
              <w:tc>
                <w:tcPr>
                  <w:tcW w:w="5684" w:type="dxa"/>
                  <w:tcBorders>
                    <w:top w:val="single" w:color="auto" w:sz="4" w:space="0"/>
                    <w:left w:val="single" w:color="auto" w:sz="4" w:space="0"/>
                    <w:bottom w:val="single" w:color="auto" w:sz="4" w:space="0"/>
                    <w:right w:val="single" w:color="auto" w:sz="4" w:space="0"/>
                  </w:tcBorders>
                  <w:vAlign w:val="center"/>
                </w:tcPr>
                <w:p w14:paraId="2FD57742">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第七条</w:t>
                  </w:r>
                  <w:r>
                    <w:rPr>
                      <w:rFonts w:hint="default"/>
                      <w:color w:val="auto"/>
                      <w:sz w:val="21"/>
                      <w:szCs w:val="21"/>
                      <w:highlight w:val="none"/>
                    </w:rPr>
                    <w:t xml:space="preserve"> </w:t>
                  </w:r>
                  <w:r>
                    <w:rPr>
                      <w:rFonts w:hint="eastAsia"/>
                      <w:color w:val="auto"/>
                      <w:sz w:val="21"/>
                      <w:szCs w:val="21"/>
                      <w:highlight w:val="none"/>
                    </w:rPr>
                    <w:t>禁止在自然保护区核心区、缓冲区的岸线和河段范围内投资建设旅游和生产经营项目自然保护区的内部未分区的，依照核心区和缓冲区的规定管控</w:t>
                  </w:r>
                </w:p>
              </w:tc>
              <w:tc>
                <w:tcPr>
                  <w:tcW w:w="1475" w:type="dxa"/>
                  <w:tcBorders>
                    <w:top w:val="single" w:color="auto" w:sz="4" w:space="0"/>
                    <w:left w:val="single" w:color="auto" w:sz="4" w:space="0"/>
                    <w:bottom w:val="single" w:color="auto" w:sz="4" w:space="0"/>
                    <w:right w:val="single" w:color="auto" w:sz="4" w:space="0"/>
                  </w:tcBorders>
                  <w:vAlign w:val="center"/>
                </w:tcPr>
                <w:p w14:paraId="464C68C1">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本项目不涉及自然保护区。</w:t>
                  </w:r>
                </w:p>
              </w:tc>
              <w:tc>
                <w:tcPr>
                  <w:tcW w:w="885" w:type="dxa"/>
                  <w:tcBorders>
                    <w:top w:val="single" w:color="auto" w:sz="4" w:space="0"/>
                    <w:left w:val="single" w:color="auto" w:sz="4" w:space="0"/>
                    <w:bottom w:val="single" w:color="auto" w:sz="4" w:space="0"/>
                    <w:right w:val="single" w:color="auto" w:sz="4" w:space="0"/>
                  </w:tcBorders>
                  <w:vAlign w:val="center"/>
                </w:tcPr>
                <w:p w14:paraId="0506FECD">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7E8E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ECA68A0">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4</w:t>
                  </w:r>
                </w:p>
              </w:tc>
              <w:tc>
                <w:tcPr>
                  <w:tcW w:w="5684" w:type="dxa"/>
                  <w:tcBorders>
                    <w:top w:val="single" w:color="auto" w:sz="4" w:space="0"/>
                    <w:left w:val="single" w:color="auto" w:sz="4" w:space="0"/>
                    <w:bottom w:val="single" w:color="auto" w:sz="4" w:space="0"/>
                    <w:right w:val="single" w:color="auto" w:sz="4" w:space="0"/>
                  </w:tcBorders>
                  <w:vAlign w:val="center"/>
                </w:tcPr>
                <w:p w14:paraId="202A9A9B">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第八条</w:t>
                  </w:r>
                  <w:r>
                    <w:rPr>
                      <w:rFonts w:hint="default"/>
                      <w:color w:val="auto"/>
                      <w:sz w:val="21"/>
                      <w:szCs w:val="21"/>
                      <w:highlight w:val="none"/>
                    </w:rPr>
                    <w:t xml:space="preserve"> </w:t>
                  </w:r>
                  <w:r>
                    <w:rPr>
                      <w:rFonts w:hint="eastAsia"/>
                      <w:color w:val="auto"/>
                      <w:sz w:val="21"/>
                      <w:szCs w:val="21"/>
                      <w:highlight w:val="none"/>
                    </w:rPr>
                    <w:t>禁止违反风景名胜区规划，在风景名胜区内设立各类开发区。禁止在风景名胜区核心景区的岸线和河段范围内建设宾馆、招待所、培训中心、疗养院以及与风景名胜区资源保护无关的项目。</w:t>
                  </w:r>
                </w:p>
              </w:tc>
              <w:tc>
                <w:tcPr>
                  <w:tcW w:w="1475" w:type="dxa"/>
                  <w:tcBorders>
                    <w:top w:val="single" w:color="auto" w:sz="4" w:space="0"/>
                    <w:left w:val="single" w:color="auto" w:sz="4" w:space="0"/>
                    <w:bottom w:val="single" w:color="auto" w:sz="4" w:space="0"/>
                    <w:right w:val="single" w:color="auto" w:sz="4" w:space="0"/>
                  </w:tcBorders>
                  <w:vAlign w:val="center"/>
                </w:tcPr>
                <w:p w14:paraId="3EE040E8">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本项目不涉及风景名胜区。</w:t>
                  </w:r>
                </w:p>
              </w:tc>
              <w:tc>
                <w:tcPr>
                  <w:tcW w:w="885" w:type="dxa"/>
                  <w:tcBorders>
                    <w:top w:val="single" w:color="auto" w:sz="4" w:space="0"/>
                    <w:left w:val="single" w:color="auto" w:sz="4" w:space="0"/>
                    <w:bottom w:val="single" w:color="auto" w:sz="4" w:space="0"/>
                    <w:right w:val="single" w:color="auto" w:sz="4" w:space="0"/>
                  </w:tcBorders>
                  <w:vAlign w:val="center"/>
                </w:tcPr>
                <w:p w14:paraId="708E47D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42FA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AC27360">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5</w:t>
                  </w:r>
                </w:p>
              </w:tc>
              <w:tc>
                <w:tcPr>
                  <w:tcW w:w="5684" w:type="dxa"/>
                  <w:tcBorders>
                    <w:top w:val="single" w:color="auto" w:sz="4" w:space="0"/>
                    <w:left w:val="single" w:color="auto" w:sz="4" w:space="0"/>
                    <w:bottom w:val="single" w:color="auto" w:sz="4" w:space="0"/>
                    <w:right w:val="single" w:color="auto" w:sz="4" w:space="0"/>
                  </w:tcBorders>
                  <w:vAlign w:val="center"/>
                </w:tcPr>
                <w:p w14:paraId="04318A08">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第九条</w:t>
                  </w:r>
                  <w:r>
                    <w:rPr>
                      <w:rFonts w:hint="default"/>
                      <w:color w:val="auto"/>
                      <w:sz w:val="21"/>
                      <w:szCs w:val="21"/>
                      <w:highlight w:val="none"/>
                    </w:rPr>
                    <w:t xml:space="preserve"> </w:t>
                  </w:r>
                  <w:r>
                    <w:rPr>
                      <w:rFonts w:hint="eastAsia"/>
                      <w:color w:val="auto"/>
                      <w:sz w:val="21"/>
                      <w:szCs w:val="21"/>
                      <w:highlight w:val="none"/>
                    </w:rPr>
                    <w:t>禁止在饮用水水源准保护区的岸线和河段范围内新建、扩建对水体污染严重的建设项目，禁止改建增加排污量的建设项目。</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076F554B">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本项目不涉及饮用水源保护区。</w:t>
                  </w:r>
                </w:p>
              </w:tc>
              <w:tc>
                <w:tcPr>
                  <w:tcW w:w="885" w:type="dxa"/>
                  <w:tcBorders>
                    <w:top w:val="single" w:color="auto" w:sz="4" w:space="0"/>
                    <w:left w:val="single" w:color="auto" w:sz="4" w:space="0"/>
                    <w:bottom w:val="single" w:color="auto" w:sz="4" w:space="0"/>
                    <w:right w:val="single" w:color="auto" w:sz="4" w:space="0"/>
                  </w:tcBorders>
                  <w:vAlign w:val="center"/>
                </w:tcPr>
                <w:p w14:paraId="4AB0560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2299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30664E2">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6</w:t>
                  </w:r>
                </w:p>
              </w:tc>
              <w:tc>
                <w:tcPr>
                  <w:tcW w:w="5684" w:type="dxa"/>
                  <w:tcBorders>
                    <w:top w:val="single" w:color="auto" w:sz="4" w:space="0"/>
                    <w:left w:val="single" w:color="auto" w:sz="4" w:space="0"/>
                    <w:bottom w:val="single" w:color="auto" w:sz="4" w:space="0"/>
                    <w:right w:val="single" w:color="auto" w:sz="4" w:space="0"/>
                  </w:tcBorders>
                  <w:vAlign w:val="center"/>
                </w:tcPr>
                <w:p w14:paraId="5A380A12">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第十条</w:t>
                  </w:r>
                  <w:r>
                    <w:rPr>
                      <w:rFonts w:hint="default"/>
                      <w:color w:val="auto"/>
                      <w:sz w:val="21"/>
                      <w:szCs w:val="21"/>
                      <w:highlight w:val="none"/>
                    </w:rPr>
                    <w:t xml:space="preserve"> </w:t>
                  </w:r>
                  <w:r>
                    <w:rPr>
                      <w:rFonts w:hint="eastAsia"/>
                      <w:color w:val="auto"/>
                      <w:sz w:val="21"/>
                      <w:szCs w:val="21"/>
                      <w:highlight w:val="none"/>
                    </w:rPr>
                    <w:t>饮用水水源二级保护区的岸线和河段范围内，除遵守准保护区规定外，禁止新建、改建、扩建排放污染物的投资建设项目禁止从事对水体有污染的水产养殖等活动。</w:t>
                  </w: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40B9B5E6">
                  <w:pPr>
                    <w:keepNext w:val="0"/>
                    <w:keepLines w:val="0"/>
                    <w:widowControl/>
                    <w:suppressLineNumbers w:val="0"/>
                    <w:spacing w:before="0" w:beforeAutospacing="0" w:after="0" w:afterAutospacing="0"/>
                    <w:ind w:left="0" w:right="0"/>
                    <w:jc w:val="left"/>
                    <w:rPr>
                      <w:rFonts w:hint="default"/>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6F2EADB8">
                  <w:pPr>
                    <w:keepNext w:val="0"/>
                    <w:keepLines w:val="0"/>
                    <w:widowControl/>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2C4D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60DB984">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7</w:t>
                  </w:r>
                </w:p>
              </w:tc>
              <w:tc>
                <w:tcPr>
                  <w:tcW w:w="5684" w:type="dxa"/>
                  <w:tcBorders>
                    <w:top w:val="single" w:color="auto" w:sz="4" w:space="0"/>
                    <w:left w:val="single" w:color="auto" w:sz="4" w:space="0"/>
                    <w:bottom w:val="single" w:color="auto" w:sz="4" w:space="0"/>
                    <w:right w:val="single" w:color="auto" w:sz="4" w:space="0"/>
                  </w:tcBorders>
                  <w:vAlign w:val="center"/>
                </w:tcPr>
                <w:p w14:paraId="7C106BB1">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第十一条</w:t>
                  </w:r>
                  <w:r>
                    <w:rPr>
                      <w:rFonts w:hint="default"/>
                      <w:color w:val="auto"/>
                      <w:sz w:val="21"/>
                      <w:szCs w:val="21"/>
                      <w:highlight w:val="none"/>
                    </w:rPr>
                    <w:t xml:space="preserve"> </w:t>
                  </w:r>
                  <w:r>
                    <w:rPr>
                      <w:rFonts w:hint="eastAsia"/>
                      <w:color w:val="auto"/>
                      <w:sz w:val="21"/>
                      <w:szCs w:val="21"/>
                      <w:highlight w:val="none"/>
                    </w:rPr>
                    <w:t>饮用水水源一级保护区的岸线和河段范围内，除遵守二级保护区规定外，禁止新建、改建、扩建与供水设施和保护水源无关的项目，以及网箱养殖、畜禽养殖、旅游等可能污染饮用水水体的投资建设项目。</w:t>
                  </w: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11A50F32">
                  <w:pPr>
                    <w:keepNext w:val="0"/>
                    <w:keepLines w:val="0"/>
                    <w:widowControl/>
                    <w:suppressLineNumbers w:val="0"/>
                    <w:spacing w:before="0" w:beforeAutospacing="0" w:after="0" w:afterAutospacing="0"/>
                    <w:ind w:left="0" w:right="0"/>
                    <w:jc w:val="left"/>
                    <w:rPr>
                      <w:rFonts w:hint="default"/>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F4261F4">
                  <w:pPr>
                    <w:keepNext w:val="0"/>
                    <w:keepLines w:val="0"/>
                    <w:widowControl/>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7442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CB417E3">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8</w:t>
                  </w:r>
                </w:p>
              </w:tc>
              <w:tc>
                <w:tcPr>
                  <w:tcW w:w="5684" w:type="dxa"/>
                  <w:tcBorders>
                    <w:top w:val="single" w:color="auto" w:sz="4" w:space="0"/>
                    <w:left w:val="single" w:color="auto" w:sz="4" w:space="0"/>
                    <w:bottom w:val="single" w:color="auto" w:sz="4" w:space="0"/>
                    <w:right w:val="single" w:color="auto" w:sz="4" w:space="0"/>
                  </w:tcBorders>
                  <w:vAlign w:val="center"/>
                </w:tcPr>
                <w:p w14:paraId="211D75A2">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第十二条</w:t>
                  </w:r>
                  <w:r>
                    <w:rPr>
                      <w:rFonts w:hint="default"/>
                      <w:color w:val="auto"/>
                      <w:sz w:val="21"/>
                      <w:szCs w:val="21"/>
                      <w:highlight w:val="none"/>
                    </w:rPr>
                    <w:t xml:space="preserve"> </w:t>
                  </w:r>
                  <w:r>
                    <w:rPr>
                      <w:rFonts w:hint="eastAsia"/>
                      <w:color w:val="auto"/>
                      <w:sz w:val="21"/>
                      <w:szCs w:val="21"/>
                      <w:highlight w:val="none"/>
                    </w:rPr>
                    <w:t>禁止在水产种质资源保护区岸线和河段范围内新建围湖造田、围湖造地或挖沙采石等投资建设项目。</w:t>
                  </w:r>
                </w:p>
              </w:tc>
              <w:tc>
                <w:tcPr>
                  <w:tcW w:w="1475" w:type="dxa"/>
                  <w:vMerge w:val="restart"/>
                  <w:tcBorders>
                    <w:top w:val="single" w:color="auto" w:sz="4" w:space="0"/>
                    <w:left w:val="single" w:color="auto" w:sz="4" w:space="0"/>
                    <w:bottom w:val="single" w:color="auto" w:sz="4" w:space="0"/>
                    <w:right w:val="single" w:color="auto" w:sz="4" w:space="0"/>
                  </w:tcBorders>
                  <w:vAlign w:val="center"/>
                </w:tcPr>
                <w:p w14:paraId="0995A53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本项目不涉及国家湿地公园、水产种质资源保护区。</w:t>
                  </w:r>
                </w:p>
              </w:tc>
              <w:tc>
                <w:tcPr>
                  <w:tcW w:w="885" w:type="dxa"/>
                  <w:tcBorders>
                    <w:top w:val="single" w:color="auto" w:sz="4" w:space="0"/>
                    <w:left w:val="single" w:color="auto" w:sz="4" w:space="0"/>
                    <w:bottom w:val="single" w:color="auto" w:sz="4" w:space="0"/>
                    <w:right w:val="single" w:color="auto" w:sz="4" w:space="0"/>
                  </w:tcBorders>
                  <w:vAlign w:val="center"/>
                </w:tcPr>
                <w:p w14:paraId="167D41A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7518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1823E86C">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9</w:t>
                  </w:r>
                </w:p>
              </w:tc>
              <w:tc>
                <w:tcPr>
                  <w:tcW w:w="5684" w:type="dxa"/>
                  <w:tcBorders>
                    <w:top w:val="single" w:color="auto" w:sz="4" w:space="0"/>
                    <w:left w:val="single" w:color="auto" w:sz="4" w:space="0"/>
                    <w:bottom w:val="single" w:color="auto" w:sz="4" w:space="0"/>
                    <w:right w:val="single" w:color="auto" w:sz="4" w:space="0"/>
                  </w:tcBorders>
                  <w:vAlign w:val="center"/>
                </w:tcPr>
                <w:p w14:paraId="3C5A6B6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第十三条</w:t>
                  </w:r>
                  <w:r>
                    <w:rPr>
                      <w:rFonts w:hint="default"/>
                      <w:color w:val="auto"/>
                      <w:sz w:val="21"/>
                      <w:szCs w:val="21"/>
                      <w:highlight w:val="none"/>
                    </w:rPr>
                    <w:t xml:space="preserve"> </w:t>
                  </w:r>
                  <w:r>
                    <w:rPr>
                      <w:rFonts w:hint="eastAsia"/>
                      <w:color w:val="auto"/>
                      <w:sz w:val="21"/>
                      <w:szCs w:val="21"/>
                      <w:highlight w:val="none"/>
                    </w:rPr>
                    <w:t>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w:t>
                  </w: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2FC69EBC">
                  <w:pPr>
                    <w:keepNext w:val="0"/>
                    <w:keepLines w:val="0"/>
                    <w:widowControl/>
                    <w:suppressLineNumbers w:val="0"/>
                    <w:spacing w:before="0" w:beforeAutospacing="0" w:after="0" w:afterAutospacing="0"/>
                    <w:ind w:left="0" w:right="0"/>
                    <w:jc w:val="left"/>
                    <w:rPr>
                      <w:rFonts w:hint="default"/>
                      <w:color w:val="auto"/>
                      <w:sz w:val="21"/>
                      <w:szCs w:val="21"/>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5A9CCA97">
                  <w:pPr>
                    <w:keepNext w:val="0"/>
                    <w:keepLines w:val="0"/>
                    <w:widowControl/>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6626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098BF6A">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10</w:t>
                  </w:r>
                </w:p>
              </w:tc>
              <w:tc>
                <w:tcPr>
                  <w:tcW w:w="5684" w:type="dxa"/>
                  <w:tcBorders>
                    <w:top w:val="single" w:color="auto" w:sz="4" w:space="0"/>
                    <w:left w:val="single" w:color="auto" w:sz="4" w:space="0"/>
                    <w:bottom w:val="single" w:color="auto" w:sz="4" w:space="0"/>
                    <w:right w:val="single" w:color="auto" w:sz="4" w:space="0"/>
                  </w:tcBorders>
                  <w:vAlign w:val="center"/>
                </w:tcPr>
                <w:p w14:paraId="0C9A3DDA">
                  <w:pPr>
                    <w:keepNext w:val="0"/>
                    <w:keepLines w:val="0"/>
                    <w:suppressLineNumbers w:val="0"/>
                    <w:tabs>
                      <w:tab w:val="left" w:pos="50"/>
                    </w:tabs>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第十四条</w:t>
                  </w:r>
                  <w:r>
                    <w:rPr>
                      <w:rFonts w:hint="default"/>
                      <w:color w:val="auto"/>
                      <w:sz w:val="21"/>
                      <w:szCs w:val="21"/>
                      <w:highlight w:val="none"/>
                    </w:rPr>
                    <w:t xml:space="preserve"> </w:t>
                  </w:r>
                  <w:r>
                    <w:rPr>
                      <w:rFonts w:hint="eastAsia"/>
                      <w:color w:val="auto"/>
                      <w:sz w:val="21"/>
                      <w:szCs w:val="21"/>
                      <w:highlight w:val="none"/>
                    </w:rPr>
                    <w:t>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475" w:type="dxa"/>
                  <w:tcBorders>
                    <w:top w:val="single" w:color="auto" w:sz="4" w:space="0"/>
                    <w:left w:val="single" w:color="auto" w:sz="4" w:space="0"/>
                    <w:bottom w:val="single" w:color="auto" w:sz="4" w:space="0"/>
                    <w:right w:val="single" w:color="auto" w:sz="4" w:space="0"/>
                  </w:tcBorders>
                  <w:vAlign w:val="center"/>
                </w:tcPr>
                <w:p w14:paraId="1A36DFF3">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本项目不涉及岸线保护区及保留区。</w:t>
                  </w:r>
                </w:p>
              </w:tc>
              <w:tc>
                <w:tcPr>
                  <w:tcW w:w="885" w:type="dxa"/>
                  <w:tcBorders>
                    <w:top w:val="single" w:color="auto" w:sz="4" w:space="0"/>
                    <w:left w:val="single" w:color="auto" w:sz="4" w:space="0"/>
                    <w:bottom w:val="single" w:color="auto" w:sz="4" w:space="0"/>
                    <w:right w:val="single" w:color="auto" w:sz="4" w:space="0"/>
                  </w:tcBorders>
                  <w:vAlign w:val="center"/>
                </w:tcPr>
                <w:p w14:paraId="4F7BD59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217D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DEB11F1">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11</w:t>
                  </w:r>
                </w:p>
              </w:tc>
              <w:tc>
                <w:tcPr>
                  <w:tcW w:w="5684" w:type="dxa"/>
                  <w:tcBorders>
                    <w:top w:val="single" w:color="auto" w:sz="4" w:space="0"/>
                    <w:left w:val="single" w:color="auto" w:sz="4" w:space="0"/>
                    <w:bottom w:val="single" w:color="auto" w:sz="4" w:space="0"/>
                    <w:right w:val="single" w:color="auto" w:sz="4" w:space="0"/>
                  </w:tcBorders>
                  <w:vAlign w:val="center"/>
                </w:tcPr>
                <w:p w14:paraId="1996B23B">
                  <w:pPr>
                    <w:keepNext w:val="0"/>
                    <w:keepLines w:val="0"/>
                    <w:suppressLineNumbers w:val="0"/>
                    <w:tabs>
                      <w:tab w:val="left" w:pos="50"/>
                    </w:tabs>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第十五条</w:t>
                  </w:r>
                  <w:r>
                    <w:rPr>
                      <w:rFonts w:hint="default"/>
                      <w:color w:val="auto"/>
                      <w:sz w:val="21"/>
                      <w:szCs w:val="21"/>
                      <w:highlight w:val="none"/>
                    </w:rPr>
                    <w:t xml:space="preserve"> </w:t>
                  </w:r>
                  <w:r>
                    <w:rPr>
                      <w:rFonts w:hint="eastAsia"/>
                      <w:color w:val="auto"/>
                      <w:sz w:val="21"/>
                      <w:szCs w:val="21"/>
                      <w:highlight w:val="none"/>
                    </w:rPr>
                    <w:t>禁止在《全国重要江河湖泊水功能区划》划定的河段及湖泊保护区、保留区内投资建设不利于水资源及自然生态保护的项目。</w:t>
                  </w:r>
                </w:p>
              </w:tc>
              <w:tc>
                <w:tcPr>
                  <w:tcW w:w="1475" w:type="dxa"/>
                  <w:tcBorders>
                    <w:top w:val="single" w:color="auto" w:sz="4" w:space="0"/>
                    <w:left w:val="single" w:color="auto" w:sz="4" w:space="0"/>
                    <w:bottom w:val="single" w:color="auto" w:sz="4" w:space="0"/>
                    <w:right w:val="single" w:color="auto" w:sz="4" w:space="0"/>
                  </w:tcBorders>
                  <w:vAlign w:val="center"/>
                </w:tcPr>
                <w:p w14:paraId="463581EA">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本项目不涉及河段及湖泊保护区及保留区。</w:t>
                  </w:r>
                </w:p>
              </w:tc>
              <w:tc>
                <w:tcPr>
                  <w:tcW w:w="885" w:type="dxa"/>
                  <w:tcBorders>
                    <w:top w:val="single" w:color="auto" w:sz="4" w:space="0"/>
                    <w:left w:val="single" w:color="auto" w:sz="4" w:space="0"/>
                    <w:bottom w:val="single" w:color="auto" w:sz="4" w:space="0"/>
                    <w:right w:val="single" w:color="auto" w:sz="4" w:space="0"/>
                  </w:tcBorders>
                  <w:vAlign w:val="center"/>
                </w:tcPr>
                <w:p w14:paraId="61DBE96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31FC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8E1A5F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12</w:t>
                  </w:r>
                </w:p>
              </w:tc>
              <w:tc>
                <w:tcPr>
                  <w:tcW w:w="5684" w:type="dxa"/>
                  <w:tcBorders>
                    <w:top w:val="single" w:color="auto" w:sz="4" w:space="0"/>
                    <w:left w:val="single" w:color="auto" w:sz="4" w:space="0"/>
                    <w:bottom w:val="single" w:color="auto" w:sz="4" w:space="0"/>
                    <w:right w:val="single" w:color="auto" w:sz="4" w:space="0"/>
                  </w:tcBorders>
                  <w:vAlign w:val="center"/>
                </w:tcPr>
                <w:p w14:paraId="4812E44F">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第十六条</w:t>
                  </w:r>
                  <w:r>
                    <w:rPr>
                      <w:rFonts w:hint="default"/>
                      <w:color w:val="auto"/>
                      <w:sz w:val="21"/>
                      <w:szCs w:val="21"/>
                      <w:highlight w:val="none"/>
                    </w:rPr>
                    <w:t xml:space="preserve"> </w:t>
                  </w:r>
                  <w:r>
                    <w:rPr>
                      <w:rFonts w:hint="eastAsia"/>
                      <w:color w:val="auto"/>
                      <w:sz w:val="21"/>
                      <w:szCs w:val="21"/>
                      <w:highlight w:val="none"/>
                    </w:rPr>
                    <w:t>禁止在长江流域江河、湖泊新设、改设或者扩大排污口，经有管辖权的生态环境主管部门或者长江流域生态环境监督管理机构同意的除外。</w:t>
                  </w:r>
                </w:p>
              </w:tc>
              <w:tc>
                <w:tcPr>
                  <w:tcW w:w="1475" w:type="dxa"/>
                  <w:tcBorders>
                    <w:top w:val="single" w:color="auto" w:sz="4" w:space="0"/>
                    <w:left w:val="single" w:color="auto" w:sz="4" w:space="0"/>
                    <w:bottom w:val="single" w:color="auto" w:sz="4" w:space="0"/>
                    <w:right w:val="single" w:color="auto" w:sz="4" w:space="0"/>
                  </w:tcBorders>
                  <w:vAlign w:val="center"/>
                </w:tcPr>
                <w:p w14:paraId="5E711F43">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本项目不涉及新设、改设或者扩大排污口。</w:t>
                  </w:r>
                </w:p>
              </w:tc>
              <w:tc>
                <w:tcPr>
                  <w:tcW w:w="885" w:type="dxa"/>
                  <w:tcBorders>
                    <w:top w:val="single" w:color="auto" w:sz="4" w:space="0"/>
                    <w:left w:val="single" w:color="auto" w:sz="4" w:space="0"/>
                    <w:bottom w:val="single" w:color="auto" w:sz="4" w:space="0"/>
                    <w:right w:val="single" w:color="auto" w:sz="4" w:space="0"/>
                  </w:tcBorders>
                  <w:vAlign w:val="center"/>
                </w:tcPr>
                <w:p w14:paraId="442DBBB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187B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1B07AC2">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13</w:t>
                  </w:r>
                </w:p>
              </w:tc>
              <w:tc>
                <w:tcPr>
                  <w:tcW w:w="5684" w:type="dxa"/>
                  <w:tcBorders>
                    <w:top w:val="single" w:color="auto" w:sz="4" w:space="0"/>
                    <w:left w:val="single" w:color="auto" w:sz="4" w:space="0"/>
                    <w:bottom w:val="single" w:color="auto" w:sz="4" w:space="0"/>
                    <w:right w:val="single" w:color="auto" w:sz="4" w:space="0"/>
                  </w:tcBorders>
                  <w:vAlign w:val="center"/>
                </w:tcPr>
                <w:p w14:paraId="508D1FC8">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第十七条</w:t>
                  </w:r>
                  <w:r>
                    <w:rPr>
                      <w:rFonts w:hint="default"/>
                      <w:color w:val="auto"/>
                      <w:sz w:val="21"/>
                      <w:szCs w:val="21"/>
                      <w:highlight w:val="none"/>
                    </w:rPr>
                    <w:t xml:space="preserve"> </w:t>
                  </w:r>
                  <w:r>
                    <w:rPr>
                      <w:rFonts w:hint="eastAsia"/>
                      <w:color w:val="auto"/>
                      <w:sz w:val="21"/>
                      <w:szCs w:val="21"/>
                      <w:highlight w:val="none"/>
                    </w:rPr>
                    <w:t>禁止在长江干流、大渡河、岷江、赤水河、沱江、嘉陵江、乌江、汉江和</w:t>
                  </w:r>
                  <w:r>
                    <w:rPr>
                      <w:rFonts w:hint="default"/>
                      <w:color w:val="auto"/>
                      <w:sz w:val="21"/>
                      <w:szCs w:val="21"/>
                      <w:highlight w:val="none"/>
                    </w:rPr>
                    <w:t>51</w:t>
                  </w:r>
                  <w:r>
                    <w:rPr>
                      <w:rFonts w:hint="eastAsia"/>
                      <w:color w:val="auto"/>
                      <w:sz w:val="21"/>
                      <w:szCs w:val="21"/>
                      <w:highlight w:val="none"/>
                    </w:rPr>
                    <w:t>个（四川省</w:t>
                  </w:r>
                  <w:r>
                    <w:rPr>
                      <w:rFonts w:hint="default"/>
                      <w:color w:val="auto"/>
                      <w:sz w:val="21"/>
                      <w:szCs w:val="21"/>
                      <w:highlight w:val="none"/>
                    </w:rPr>
                    <w:t>45</w:t>
                  </w:r>
                  <w:r>
                    <w:rPr>
                      <w:rFonts w:hint="eastAsia"/>
                      <w:color w:val="auto"/>
                      <w:sz w:val="21"/>
                      <w:szCs w:val="21"/>
                      <w:highlight w:val="none"/>
                    </w:rPr>
                    <w:t>个、重庆市</w:t>
                  </w:r>
                  <w:r>
                    <w:rPr>
                      <w:rFonts w:hint="default"/>
                      <w:color w:val="auto"/>
                      <w:sz w:val="21"/>
                      <w:szCs w:val="21"/>
                      <w:highlight w:val="none"/>
                    </w:rPr>
                    <w:t>6</w:t>
                  </w:r>
                  <w:r>
                    <w:rPr>
                      <w:rFonts w:hint="eastAsia"/>
                      <w:color w:val="auto"/>
                      <w:sz w:val="21"/>
                      <w:szCs w:val="21"/>
                      <w:highlight w:val="none"/>
                    </w:rPr>
                    <w:t>个</w:t>
                  </w:r>
                  <w:r>
                    <w:rPr>
                      <w:rFonts w:hint="eastAsia"/>
                      <w:color w:val="auto"/>
                      <w:sz w:val="21"/>
                      <w:szCs w:val="21"/>
                      <w:highlight w:val="none"/>
                      <w:lang w:eastAsia="zh-CN"/>
                    </w:rPr>
                    <w:t>）</w:t>
                  </w:r>
                  <w:r>
                    <w:rPr>
                      <w:rFonts w:hint="eastAsia"/>
                      <w:color w:val="auto"/>
                      <w:sz w:val="21"/>
                      <w:szCs w:val="21"/>
                      <w:highlight w:val="none"/>
                    </w:rPr>
                    <w:t>水生生物保护区开展生产性捕捞。</w:t>
                  </w:r>
                </w:p>
              </w:tc>
              <w:tc>
                <w:tcPr>
                  <w:tcW w:w="1475" w:type="dxa"/>
                  <w:tcBorders>
                    <w:top w:val="single" w:color="auto" w:sz="4" w:space="0"/>
                    <w:left w:val="single" w:color="auto" w:sz="4" w:space="0"/>
                    <w:bottom w:val="single" w:color="auto" w:sz="4" w:space="0"/>
                    <w:right w:val="single" w:color="auto" w:sz="4" w:space="0"/>
                  </w:tcBorders>
                  <w:vAlign w:val="center"/>
                </w:tcPr>
                <w:p w14:paraId="358913C6">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7B3D5CD1">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6E79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512E24DF">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14</w:t>
                  </w:r>
                </w:p>
              </w:tc>
              <w:tc>
                <w:tcPr>
                  <w:tcW w:w="5684" w:type="dxa"/>
                  <w:tcBorders>
                    <w:top w:val="single" w:color="auto" w:sz="4" w:space="0"/>
                    <w:left w:val="single" w:color="auto" w:sz="4" w:space="0"/>
                    <w:bottom w:val="single" w:color="auto" w:sz="4" w:space="0"/>
                    <w:right w:val="single" w:color="auto" w:sz="4" w:space="0"/>
                  </w:tcBorders>
                  <w:vAlign w:val="center"/>
                </w:tcPr>
                <w:p w14:paraId="53AE7A74">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第十八条</w:t>
                  </w:r>
                  <w:r>
                    <w:rPr>
                      <w:rFonts w:hint="default"/>
                      <w:color w:val="auto"/>
                      <w:sz w:val="21"/>
                      <w:szCs w:val="21"/>
                      <w:highlight w:val="none"/>
                    </w:rPr>
                    <w:t xml:space="preserve"> </w:t>
                  </w:r>
                  <w:r>
                    <w:rPr>
                      <w:rFonts w:hint="eastAsia"/>
                      <w:color w:val="auto"/>
                      <w:sz w:val="21"/>
                      <w:szCs w:val="21"/>
                      <w:highlight w:val="none"/>
                    </w:rPr>
                    <w:t>禁止在长江干支流、重要湖泊岸线一公里范围内新建、扩建化工园区和化工项目。</w:t>
                  </w:r>
                </w:p>
              </w:tc>
              <w:tc>
                <w:tcPr>
                  <w:tcW w:w="1475" w:type="dxa"/>
                  <w:tcBorders>
                    <w:top w:val="single" w:color="auto" w:sz="4" w:space="0"/>
                    <w:left w:val="single" w:color="auto" w:sz="4" w:space="0"/>
                    <w:bottom w:val="single" w:color="auto" w:sz="4" w:space="0"/>
                    <w:right w:val="single" w:color="auto" w:sz="4" w:space="0"/>
                  </w:tcBorders>
                  <w:vAlign w:val="center"/>
                </w:tcPr>
                <w:p w14:paraId="6E60F36C">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423E200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40D0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CA1334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15</w:t>
                  </w:r>
                </w:p>
              </w:tc>
              <w:tc>
                <w:tcPr>
                  <w:tcW w:w="5684" w:type="dxa"/>
                  <w:tcBorders>
                    <w:top w:val="single" w:color="auto" w:sz="4" w:space="0"/>
                    <w:left w:val="single" w:color="auto" w:sz="4" w:space="0"/>
                    <w:bottom w:val="single" w:color="auto" w:sz="4" w:space="0"/>
                    <w:right w:val="single" w:color="auto" w:sz="4" w:space="0"/>
                  </w:tcBorders>
                  <w:vAlign w:val="center"/>
                </w:tcPr>
                <w:p w14:paraId="0493289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第十九条</w:t>
                  </w:r>
                  <w:r>
                    <w:rPr>
                      <w:rFonts w:hint="default"/>
                      <w:color w:val="auto"/>
                      <w:sz w:val="21"/>
                      <w:szCs w:val="21"/>
                      <w:highlight w:val="none"/>
                    </w:rPr>
                    <w:t xml:space="preserve"> </w:t>
                  </w:r>
                  <w:r>
                    <w:rPr>
                      <w:rFonts w:hint="eastAsia"/>
                      <w:color w:val="auto"/>
                      <w:sz w:val="21"/>
                      <w:szCs w:val="21"/>
                      <w:highlight w:val="none"/>
                    </w:rPr>
                    <w:t>禁止在长江干流岸线三公里范围内和重要支流岸线一公里范围内新建、改建、扩建尾矿库、冶炼渣库和磷石膏库，以提升安全、生态环境保护水平为目的的改建除外。</w:t>
                  </w:r>
                </w:p>
              </w:tc>
              <w:tc>
                <w:tcPr>
                  <w:tcW w:w="1475" w:type="dxa"/>
                  <w:tcBorders>
                    <w:top w:val="single" w:color="auto" w:sz="4" w:space="0"/>
                    <w:left w:val="single" w:color="auto" w:sz="4" w:space="0"/>
                    <w:bottom w:val="single" w:color="auto" w:sz="4" w:space="0"/>
                    <w:right w:val="single" w:color="auto" w:sz="4" w:space="0"/>
                  </w:tcBorders>
                  <w:vAlign w:val="center"/>
                </w:tcPr>
                <w:p w14:paraId="65BFF500">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05B34B8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67C6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49364BC2">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16</w:t>
                  </w:r>
                </w:p>
              </w:tc>
              <w:tc>
                <w:tcPr>
                  <w:tcW w:w="5684" w:type="dxa"/>
                  <w:tcBorders>
                    <w:top w:val="single" w:color="auto" w:sz="4" w:space="0"/>
                    <w:left w:val="single" w:color="auto" w:sz="4" w:space="0"/>
                    <w:bottom w:val="single" w:color="auto" w:sz="4" w:space="0"/>
                    <w:right w:val="single" w:color="auto" w:sz="4" w:space="0"/>
                  </w:tcBorders>
                  <w:vAlign w:val="center"/>
                </w:tcPr>
                <w:p w14:paraId="5FD1BD26">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第二十条</w:t>
                  </w:r>
                  <w:r>
                    <w:rPr>
                      <w:rFonts w:hint="default"/>
                      <w:color w:val="auto"/>
                      <w:sz w:val="21"/>
                      <w:szCs w:val="21"/>
                      <w:highlight w:val="none"/>
                    </w:rPr>
                    <w:t xml:space="preserve"> </w:t>
                  </w:r>
                  <w:r>
                    <w:rPr>
                      <w:rFonts w:hint="eastAsia"/>
                      <w:color w:val="auto"/>
                      <w:sz w:val="21"/>
                      <w:szCs w:val="21"/>
                      <w:highlight w:val="none"/>
                    </w:rPr>
                    <w:t>禁止在生态保护红线区域、永久基本农田集中区域和其他需要特别保护的区域内选址建设尾矿库、冶炼渣库、磷石膏库。</w:t>
                  </w:r>
                </w:p>
              </w:tc>
              <w:tc>
                <w:tcPr>
                  <w:tcW w:w="1475" w:type="dxa"/>
                  <w:tcBorders>
                    <w:top w:val="single" w:color="auto" w:sz="4" w:space="0"/>
                    <w:left w:val="single" w:color="auto" w:sz="4" w:space="0"/>
                    <w:bottom w:val="single" w:color="auto" w:sz="4" w:space="0"/>
                    <w:right w:val="single" w:color="auto" w:sz="4" w:space="0"/>
                  </w:tcBorders>
                  <w:vAlign w:val="center"/>
                </w:tcPr>
                <w:p w14:paraId="07BC8465">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1D1B119E">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1179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600EDA58">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17</w:t>
                  </w:r>
                </w:p>
              </w:tc>
              <w:tc>
                <w:tcPr>
                  <w:tcW w:w="5684" w:type="dxa"/>
                  <w:tcBorders>
                    <w:top w:val="single" w:color="auto" w:sz="4" w:space="0"/>
                    <w:left w:val="single" w:color="auto" w:sz="4" w:space="0"/>
                    <w:bottom w:val="single" w:color="auto" w:sz="4" w:space="0"/>
                    <w:right w:val="single" w:color="auto" w:sz="4" w:space="0"/>
                  </w:tcBorders>
                  <w:vAlign w:val="center"/>
                </w:tcPr>
                <w:p w14:paraId="23D21ECA">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第二十一条</w:t>
                  </w:r>
                  <w:r>
                    <w:rPr>
                      <w:rFonts w:hint="default"/>
                      <w:color w:val="auto"/>
                      <w:sz w:val="21"/>
                      <w:szCs w:val="21"/>
                      <w:highlight w:val="none"/>
                    </w:rPr>
                    <w:t xml:space="preserve"> </w:t>
                  </w:r>
                  <w:r>
                    <w:rPr>
                      <w:rFonts w:hint="eastAsia"/>
                      <w:color w:val="auto"/>
                      <w:sz w:val="21"/>
                      <w:szCs w:val="21"/>
                      <w:highlight w:val="none"/>
                    </w:rPr>
                    <w:t>禁止在合规园区外新建、扩建钢铁、石化、化工、焦化、建材、有色、纸浆造纸等高污染项目。</w:t>
                  </w:r>
                </w:p>
              </w:tc>
              <w:tc>
                <w:tcPr>
                  <w:tcW w:w="1475" w:type="dxa"/>
                  <w:tcBorders>
                    <w:top w:val="single" w:color="auto" w:sz="4" w:space="0"/>
                    <w:left w:val="single" w:color="auto" w:sz="4" w:space="0"/>
                    <w:bottom w:val="single" w:color="auto" w:sz="4" w:space="0"/>
                    <w:right w:val="single" w:color="auto" w:sz="4" w:space="0"/>
                  </w:tcBorders>
                  <w:vAlign w:val="center"/>
                </w:tcPr>
                <w:p w14:paraId="7F062B7F">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w:t>
                  </w:r>
                  <w:r>
                    <w:rPr>
                      <w:rFonts w:hint="eastAsia"/>
                      <w:color w:val="auto"/>
                      <w:sz w:val="21"/>
                      <w:szCs w:val="21"/>
                      <w:highlight w:val="none"/>
                      <w:lang w:val="en-US" w:eastAsia="zh-CN"/>
                    </w:rPr>
                    <w:t>位于合规园区内</w:t>
                  </w:r>
                  <w:r>
                    <w:rPr>
                      <w:rFonts w:hint="eastAsia"/>
                      <w:color w:val="auto"/>
                      <w:sz w:val="21"/>
                      <w:szCs w:val="21"/>
                      <w:highlight w:val="none"/>
                    </w:rPr>
                    <w:t>。</w:t>
                  </w:r>
                </w:p>
              </w:tc>
              <w:tc>
                <w:tcPr>
                  <w:tcW w:w="885" w:type="dxa"/>
                  <w:tcBorders>
                    <w:top w:val="single" w:color="auto" w:sz="4" w:space="0"/>
                    <w:left w:val="single" w:color="auto" w:sz="4" w:space="0"/>
                    <w:bottom w:val="single" w:color="auto" w:sz="4" w:space="0"/>
                    <w:right w:val="single" w:color="auto" w:sz="4" w:space="0"/>
                  </w:tcBorders>
                  <w:vAlign w:val="center"/>
                </w:tcPr>
                <w:p w14:paraId="4E18BE4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6A32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3FA2FF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18</w:t>
                  </w:r>
                </w:p>
              </w:tc>
              <w:tc>
                <w:tcPr>
                  <w:tcW w:w="5684" w:type="dxa"/>
                  <w:tcBorders>
                    <w:top w:val="single" w:color="auto" w:sz="4" w:space="0"/>
                    <w:left w:val="single" w:color="auto" w:sz="4" w:space="0"/>
                    <w:bottom w:val="single" w:color="auto" w:sz="4" w:space="0"/>
                    <w:right w:val="single" w:color="auto" w:sz="4" w:space="0"/>
                  </w:tcBorders>
                  <w:vAlign w:val="center"/>
                </w:tcPr>
                <w:p w14:paraId="7BCA0C6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第二十二条</w:t>
                  </w:r>
                  <w:r>
                    <w:rPr>
                      <w:rFonts w:hint="default"/>
                      <w:color w:val="auto"/>
                      <w:sz w:val="21"/>
                      <w:szCs w:val="21"/>
                      <w:highlight w:val="none"/>
                    </w:rPr>
                    <w:t xml:space="preserve"> </w:t>
                  </w:r>
                  <w:r>
                    <w:rPr>
                      <w:rFonts w:hint="eastAsia"/>
                      <w:color w:val="auto"/>
                      <w:sz w:val="21"/>
                      <w:szCs w:val="21"/>
                      <w:highlight w:val="none"/>
                    </w:rPr>
                    <w:t>禁止新建、扩建不符合国家石化、现代煤化工等产业布局规划的项目。</w:t>
                  </w:r>
                  <w:r>
                    <w:rPr>
                      <w:rFonts w:hint="eastAsia"/>
                      <w:color w:val="auto"/>
                      <w:sz w:val="21"/>
                      <w:szCs w:val="21"/>
                      <w:highlight w:val="none"/>
                      <w:lang w:eastAsia="zh-CN"/>
                    </w:rPr>
                    <w:t>（</w:t>
                  </w:r>
                  <w:r>
                    <w:rPr>
                      <w:rFonts w:hint="eastAsia"/>
                      <w:color w:val="auto"/>
                      <w:sz w:val="21"/>
                      <w:szCs w:val="21"/>
                      <w:highlight w:val="none"/>
                    </w:rPr>
                    <w:t>一）严格控制新增炼油产能，未列入《石化产业规划布局方案（修订版</w:t>
                  </w:r>
                  <w:r>
                    <w:rPr>
                      <w:rFonts w:hint="eastAsia"/>
                      <w:color w:val="auto"/>
                      <w:sz w:val="21"/>
                      <w:szCs w:val="21"/>
                      <w:highlight w:val="none"/>
                      <w:lang w:eastAsia="zh-CN"/>
                    </w:rPr>
                    <w:t>）</w:t>
                  </w:r>
                  <w:r>
                    <w:rPr>
                      <w:rFonts w:hint="eastAsia"/>
                      <w:color w:val="auto"/>
                      <w:sz w:val="21"/>
                      <w:szCs w:val="21"/>
                      <w:highlight w:val="none"/>
                    </w:rPr>
                    <w:t>》的新增炼油产能一律不得建设。</w:t>
                  </w:r>
                  <w:r>
                    <w:rPr>
                      <w:rFonts w:hint="eastAsia"/>
                      <w:color w:val="auto"/>
                      <w:sz w:val="21"/>
                      <w:szCs w:val="21"/>
                      <w:highlight w:val="none"/>
                      <w:lang w:eastAsia="zh-CN"/>
                    </w:rPr>
                    <w:t>（</w:t>
                  </w:r>
                  <w:r>
                    <w:rPr>
                      <w:rFonts w:hint="eastAsia"/>
                      <w:color w:val="auto"/>
                      <w:sz w:val="21"/>
                      <w:szCs w:val="21"/>
                      <w:highlight w:val="none"/>
                    </w:rPr>
                    <w:t>二）新建煤制烯经、煤制芳经项目必须列入《现代煤化工产业创新发展布局方案》，必须符合《现代煤化工建设项目环境准入条件（试行</w:t>
                  </w:r>
                  <w:r>
                    <w:rPr>
                      <w:rFonts w:hint="eastAsia"/>
                      <w:color w:val="auto"/>
                      <w:sz w:val="21"/>
                      <w:szCs w:val="21"/>
                      <w:highlight w:val="none"/>
                      <w:lang w:eastAsia="zh-CN"/>
                    </w:rPr>
                    <w:t>）</w:t>
                  </w:r>
                  <w:r>
                    <w:rPr>
                      <w:rFonts w:hint="eastAsia"/>
                      <w:color w:val="auto"/>
                      <w:sz w:val="21"/>
                      <w:szCs w:val="21"/>
                      <w:highlight w:val="none"/>
                    </w:rPr>
                    <w:t>》要求。</w:t>
                  </w:r>
                </w:p>
              </w:tc>
              <w:tc>
                <w:tcPr>
                  <w:tcW w:w="1475" w:type="dxa"/>
                  <w:tcBorders>
                    <w:top w:val="single" w:color="auto" w:sz="4" w:space="0"/>
                    <w:left w:val="single" w:color="auto" w:sz="4" w:space="0"/>
                    <w:bottom w:val="single" w:color="auto" w:sz="4" w:space="0"/>
                    <w:right w:val="single" w:color="auto" w:sz="4" w:space="0"/>
                  </w:tcBorders>
                  <w:vAlign w:val="center"/>
                </w:tcPr>
                <w:p w14:paraId="5D488562">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28F91E6B">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474B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08414BA">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19</w:t>
                  </w:r>
                </w:p>
              </w:tc>
              <w:tc>
                <w:tcPr>
                  <w:tcW w:w="5684" w:type="dxa"/>
                  <w:tcBorders>
                    <w:top w:val="single" w:color="auto" w:sz="4" w:space="0"/>
                    <w:left w:val="single" w:color="auto" w:sz="4" w:space="0"/>
                    <w:bottom w:val="single" w:color="auto" w:sz="4" w:space="0"/>
                    <w:right w:val="single" w:color="auto" w:sz="4" w:space="0"/>
                  </w:tcBorders>
                  <w:vAlign w:val="center"/>
                </w:tcPr>
                <w:p w14:paraId="15D9BD75">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第二十三条</w:t>
                  </w:r>
                  <w:r>
                    <w:rPr>
                      <w:rFonts w:hint="default"/>
                      <w:color w:val="auto"/>
                      <w:sz w:val="21"/>
                      <w:szCs w:val="21"/>
                      <w:highlight w:val="none"/>
                    </w:rPr>
                    <w:t xml:space="preserve"> </w:t>
                  </w:r>
                  <w:r>
                    <w:rPr>
                      <w:rFonts w:hint="eastAsia"/>
                      <w:color w:val="auto"/>
                      <w:sz w:val="21"/>
                      <w:szCs w:val="21"/>
                      <w:highlight w:val="none"/>
                    </w:rPr>
                    <w:t>禁止新建、扩建法律法规和相关政策明令禁止的落后产能项目。对《产业结构调整指导目录》中淘汰类项目，禁止投资；限制类的新建项目，禁止投资，对属于限制类的现有生产能力，允许企业在一定期限内采取措施改造升级。</w:t>
                  </w:r>
                </w:p>
              </w:tc>
              <w:tc>
                <w:tcPr>
                  <w:tcW w:w="1475" w:type="dxa"/>
                  <w:tcBorders>
                    <w:top w:val="single" w:color="auto" w:sz="4" w:space="0"/>
                    <w:left w:val="single" w:color="auto" w:sz="4" w:space="0"/>
                    <w:bottom w:val="single" w:color="auto" w:sz="4" w:space="0"/>
                    <w:right w:val="single" w:color="auto" w:sz="4" w:space="0"/>
                  </w:tcBorders>
                  <w:vAlign w:val="center"/>
                </w:tcPr>
                <w:p w14:paraId="4ABE9818">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5C7B06B6">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04F5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680551FD">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20</w:t>
                  </w:r>
                </w:p>
              </w:tc>
              <w:tc>
                <w:tcPr>
                  <w:tcW w:w="5684" w:type="dxa"/>
                  <w:tcBorders>
                    <w:top w:val="single" w:color="auto" w:sz="4" w:space="0"/>
                    <w:left w:val="single" w:color="auto" w:sz="4" w:space="0"/>
                    <w:bottom w:val="single" w:color="auto" w:sz="4" w:space="0"/>
                    <w:right w:val="single" w:color="auto" w:sz="4" w:space="0"/>
                  </w:tcBorders>
                  <w:vAlign w:val="center"/>
                </w:tcPr>
                <w:p w14:paraId="3DC0E486">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第二十四条</w:t>
                  </w:r>
                  <w:r>
                    <w:rPr>
                      <w:rFonts w:hint="default"/>
                      <w:color w:val="auto"/>
                      <w:sz w:val="21"/>
                      <w:szCs w:val="21"/>
                      <w:highlight w:val="none"/>
                    </w:rPr>
                    <w:t xml:space="preserve"> </w:t>
                  </w:r>
                  <w:r>
                    <w:rPr>
                      <w:rFonts w:hint="eastAsia"/>
                      <w:color w:val="auto"/>
                      <w:sz w:val="21"/>
                      <w:szCs w:val="21"/>
                      <w:highlight w:val="none"/>
                    </w:rPr>
                    <w:t>禁止新建、扩建不符合国家产能置换要求的严重过剩产能行业的项目。对于不符合国家产能置换要求的严重过剩产能行业，不得以其他任何名义、任何方式备案新增产能项目。</w:t>
                  </w:r>
                </w:p>
              </w:tc>
              <w:tc>
                <w:tcPr>
                  <w:tcW w:w="1475" w:type="dxa"/>
                  <w:tcBorders>
                    <w:top w:val="single" w:color="auto" w:sz="4" w:space="0"/>
                    <w:left w:val="single" w:color="auto" w:sz="4" w:space="0"/>
                    <w:bottom w:val="single" w:color="auto" w:sz="4" w:space="0"/>
                    <w:right w:val="single" w:color="auto" w:sz="4" w:space="0"/>
                  </w:tcBorders>
                  <w:vAlign w:val="center"/>
                </w:tcPr>
                <w:p w14:paraId="099D40F3">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2018DD0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462A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0384D315">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21</w:t>
                  </w:r>
                </w:p>
              </w:tc>
              <w:tc>
                <w:tcPr>
                  <w:tcW w:w="5684" w:type="dxa"/>
                  <w:tcBorders>
                    <w:top w:val="single" w:color="auto" w:sz="4" w:space="0"/>
                    <w:left w:val="single" w:color="auto" w:sz="4" w:space="0"/>
                    <w:bottom w:val="single" w:color="auto" w:sz="4" w:space="0"/>
                    <w:right w:val="single" w:color="auto" w:sz="4" w:space="0"/>
                  </w:tcBorders>
                  <w:vAlign w:val="center"/>
                </w:tcPr>
                <w:p w14:paraId="647B3876">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第二十五条</w:t>
                  </w:r>
                  <w:r>
                    <w:rPr>
                      <w:rFonts w:hint="default"/>
                      <w:color w:val="auto"/>
                      <w:sz w:val="21"/>
                      <w:szCs w:val="21"/>
                      <w:highlight w:val="none"/>
                    </w:rPr>
                    <w:t xml:space="preserve"> </w:t>
                  </w:r>
                  <w:r>
                    <w:rPr>
                      <w:rFonts w:hint="eastAsia"/>
                      <w:color w:val="auto"/>
                      <w:sz w:val="21"/>
                      <w:szCs w:val="21"/>
                      <w:highlight w:val="none"/>
                    </w:rPr>
                    <w:t>禁止建设以下燃油汽车投资项目（不在中国境内销售产品的投资项目除外</w:t>
                  </w:r>
                  <w:r>
                    <w:rPr>
                      <w:rFonts w:hint="eastAsia"/>
                      <w:color w:val="auto"/>
                      <w:sz w:val="21"/>
                      <w:szCs w:val="21"/>
                      <w:highlight w:val="none"/>
                      <w:lang w:eastAsia="zh-CN"/>
                    </w:rPr>
                    <w:t>）</w:t>
                  </w:r>
                  <w:r>
                    <w:rPr>
                      <w:rFonts w:hint="eastAsia"/>
                      <w:color w:val="auto"/>
                      <w:sz w:val="21"/>
                      <w:szCs w:val="21"/>
                      <w:highlight w:val="none"/>
                    </w:rPr>
                    <w:t>：</w:t>
                  </w:r>
                </w:p>
                <w:p w14:paraId="11AA71CC">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一）新建独立燃油汽车企业；</w:t>
                  </w:r>
                  <w:r>
                    <w:rPr>
                      <w:rFonts w:hint="eastAsia"/>
                      <w:color w:val="auto"/>
                      <w:sz w:val="21"/>
                      <w:szCs w:val="21"/>
                      <w:highlight w:val="none"/>
                      <w:lang w:eastAsia="zh-CN"/>
                    </w:rPr>
                    <w:t>（</w:t>
                  </w:r>
                  <w:r>
                    <w:rPr>
                      <w:rFonts w:hint="eastAsia"/>
                      <w:color w:val="auto"/>
                      <w:sz w:val="21"/>
                      <w:szCs w:val="21"/>
                      <w:highlight w:val="none"/>
                    </w:rPr>
                    <w:t>二）现有汽车企业跨乘用车、商用车类别建设燃油汽车生产能力；</w:t>
                  </w:r>
                  <w:r>
                    <w:rPr>
                      <w:rFonts w:hint="eastAsia"/>
                      <w:color w:val="auto"/>
                      <w:sz w:val="21"/>
                      <w:szCs w:val="21"/>
                      <w:highlight w:val="none"/>
                      <w:lang w:eastAsia="zh-CN"/>
                    </w:rPr>
                    <w:t>（</w:t>
                  </w:r>
                  <w:r>
                    <w:rPr>
                      <w:rFonts w:hint="eastAsia"/>
                      <w:color w:val="auto"/>
                      <w:sz w:val="21"/>
                      <w:szCs w:val="21"/>
                      <w:highlight w:val="none"/>
                    </w:rPr>
                    <w:t>三）外省现有燃油汽车企业整体搬迁至本省（列入国家级区域发展规划或不改变企业股权结构的项目除外</w:t>
                  </w:r>
                  <w:r>
                    <w:rPr>
                      <w:rFonts w:hint="eastAsia"/>
                      <w:color w:val="auto"/>
                      <w:sz w:val="21"/>
                      <w:szCs w:val="21"/>
                      <w:highlight w:val="none"/>
                      <w:lang w:eastAsia="zh-CN"/>
                    </w:rPr>
                    <w:t>）</w:t>
                  </w:r>
                  <w:r>
                    <w:rPr>
                      <w:rFonts w:hint="eastAsia"/>
                      <w:color w:val="auto"/>
                      <w:sz w:val="21"/>
                      <w:szCs w:val="21"/>
                      <w:highlight w:val="none"/>
                    </w:rPr>
                    <w:t>；</w:t>
                  </w:r>
                  <w:r>
                    <w:rPr>
                      <w:rFonts w:hint="eastAsia"/>
                      <w:color w:val="auto"/>
                      <w:sz w:val="21"/>
                      <w:szCs w:val="21"/>
                      <w:highlight w:val="none"/>
                      <w:lang w:eastAsia="zh-CN"/>
                    </w:rPr>
                    <w:t>（</w:t>
                  </w:r>
                  <w:r>
                    <w:rPr>
                      <w:rFonts w:hint="eastAsia"/>
                      <w:color w:val="auto"/>
                      <w:sz w:val="21"/>
                      <w:szCs w:val="21"/>
                      <w:highlight w:val="none"/>
                    </w:rPr>
                    <w:t>四）对行业管理部门特别公示的燃油汽车企业进行投资；</w:t>
                  </w:r>
                  <w:r>
                    <w:rPr>
                      <w:rFonts w:hint="eastAsia"/>
                      <w:color w:val="auto"/>
                      <w:sz w:val="21"/>
                      <w:szCs w:val="21"/>
                      <w:highlight w:val="none"/>
                      <w:lang w:eastAsia="zh-CN"/>
                    </w:rPr>
                    <w:t>（</w:t>
                  </w:r>
                  <w:r>
                    <w:rPr>
                      <w:rFonts w:hint="eastAsia"/>
                      <w:color w:val="auto"/>
                      <w:sz w:val="21"/>
                      <w:szCs w:val="21"/>
                      <w:highlight w:val="none"/>
                    </w:rPr>
                    <w:t>企业原有股东投资或将该企业转为非独立法人的投资项目除外</w:t>
                  </w:r>
                  <w:r>
                    <w:rPr>
                      <w:rFonts w:hint="eastAsia"/>
                      <w:color w:val="auto"/>
                      <w:sz w:val="21"/>
                      <w:szCs w:val="21"/>
                      <w:highlight w:val="none"/>
                      <w:lang w:eastAsia="zh-CN"/>
                    </w:rPr>
                    <w:t>）</w:t>
                  </w:r>
                  <w:r>
                    <w:rPr>
                      <w:rFonts w:hint="eastAsia"/>
                      <w:color w:val="auto"/>
                      <w:sz w:val="21"/>
                      <w:szCs w:val="21"/>
                      <w:highlight w:val="none"/>
                    </w:rPr>
                    <w:t>。</w:t>
                  </w:r>
                </w:p>
              </w:tc>
              <w:tc>
                <w:tcPr>
                  <w:tcW w:w="1475" w:type="dxa"/>
                  <w:tcBorders>
                    <w:top w:val="single" w:color="auto" w:sz="4" w:space="0"/>
                    <w:left w:val="single" w:color="auto" w:sz="4" w:space="0"/>
                    <w:bottom w:val="single" w:color="auto" w:sz="4" w:space="0"/>
                    <w:right w:val="single" w:color="auto" w:sz="4" w:space="0"/>
                  </w:tcBorders>
                  <w:vAlign w:val="center"/>
                </w:tcPr>
                <w:p w14:paraId="1D06376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本项目不属于该类项目。</w:t>
                  </w:r>
                </w:p>
              </w:tc>
              <w:tc>
                <w:tcPr>
                  <w:tcW w:w="885" w:type="dxa"/>
                  <w:tcBorders>
                    <w:top w:val="single" w:color="auto" w:sz="4" w:space="0"/>
                    <w:left w:val="single" w:color="auto" w:sz="4" w:space="0"/>
                    <w:bottom w:val="single" w:color="auto" w:sz="4" w:space="0"/>
                    <w:right w:val="single" w:color="auto" w:sz="4" w:space="0"/>
                  </w:tcBorders>
                  <w:vAlign w:val="center"/>
                </w:tcPr>
                <w:p w14:paraId="145CB8E4">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r w14:paraId="6289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732B7669">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22</w:t>
                  </w:r>
                </w:p>
              </w:tc>
              <w:tc>
                <w:tcPr>
                  <w:tcW w:w="5684" w:type="dxa"/>
                  <w:tcBorders>
                    <w:top w:val="single" w:color="auto" w:sz="4" w:space="0"/>
                    <w:left w:val="single" w:color="auto" w:sz="4" w:space="0"/>
                    <w:bottom w:val="single" w:color="auto" w:sz="4" w:space="0"/>
                    <w:right w:val="single" w:color="auto" w:sz="4" w:space="0"/>
                  </w:tcBorders>
                  <w:vAlign w:val="center"/>
                </w:tcPr>
                <w:p w14:paraId="4231EEF9">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第二十六条</w:t>
                  </w:r>
                  <w:r>
                    <w:rPr>
                      <w:rFonts w:hint="default"/>
                      <w:color w:val="auto"/>
                      <w:sz w:val="21"/>
                      <w:szCs w:val="21"/>
                      <w:highlight w:val="none"/>
                    </w:rPr>
                    <w:t xml:space="preserve"> </w:t>
                  </w:r>
                  <w:r>
                    <w:rPr>
                      <w:rFonts w:hint="eastAsia"/>
                      <w:color w:val="auto"/>
                      <w:sz w:val="21"/>
                      <w:szCs w:val="21"/>
                      <w:highlight w:val="none"/>
                    </w:rPr>
                    <w:t>禁止新建、扩建不符合要求的高耗能、高排放、低水平项目。</w:t>
                  </w:r>
                </w:p>
              </w:tc>
              <w:tc>
                <w:tcPr>
                  <w:tcW w:w="1475" w:type="dxa"/>
                  <w:tcBorders>
                    <w:top w:val="single" w:color="auto" w:sz="4" w:space="0"/>
                    <w:left w:val="single" w:color="auto" w:sz="4" w:space="0"/>
                    <w:bottom w:val="single" w:color="auto" w:sz="4" w:space="0"/>
                    <w:right w:val="single" w:color="auto" w:sz="4" w:space="0"/>
                  </w:tcBorders>
                  <w:vAlign w:val="center"/>
                </w:tcPr>
                <w:p w14:paraId="5176FCDD">
                  <w:pPr>
                    <w:keepNext w:val="0"/>
                    <w:keepLines w:val="0"/>
                    <w:suppressLineNumbers w:val="0"/>
                    <w:snapToGrid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本项目不属于高耗能、高排放、低水平项目。</w:t>
                  </w:r>
                </w:p>
              </w:tc>
              <w:tc>
                <w:tcPr>
                  <w:tcW w:w="885" w:type="dxa"/>
                  <w:tcBorders>
                    <w:top w:val="single" w:color="auto" w:sz="4" w:space="0"/>
                    <w:left w:val="single" w:color="auto" w:sz="4" w:space="0"/>
                    <w:bottom w:val="single" w:color="auto" w:sz="4" w:space="0"/>
                    <w:right w:val="single" w:color="auto" w:sz="4" w:space="0"/>
                  </w:tcBorders>
                  <w:vAlign w:val="center"/>
                </w:tcPr>
                <w:p w14:paraId="00744CF7">
                  <w:pPr>
                    <w:keepNext w:val="0"/>
                    <w:keepLines w:val="0"/>
                    <w:suppressLineNumbers w:val="0"/>
                    <w:snapToGrid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符合</w:t>
                  </w:r>
                </w:p>
              </w:tc>
            </w:tr>
          </w:tbl>
          <w:p w14:paraId="167AEDBD">
            <w:pPr>
              <w:pStyle w:val="65"/>
              <w:keepNext w:val="0"/>
              <w:keepLines w:val="0"/>
              <w:suppressLineNumbers w:val="0"/>
              <w:spacing w:before="0" w:beforeAutospacing="0" w:after="0" w:afterAutospacing="0"/>
              <w:ind w:left="0" w:right="0"/>
              <w:rPr>
                <w:rFonts w:hint="default"/>
                <w:color w:val="auto"/>
                <w:highlight w:val="none"/>
              </w:rPr>
            </w:pPr>
          </w:p>
          <w:p w14:paraId="36FB6402">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因此，本项目建设符合《实施细则》的相关要求。</w:t>
            </w:r>
          </w:p>
          <w:p w14:paraId="3C38968C">
            <w:pPr>
              <w:pStyle w:val="74"/>
              <w:keepNext w:val="0"/>
              <w:keepLines w:val="0"/>
              <w:suppressLineNumbers w:val="0"/>
              <w:spacing w:before="0" w:beforeAutospacing="0" w:after="0" w:afterAutospacing="0"/>
              <w:ind w:left="0" w:right="0" w:firstLine="522"/>
              <w:rPr>
                <w:rFonts w:hint="default"/>
                <w:b/>
                <w:bCs/>
                <w:color w:val="auto"/>
                <w:highlight w:val="none"/>
                <w:lang w:val="en-US"/>
              </w:rPr>
            </w:pPr>
            <w:r>
              <w:rPr>
                <w:rFonts w:hint="eastAsia"/>
                <w:b/>
                <w:bCs/>
                <w:color w:val="auto"/>
                <w:highlight w:val="none"/>
                <w:lang w:val="en-US"/>
              </w:rPr>
              <w:t>1.3.5与《中华人民共和国长江保护法》（2020年12月26日第十三届全国人民代表大会常务委员会第二十四次会议通过）符合性分析</w:t>
            </w:r>
          </w:p>
          <w:p w14:paraId="2693851B">
            <w:pPr>
              <w:pStyle w:val="65"/>
              <w:keepNext w:val="0"/>
              <w:keepLines w:val="0"/>
              <w:suppressLineNumbers w:val="0"/>
              <w:spacing w:before="0" w:beforeAutospacing="0" w:after="0" w:afterAutospacing="0"/>
              <w:ind w:left="0" w:right="0"/>
              <w:rPr>
                <w:rFonts w:hint="default"/>
                <w:color w:val="auto"/>
                <w:highlight w:val="none"/>
              </w:rPr>
            </w:pPr>
          </w:p>
          <w:p w14:paraId="26E63039">
            <w:pPr>
              <w:pStyle w:val="74"/>
              <w:keepNext w:val="0"/>
              <w:keepLines w:val="0"/>
              <w:suppressLineNumbers w:val="0"/>
              <w:spacing w:before="0" w:beforeAutospacing="0" w:after="0" w:afterAutospacing="0" w:line="240" w:lineRule="auto"/>
              <w:ind w:left="0" w:right="0" w:firstLine="0" w:firstLineChars="0"/>
              <w:jc w:val="center"/>
              <w:rPr>
                <w:rFonts w:hint="default"/>
                <w:color w:val="auto"/>
                <w:highlight w:val="none"/>
                <w:lang w:val="en-US"/>
              </w:rPr>
            </w:pPr>
            <w:r>
              <w:rPr>
                <w:rFonts w:hint="eastAsia"/>
                <w:color w:val="auto"/>
                <w:highlight w:val="none"/>
                <w:lang w:val="en-US"/>
              </w:rPr>
              <w:t>表1.3-</w:t>
            </w:r>
            <w:r>
              <w:rPr>
                <w:rFonts w:hint="eastAsia"/>
                <w:color w:val="auto"/>
                <w:highlight w:val="none"/>
                <w:lang w:val="en-US" w:eastAsia="zh-CN"/>
              </w:rPr>
              <w:t xml:space="preserve">4 </w:t>
            </w:r>
            <w:r>
              <w:rPr>
                <w:rFonts w:hint="eastAsia"/>
                <w:color w:val="auto"/>
                <w:highlight w:val="none"/>
                <w:lang w:val="en-US"/>
              </w:rPr>
              <w:t xml:space="preserve"> </w:t>
            </w:r>
            <w:r>
              <w:rPr>
                <w:rFonts w:hint="default"/>
                <w:color w:val="auto"/>
                <w:highlight w:val="none"/>
                <w:lang w:val="en-US"/>
              </w:rPr>
              <w:t>与《中华人民共和国长江保护法》符合性分析</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4340"/>
              <w:gridCol w:w="2925"/>
              <w:gridCol w:w="941"/>
            </w:tblGrid>
            <w:tr w14:paraId="69FF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56" w:type="dxa"/>
                  <w:vAlign w:val="center"/>
                </w:tcPr>
                <w:p w14:paraId="1A7D2544">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项目</w:t>
                  </w:r>
                </w:p>
              </w:tc>
              <w:tc>
                <w:tcPr>
                  <w:tcW w:w="4341" w:type="dxa"/>
                  <w:vAlign w:val="center"/>
                </w:tcPr>
                <w:p w14:paraId="1ACEEB88">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具体内容</w:t>
                  </w:r>
                </w:p>
              </w:tc>
              <w:tc>
                <w:tcPr>
                  <w:tcW w:w="2926" w:type="dxa"/>
                  <w:vAlign w:val="center"/>
                </w:tcPr>
                <w:p w14:paraId="2472E238">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本项目</w:t>
                  </w:r>
                </w:p>
              </w:tc>
              <w:tc>
                <w:tcPr>
                  <w:tcW w:w="941" w:type="dxa"/>
                  <w:vAlign w:val="center"/>
                </w:tcPr>
                <w:p w14:paraId="06C71F94">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符合性</w:t>
                  </w:r>
                </w:p>
              </w:tc>
            </w:tr>
            <w:tr w14:paraId="2786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vAlign w:val="center"/>
                </w:tcPr>
                <w:p w14:paraId="4EC20865">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规划与管控</w:t>
                  </w:r>
                </w:p>
              </w:tc>
              <w:tc>
                <w:tcPr>
                  <w:tcW w:w="4341" w:type="dxa"/>
                  <w:vAlign w:val="center"/>
                </w:tcPr>
                <w:p w14:paraId="7C7EE81A">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禁止在长江干支流岸线一公里范围内新建、扩建化工园区和化工项目</w:t>
                  </w:r>
                </w:p>
              </w:tc>
              <w:tc>
                <w:tcPr>
                  <w:tcW w:w="2926" w:type="dxa"/>
                  <w:vAlign w:val="center"/>
                </w:tcPr>
                <w:p w14:paraId="451A11D1">
                  <w:pPr>
                    <w:pStyle w:val="65"/>
                    <w:keepNext w:val="0"/>
                    <w:keepLines w:val="0"/>
                    <w:suppressLineNumbers w:val="0"/>
                    <w:spacing w:before="0" w:beforeAutospacing="0" w:after="0" w:afterAutospacing="0"/>
                    <w:ind w:left="0" w:right="0"/>
                    <w:jc w:val="both"/>
                    <w:rPr>
                      <w:rFonts w:hint="default"/>
                      <w:color w:val="auto"/>
                      <w:highlight w:val="none"/>
                    </w:rPr>
                  </w:pPr>
                  <w:r>
                    <w:rPr>
                      <w:rFonts w:hint="eastAsia"/>
                      <w:color w:val="auto"/>
                      <w:highlight w:val="none"/>
                    </w:rPr>
                    <w:t>本</w:t>
                  </w:r>
                  <w:r>
                    <w:rPr>
                      <w:rFonts w:hint="eastAsia"/>
                      <w:color w:val="auto"/>
                      <w:highlight w:val="none"/>
                      <w:lang w:eastAsia="zh-CN"/>
                    </w:rPr>
                    <w:t>项目</w:t>
                  </w:r>
                  <w:r>
                    <w:rPr>
                      <w:rFonts w:hint="default"/>
                      <w:color w:val="auto"/>
                      <w:highlight w:val="none"/>
                    </w:rPr>
                    <w:t>不属于化工项目。</w:t>
                  </w:r>
                </w:p>
              </w:tc>
              <w:tc>
                <w:tcPr>
                  <w:tcW w:w="941" w:type="dxa"/>
                  <w:vAlign w:val="center"/>
                </w:tcPr>
                <w:p w14:paraId="28F15AF1">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w:t>
                  </w:r>
                </w:p>
              </w:tc>
            </w:tr>
            <w:tr w14:paraId="0991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055A868B">
                  <w:pPr>
                    <w:pStyle w:val="65"/>
                    <w:keepNext w:val="0"/>
                    <w:keepLines w:val="0"/>
                    <w:suppressLineNumbers w:val="0"/>
                    <w:spacing w:before="0" w:beforeAutospacing="0" w:after="0" w:afterAutospacing="0"/>
                    <w:ind w:left="0" w:right="0"/>
                    <w:rPr>
                      <w:rFonts w:hint="default"/>
                      <w:color w:val="auto"/>
                      <w:highlight w:val="none"/>
                    </w:rPr>
                  </w:pPr>
                </w:p>
              </w:tc>
              <w:tc>
                <w:tcPr>
                  <w:tcW w:w="4341" w:type="dxa"/>
                  <w:vAlign w:val="center"/>
                </w:tcPr>
                <w:p w14:paraId="545746A0">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禁止在长江干流岸线三公里范围内和重要支流岸线一公里范围内新建、改建、扩建尾矿库；但是以提升安全、生态环境保护水平为目的的改建除外。</w:t>
                  </w:r>
                </w:p>
              </w:tc>
              <w:tc>
                <w:tcPr>
                  <w:tcW w:w="2926" w:type="dxa"/>
                  <w:vAlign w:val="center"/>
                </w:tcPr>
                <w:p w14:paraId="16214B15">
                  <w:pPr>
                    <w:pStyle w:val="65"/>
                    <w:keepNext w:val="0"/>
                    <w:keepLines w:val="0"/>
                    <w:suppressLineNumbers w:val="0"/>
                    <w:spacing w:before="0" w:beforeAutospacing="0" w:after="0" w:afterAutospacing="0"/>
                    <w:ind w:left="0" w:right="0"/>
                    <w:jc w:val="both"/>
                    <w:rPr>
                      <w:rFonts w:hint="default"/>
                      <w:color w:val="auto"/>
                      <w:highlight w:val="none"/>
                    </w:rPr>
                  </w:pPr>
                  <w:r>
                    <w:rPr>
                      <w:rFonts w:hint="eastAsia"/>
                      <w:color w:val="auto"/>
                      <w:highlight w:val="none"/>
                    </w:rPr>
                    <w:t>本</w:t>
                  </w:r>
                  <w:r>
                    <w:rPr>
                      <w:rFonts w:hint="default"/>
                      <w:color w:val="auto"/>
                      <w:highlight w:val="none"/>
                    </w:rPr>
                    <w:t>项目不涉及尾矿库。</w:t>
                  </w:r>
                </w:p>
              </w:tc>
              <w:tc>
                <w:tcPr>
                  <w:tcW w:w="941" w:type="dxa"/>
                  <w:vAlign w:val="center"/>
                </w:tcPr>
                <w:p w14:paraId="7B9628BD">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w:t>
                  </w:r>
                </w:p>
              </w:tc>
            </w:tr>
            <w:tr w14:paraId="161D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6CBF7E1E">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资源与保护</w:t>
                  </w:r>
                </w:p>
              </w:tc>
              <w:tc>
                <w:tcPr>
                  <w:tcW w:w="4341" w:type="dxa"/>
                  <w:vAlign w:val="center"/>
                </w:tcPr>
                <w:p w14:paraId="780DEB56">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长江流域省级人民政府组织划定饮用水水源保护区，加强饮用水水源保护，保障饮用安全。</w:t>
                  </w:r>
                </w:p>
              </w:tc>
              <w:tc>
                <w:tcPr>
                  <w:tcW w:w="2926" w:type="dxa"/>
                  <w:vAlign w:val="center"/>
                </w:tcPr>
                <w:p w14:paraId="6231B4E5">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本项目不在饮用水水源保护区内。</w:t>
                  </w:r>
                </w:p>
              </w:tc>
              <w:tc>
                <w:tcPr>
                  <w:tcW w:w="941" w:type="dxa"/>
                  <w:vAlign w:val="center"/>
                </w:tcPr>
                <w:p w14:paraId="6F7E5EA2">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w:t>
                  </w:r>
                </w:p>
              </w:tc>
            </w:tr>
            <w:tr w14:paraId="1B23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Align w:val="center"/>
                </w:tcPr>
                <w:p w14:paraId="16A6AC49">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水污染防治</w:t>
                  </w:r>
                </w:p>
              </w:tc>
              <w:tc>
                <w:tcPr>
                  <w:tcW w:w="4341" w:type="dxa"/>
                  <w:vAlign w:val="center"/>
                </w:tcPr>
                <w:p w14:paraId="1008C485">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磷矿开采加工、磷肥和含磷农药制造等企业，应当按照排污许可要求，采取有效措施控制总磷排放浓度和排放总量；对排污口和周边环境进行总磷监测，依法公开监测信息。</w:t>
                  </w:r>
                </w:p>
              </w:tc>
              <w:tc>
                <w:tcPr>
                  <w:tcW w:w="2926" w:type="dxa"/>
                  <w:vAlign w:val="center"/>
                </w:tcPr>
                <w:p w14:paraId="25F21642">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本项目不涉及。</w:t>
                  </w:r>
                </w:p>
              </w:tc>
              <w:tc>
                <w:tcPr>
                  <w:tcW w:w="941" w:type="dxa"/>
                  <w:vAlign w:val="center"/>
                </w:tcPr>
                <w:p w14:paraId="08717FA9">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w:t>
                  </w:r>
                </w:p>
              </w:tc>
            </w:tr>
            <w:tr w14:paraId="0014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vAlign w:val="center"/>
                </w:tcPr>
                <w:p w14:paraId="0CCFDB7D">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生态环境修复</w:t>
                  </w:r>
                </w:p>
              </w:tc>
              <w:tc>
                <w:tcPr>
                  <w:tcW w:w="4341" w:type="dxa"/>
                  <w:vAlign w:val="center"/>
                </w:tcPr>
                <w:p w14:paraId="6EDCF743">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禁止违法利用、占用长江流域河湖岸线。</w:t>
                  </w:r>
                </w:p>
              </w:tc>
              <w:tc>
                <w:tcPr>
                  <w:tcW w:w="2926" w:type="dxa"/>
                  <w:vAlign w:val="center"/>
                </w:tcPr>
                <w:p w14:paraId="7132F538">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本项目</w:t>
                  </w:r>
                  <w:r>
                    <w:rPr>
                      <w:rFonts w:hint="eastAsia"/>
                      <w:color w:val="auto"/>
                      <w:highlight w:val="none"/>
                      <w:lang w:val="en-US" w:eastAsia="zh-CN"/>
                    </w:rPr>
                    <w:t>位于綦江北渡铝产业园区</w:t>
                  </w:r>
                  <w:r>
                    <w:rPr>
                      <w:rFonts w:hint="default"/>
                      <w:color w:val="auto"/>
                      <w:highlight w:val="none"/>
                    </w:rPr>
                    <w:t>，不占用长江流域河湖岸线。</w:t>
                  </w:r>
                </w:p>
              </w:tc>
              <w:tc>
                <w:tcPr>
                  <w:tcW w:w="941" w:type="dxa"/>
                  <w:vAlign w:val="center"/>
                </w:tcPr>
                <w:p w14:paraId="7FA1EE56">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w:t>
                  </w:r>
                </w:p>
              </w:tc>
            </w:tr>
            <w:tr w14:paraId="17ED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33E97AC3">
                  <w:pPr>
                    <w:pStyle w:val="65"/>
                    <w:keepNext w:val="0"/>
                    <w:keepLines w:val="0"/>
                    <w:suppressLineNumbers w:val="0"/>
                    <w:spacing w:before="0" w:beforeAutospacing="0" w:after="0" w:afterAutospacing="0"/>
                    <w:ind w:left="0" w:right="0"/>
                    <w:rPr>
                      <w:rFonts w:hint="default"/>
                      <w:color w:val="auto"/>
                      <w:highlight w:val="none"/>
                    </w:rPr>
                  </w:pPr>
                </w:p>
              </w:tc>
              <w:tc>
                <w:tcPr>
                  <w:tcW w:w="4341" w:type="dxa"/>
                  <w:vAlign w:val="center"/>
                </w:tcPr>
                <w:p w14:paraId="62208E1D">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禁止在长江流域水土流失严重、生态脆弱的区域开展可能造成水土流失的生产建设活动。确因国家发展战略和国计民生需要建设的，应当经科学论证，并依法办理审批手续。</w:t>
                  </w:r>
                </w:p>
              </w:tc>
              <w:tc>
                <w:tcPr>
                  <w:tcW w:w="2926" w:type="dxa"/>
                  <w:vAlign w:val="center"/>
                </w:tcPr>
                <w:p w14:paraId="04E24E37">
                  <w:pPr>
                    <w:pStyle w:val="65"/>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本项目位于</w:t>
                  </w:r>
                  <w:r>
                    <w:rPr>
                      <w:rFonts w:hint="eastAsia"/>
                      <w:color w:val="auto"/>
                      <w:highlight w:val="none"/>
                      <w:lang w:val="en-US" w:eastAsia="zh-CN"/>
                    </w:rPr>
                    <w:t>綦江北渡铝产业园区</w:t>
                  </w:r>
                  <w:r>
                    <w:rPr>
                      <w:rFonts w:hint="default"/>
                      <w:color w:val="auto"/>
                      <w:highlight w:val="none"/>
                    </w:rPr>
                    <w:t>，不在长江流域水土流失严重、生态脆弱的区域。</w:t>
                  </w:r>
                </w:p>
              </w:tc>
              <w:tc>
                <w:tcPr>
                  <w:tcW w:w="941" w:type="dxa"/>
                  <w:vAlign w:val="center"/>
                </w:tcPr>
                <w:p w14:paraId="3DB962EF">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符合</w:t>
                  </w:r>
                </w:p>
              </w:tc>
            </w:tr>
          </w:tbl>
          <w:p w14:paraId="735564C7">
            <w:pPr>
              <w:pStyle w:val="65"/>
              <w:keepNext w:val="0"/>
              <w:keepLines w:val="0"/>
              <w:suppressLineNumbers w:val="0"/>
              <w:spacing w:before="0" w:beforeAutospacing="0" w:after="0" w:afterAutospacing="0"/>
              <w:ind w:left="0" w:right="0"/>
              <w:rPr>
                <w:rFonts w:hint="default"/>
                <w:color w:val="auto"/>
                <w:highlight w:val="none"/>
              </w:rPr>
            </w:pPr>
          </w:p>
          <w:p w14:paraId="05FE0B5F">
            <w:pPr>
              <w:pStyle w:val="74"/>
              <w:keepNext w:val="0"/>
              <w:keepLines w:val="0"/>
              <w:suppressLineNumbers w:val="0"/>
              <w:spacing w:before="0" w:beforeAutospacing="0" w:after="0" w:afterAutospacing="0"/>
              <w:ind w:left="0" w:right="0" w:firstLine="520"/>
              <w:rPr>
                <w:rFonts w:hint="eastAsia"/>
                <w:color w:val="auto"/>
                <w:highlight w:val="none"/>
                <w:lang w:val="en-US"/>
              </w:rPr>
            </w:pPr>
            <w:r>
              <w:rPr>
                <w:rFonts w:hint="eastAsia"/>
                <w:color w:val="auto"/>
                <w:highlight w:val="none"/>
                <w:lang w:val="en-US"/>
              </w:rPr>
              <w:t>因此，本项目符合《中华人民共和国长江保护法》的相关要求。</w:t>
            </w:r>
          </w:p>
          <w:p w14:paraId="19D90F8B">
            <w:pPr>
              <w:pStyle w:val="74"/>
              <w:keepNext w:val="0"/>
              <w:keepLines w:val="0"/>
              <w:suppressLineNumbers w:val="0"/>
              <w:spacing w:before="0" w:beforeAutospacing="0" w:after="0" w:afterAutospacing="0"/>
              <w:ind w:left="0" w:right="0" w:firstLine="520"/>
              <w:rPr>
                <w:rFonts w:hint="eastAsia"/>
                <w:b/>
                <w:bCs/>
                <w:color w:val="auto"/>
                <w:highlight w:val="none"/>
                <w:lang w:val="en-US" w:eastAsia="zh-CN"/>
              </w:rPr>
            </w:pPr>
            <w:r>
              <w:rPr>
                <w:rFonts w:hint="eastAsia"/>
                <w:b/>
                <w:bCs/>
                <w:color w:val="auto"/>
                <w:highlight w:val="none"/>
                <w:lang w:val="en-US" w:eastAsia="zh-CN"/>
              </w:rPr>
              <w:t>1.3.6与《铸造企业规范条件》（T/CFA0310021-2023）符合性分析</w:t>
            </w:r>
          </w:p>
          <w:p w14:paraId="3B536A70">
            <w:pPr>
              <w:pStyle w:val="74"/>
              <w:keepNext w:val="0"/>
              <w:keepLines w:val="0"/>
              <w:suppressLineNumbers w:val="0"/>
              <w:spacing w:before="0" w:beforeAutospacing="0" w:after="0" w:afterAutospacing="0"/>
              <w:ind w:left="0" w:right="0" w:firstLine="520"/>
              <w:rPr>
                <w:rFonts w:hint="eastAsia"/>
                <w:color w:val="auto"/>
                <w:highlight w:val="none"/>
                <w:lang w:val="en-US" w:eastAsia="zh-CN"/>
              </w:rPr>
            </w:pPr>
            <w:r>
              <w:rPr>
                <w:rFonts w:hint="default"/>
                <w:color w:val="auto"/>
                <w:highlight w:val="none"/>
                <w:lang w:val="en-US" w:eastAsia="zh-CN"/>
              </w:rPr>
              <w:t>本项目工艺</w:t>
            </w:r>
            <w:r>
              <w:rPr>
                <w:rFonts w:hint="eastAsia"/>
                <w:color w:val="auto"/>
                <w:highlight w:val="none"/>
                <w:lang w:val="en-US" w:eastAsia="zh-CN"/>
              </w:rPr>
              <w:t>涉及</w:t>
            </w:r>
            <w:r>
              <w:rPr>
                <w:rFonts w:hint="default"/>
                <w:color w:val="auto"/>
                <w:highlight w:val="none"/>
                <w:lang w:val="en-US" w:eastAsia="zh-CN"/>
              </w:rPr>
              <w:t>铝</w:t>
            </w:r>
            <w:r>
              <w:rPr>
                <w:rFonts w:hint="eastAsia"/>
                <w:color w:val="auto"/>
                <w:highlight w:val="none"/>
                <w:lang w:val="en-US" w:eastAsia="zh-CN"/>
              </w:rPr>
              <w:t>合金</w:t>
            </w:r>
            <w:r>
              <w:rPr>
                <w:rFonts w:hint="default"/>
                <w:color w:val="auto"/>
                <w:highlight w:val="none"/>
                <w:lang w:val="en-US" w:eastAsia="zh-CN"/>
              </w:rPr>
              <w:t>的熔化铸造，依据《铸造企业规范条件》（T/CFA0310021-20</w:t>
            </w:r>
            <w:r>
              <w:rPr>
                <w:rFonts w:hint="eastAsia"/>
                <w:color w:val="auto"/>
                <w:highlight w:val="none"/>
                <w:lang w:val="en-US" w:eastAsia="zh-CN"/>
              </w:rPr>
              <w:t>23</w:t>
            </w:r>
            <w:r>
              <w:rPr>
                <w:rFonts w:hint="default"/>
                <w:color w:val="auto"/>
                <w:highlight w:val="none"/>
                <w:lang w:val="en-US" w:eastAsia="zh-CN"/>
              </w:rPr>
              <w:t>）对本项目符合性进行分析，分析结果</w:t>
            </w:r>
            <w:r>
              <w:rPr>
                <w:rFonts w:hint="eastAsia"/>
                <w:color w:val="auto"/>
                <w:highlight w:val="none"/>
                <w:lang w:val="en-US" w:eastAsia="zh-CN"/>
              </w:rPr>
              <w:t>下表。</w:t>
            </w:r>
          </w:p>
          <w:p w14:paraId="6B91880D">
            <w:pPr>
              <w:pStyle w:val="81"/>
              <w:keepNext w:val="0"/>
              <w:keepLines w:val="0"/>
              <w:suppressLineNumbers w:val="0"/>
              <w:bidi w:val="0"/>
              <w:spacing w:before="0" w:beforeAutospacing="0" w:after="0" w:afterAutospacing="0"/>
              <w:ind w:left="0" w:right="0"/>
              <w:rPr>
                <w:rFonts w:hint="eastAsia"/>
                <w:color w:val="auto"/>
                <w:highlight w:val="none"/>
                <w:lang w:val="en-US" w:eastAsia="zh-CN"/>
              </w:rPr>
            </w:pPr>
          </w:p>
          <w:p w14:paraId="15B0AECB">
            <w:pPr>
              <w:pStyle w:val="81"/>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w:t>
            </w:r>
            <w:r>
              <w:rPr>
                <w:rFonts w:hint="eastAsia"/>
                <w:color w:val="auto"/>
                <w:sz w:val="26"/>
                <w:szCs w:val="26"/>
                <w:highlight w:val="none"/>
                <w:lang w:val="en-US" w:eastAsia="zh-CN"/>
              </w:rPr>
              <w:t xml:space="preserve">1.3-5  </w:t>
            </w:r>
            <w:r>
              <w:rPr>
                <w:rFonts w:hint="default"/>
                <w:color w:val="auto"/>
                <w:sz w:val="26"/>
                <w:szCs w:val="26"/>
                <w:highlight w:val="none"/>
              </w:rPr>
              <w:t xml:space="preserve"> 与《铸造企业规范条件》（T/CFA 0310021-20</w:t>
            </w:r>
            <w:r>
              <w:rPr>
                <w:rFonts w:hint="eastAsia"/>
                <w:color w:val="auto"/>
                <w:sz w:val="26"/>
                <w:szCs w:val="26"/>
                <w:highlight w:val="none"/>
                <w:lang w:val="en-US" w:eastAsia="zh-CN"/>
              </w:rPr>
              <w:t>23</w:t>
            </w:r>
            <w:r>
              <w:rPr>
                <w:rFonts w:hint="default"/>
                <w:color w:val="auto"/>
                <w:sz w:val="26"/>
                <w:szCs w:val="26"/>
                <w:highlight w:val="none"/>
              </w:rPr>
              <w:t>）分析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4926"/>
              <w:gridCol w:w="2328"/>
              <w:gridCol w:w="1086"/>
            </w:tblGrid>
            <w:tr w14:paraId="49BD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7A04B90">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项目</w:t>
                  </w:r>
                </w:p>
              </w:tc>
              <w:tc>
                <w:tcPr>
                  <w:tcW w:w="4926" w:type="dxa"/>
                  <w:vAlign w:val="center"/>
                </w:tcPr>
                <w:p w14:paraId="1E69425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铸造行业准入条件</w:t>
                  </w:r>
                </w:p>
              </w:tc>
              <w:tc>
                <w:tcPr>
                  <w:tcW w:w="2328" w:type="dxa"/>
                  <w:vAlign w:val="center"/>
                </w:tcPr>
                <w:p w14:paraId="648B9560">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本项目建设内容</w:t>
                  </w:r>
                </w:p>
              </w:tc>
              <w:tc>
                <w:tcPr>
                  <w:tcW w:w="1086" w:type="dxa"/>
                  <w:vAlign w:val="center"/>
                </w:tcPr>
                <w:p w14:paraId="75592F49">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符合性</w:t>
                  </w:r>
                </w:p>
              </w:tc>
            </w:tr>
            <w:tr w14:paraId="0055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restart"/>
                  <w:vAlign w:val="center"/>
                </w:tcPr>
                <w:p w14:paraId="7CD86145">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建设条件和布局</w:t>
                  </w:r>
                </w:p>
              </w:tc>
              <w:tc>
                <w:tcPr>
                  <w:tcW w:w="4926" w:type="dxa"/>
                  <w:vAlign w:val="center"/>
                </w:tcPr>
                <w:p w14:paraId="1CAC4A04">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企业的布局及厂址的确定应符合国家相关法律法规、产业政策以及各地方装备制造业和铸造行业</w:t>
                  </w:r>
                </w:p>
                <w:p w14:paraId="4A300058">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的总体规划要求。</w:t>
                  </w:r>
                </w:p>
              </w:tc>
              <w:tc>
                <w:tcPr>
                  <w:tcW w:w="2328" w:type="dxa"/>
                  <w:vAlign w:val="center"/>
                </w:tcPr>
                <w:p w14:paraId="74F6C323">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项目的建设符合</w:t>
                  </w:r>
                  <w:r>
                    <w:rPr>
                      <w:rFonts w:hint="eastAsia"/>
                      <w:color w:val="auto"/>
                      <w:highlight w:val="none"/>
                      <w:lang w:val="en-US" w:eastAsia="zh-CN"/>
                    </w:rPr>
                    <w:t>国家相关法律法规、产业规划、</w:t>
                  </w:r>
                  <w:r>
                    <w:rPr>
                      <w:rFonts w:hint="default"/>
                      <w:color w:val="auto"/>
                      <w:highlight w:val="none"/>
                    </w:rPr>
                    <w:t>綦江区北渡铝产业园区的规划</w:t>
                  </w:r>
                  <w:r>
                    <w:rPr>
                      <w:rFonts w:hint="eastAsia"/>
                      <w:color w:val="auto"/>
                      <w:highlight w:val="none"/>
                      <w:lang w:eastAsia="zh-CN"/>
                    </w:rPr>
                    <w:t>，且属于列入《西部地区鼓励类产业目录（2025年本）》</w:t>
                  </w:r>
                  <w:r>
                    <w:rPr>
                      <w:rFonts w:hint="eastAsia"/>
                      <w:color w:val="auto"/>
                      <w:highlight w:val="none"/>
                      <w:lang w:val="en-US" w:eastAsia="zh-CN"/>
                    </w:rPr>
                    <w:t>的</w:t>
                  </w:r>
                  <w:r>
                    <w:rPr>
                      <w:rFonts w:hint="eastAsia"/>
                      <w:color w:val="auto"/>
                      <w:highlight w:val="none"/>
                      <w:lang w:eastAsia="zh-CN"/>
                    </w:rPr>
                    <w:t>鼓励类项目。</w:t>
                  </w:r>
                </w:p>
              </w:tc>
              <w:tc>
                <w:tcPr>
                  <w:tcW w:w="1086" w:type="dxa"/>
                  <w:vAlign w:val="center"/>
                </w:tcPr>
                <w:p w14:paraId="5F534508">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0FF4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14:paraId="472EB1BC">
                  <w:pPr>
                    <w:pStyle w:val="81"/>
                    <w:keepNext w:val="0"/>
                    <w:keepLines w:val="0"/>
                    <w:suppressLineNumbers w:val="0"/>
                    <w:bidi w:val="0"/>
                    <w:spacing w:before="0" w:beforeAutospacing="0" w:after="0" w:afterAutospacing="0"/>
                    <w:ind w:left="0" w:right="0"/>
                    <w:rPr>
                      <w:rFonts w:hint="default"/>
                      <w:color w:val="auto"/>
                      <w:highlight w:val="none"/>
                    </w:rPr>
                  </w:pPr>
                </w:p>
              </w:tc>
              <w:tc>
                <w:tcPr>
                  <w:tcW w:w="4926" w:type="dxa"/>
                  <w:vAlign w:val="center"/>
                </w:tcPr>
                <w:p w14:paraId="1FC1EAD7">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企业生产场所应依法取得土地使用权并符合土地使用性质。</w:t>
                  </w:r>
                </w:p>
              </w:tc>
              <w:tc>
                <w:tcPr>
                  <w:tcW w:w="2328" w:type="dxa"/>
                  <w:vAlign w:val="center"/>
                </w:tcPr>
                <w:p w14:paraId="3F1EC2C3">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项目选址已取得綦江区规划和自然资源局下发的《建设用地规划条件》（綦江规资条件</w:t>
                  </w:r>
                  <w:r>
                    <w:rPr>
                      <w:rFonts w:hint="eastAsia"/>
                      <w:color w:val="auto"/>
                      <w:highlight w:val="none"/>
                      <w:lang w:eastAsia="zh-CN"/>
                    </w:rPr>
                    <w:t>〔2022〕14号</w:t>
                  </w:r>
                  <w:r>
                    <w:rPr>
                      <w:rFonts w:hint="default"/>
                      <w:color w:val="auto"/>
                      <w:highlight w:val="none"/>
                    </w:rPr>
                    <w:t>）</w:t>
                  </w:r>
                </w:p>
              </w:tc>
              <w:tc>
                <w:tcPr>
                  <w:tcW w:w="1086" w:type="dxa"/>
                  <w:vAlign w:val="center"/>
                </w:tcPr>
                <w:p w14:paraId="42995051">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4F24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Merge w:val="restart"/>
                  <w:vAlign w:val="center"/>
                </w:tcPr>
                <w:p w14:paraId="712DAB2D">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生产工艺</w:t>
                  </w:r>
                </w:p>
              </w:tc>
              <w:tc>
                <w:tcPr>
                  <w:tcW w:w="4926" w:type="dxa"/>
                  <w:vAlign w:val="center"/>
                </w:tcPr>
                <w:p w14:paraId="72061211">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企业应根据生产铸件的材质、品种、批量，合理选择低污染、低能耗、经济高效的铸造工艺。</w:t>
                  </w:r>
                </w:p>
              </w:tc>
              <w:tc>
                <w:tcPr>
                  <w:tcW w:w="2328" w:type="dxa"/>
                  <w:vAlign w:val="center"/>
                </w:tcPr>
                <w:p w14:paraId="249623C5">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项目生产工艺为铝</w:t>
                  </w:r>
                  <w:r>
                    <w:rPr>
                      <w:rFonts w:hint="eastAsia"/>
                      <w:color w:val="auto"/>
                      <w:highlight w:val="none"/>
                      <w:lang w:val="en-US" w:eastAsia="zh-CN"/>
                    </w:rPr>
                    <w:t>合金熔化</w:t>
                  </w:r>
                  <w:r>
                    <w:rPr>
                      <w:rFonts w:hint="default"/>
                      <w:color w:val="auto"/>
                      <w:highlight w:val="none"/>
                    </w:rPr>
                    <w:t>后压铸成型，属于低污染、低排放、低能耗、经济高效的铸造工艺。</w:t>
                  </w:r>
                </w:p>
              </w:tc>
              <w:tc>
                <w:tcPr>
                  <w:tcW w:w="1086" w:type="dxa"/>
                  <w:vAlign w:val="center"/>
                </w:tcPr>
                <w:p w14:paraId="31DFC0E0">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06AD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14:paraId="0E926AF1">
                  <w:pPr>
                    <w:pStyle w:val="81"/>
                    <w:keepNext w:val="0"/>
                    <w:keepLines w:val="0"/>
                    <w:suppressLineNumbers w:val="0"/>
                    <w:bidi w:val="0"/>
                    <w:spacing w:before="0" w:beforeAutospacing="0" w:after="0" w:afterAutospacing="0"/>
                    <w:ind w:left="0" w:right="0"/>
                    <w:rPr>
                      <w:rFonts w:hint="default"/>
                      <w:color w:val="auto"/>
                      <w:highlight w:val="none"/>
                    </w:rPr>
                  </w:pPr>
                </w:p>
              </w:tc>
              <w:tc>
                <w:tcPr>
                  <w:tcW w:w="4926" w:type="dxa"/>
                  <w:vAlign w:val="center"/>
                </w:tcPr>
                <w:p w14:paraId="259C1733">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企业不应使用国家明令淘汰的生产工艺。不应采用粘土砂干型/芯、油砂制芯、七〇砂制型/芯等</w:t>
                  </w:r>
                </w:p>
                <w:p w14:paraId="163A0CFE">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落后铸造工艺；粘土砂工艺批量生产铸件不应采用手工造型；水玻璃熔模精密铸造模壳硬化不应采用氯化铵硬化工艺；铝合金精炼不应采用六氯乙烷等有毒有害的精炼剂。</w:t>
                  </w:r>
                </w:p>
              </w:tc>
              <w:tc>
                <w:tcPr>
                  <w:tcW w:w="2328" w:type="dxa"/>
                  <w:vAlign w:val="center"/>
                </w:tcPr>
                <w:p w14:paraId="641CDBC4">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项目使用外购模具，不涉及制型/芯</w:t>
                  </w:r>
                  <w:r>
                    <w:rPr>
                      <w:rFonts w:hint="eastAsia"/>
                      <w:color w:val="auto"/>
                      <w:highlight w:val="none"/>
                      <w:lang w:eastAsia="zh-CN"/>
                    </w:rPr>
                    <w:t>，</w:t>
                  </w:r>
                  <w:r>
                    <w:rPr>
                      <w:rFonts w:hint="eastAsia"/>
                      <w:color w:val="auto"/>
                      <w:highlight w:val="none"/>
                      <w:lang w:val="en-US" w:eastAsia="zh-CN"/>
                    </w:rPr>
                    <w:t>不涉及粘土砂工艺、不涉及氯化铵硬化工艺；不采用六氯乙烷等有毒有害的精炼剂</w:t>
                  </w:r>
                  <w:r>
                    <w:rPr>
                      <w:rFonts w:hint="default"/>
                      <w:color w:val="auto"/>
                      <w:highlight w:val="none"/>
                    </w:rPr>
                    <w:t>。</w:t>
                  </w:r>
                </w:p>
              </w:tc>
              <w:tc>
                <w:tcPr>
                  <w:tcW w:w="1086" w:type="dxa"/>
                  <w:vAlign w:val="center"/>
                </w:tcPr>
                <w:p w14:paraId="7EEA6E96">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7670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14:paraId="4F94EDBD">
                  <w:pPr>
                    <w:pStyle w:val="81"/>
                    <w:keepNext w:val="0"/>
                    <w:keepLines w:val="0"/>
                    <w:suppressLineNumbers w:val="0"/>
                    <w:bidi w:val="0"/>
                    <w:spacing w:before="0" w:beforeAutospacing="0" w:after="0" w:afterAutospacing="0"/>
                    <w:ind w:left="0" w:right="0"/>
                    <w:rPr>
                      <w:rFonts w:hint="default"/>
                      <w:color w:val="auto"/>
                      <w:highlight w:val="none"/>
                    </w:rPr>
                  </w:pPr>
                </w:p>
              </w:tc>
              <w:tc>
                <w:tcPr>
                  <w:tcW w:w="4926" w:type="dxa"/>
                  <w:vAlign w:val="center"/>
                </w:tcPr>
                <w:p w14:paraId="101BF8A7">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新（改、扩）建粘土砂型铸造项目应采用自动化造型；新（改、扩）建熔模精密铸造项目不应采</w:t>
                  </w:r>
                </w:p>
                <w:p w14:paraId="74B80426">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用水玻璃熔模精密铸造工艺。</w:t>
                  </w:r>
                </w:p>
              </w:tc>
              <w:tc>
                <w:tcPr>
                  <w:tcW w:w="2328" w:type="dxa"/>
                  <w:vAlign w:val="center"/>
                </w:tcPr>
                <w:p w14:paraId="56EB3FD2">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不涉及。</w:t>
                  </w:r>
                </w:p>
              </w:tc>
              <w:tc>
                <w:tcPr>
                  <w:tcW w:w="1086" w:type="dxa"/>
                  <w:vAlign w:val="center"/>
                </w:tcPr>
                <w:p w14:paraId="1EA488F7">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7ADA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726" w:type="dxa"/>
                  <w:vAlign w:val="center"/>
                </w:tcPr>
                <w:p w14:paraId="5A292EC9">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生产装备</w:t>
                  </w:r>
                </w:p>
              </w:tc>
              <w:tc>
                <w:tcPr>
                  <w:tcW w:w="4926" w:type="dxa"/>
                  <w:vAlign w:val="center"/>
                </w:tcPr>
                <w:p w14:paraId="2ED8758B">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应配备与生产能力相匹配的熔炼、保温和精炼设备，如冲天炉、中频感应电炉、电弧炉、精炼炉（AOD、VOD、LF炉等）、电阻炉、燃气炉、保温炉等。熔炼、保温和精炼设备炉前应配制必要的化学成分分析、金属液温度测量等检测仪器。</w:t>
                  </w:r>
                </w:p>
              </w:tc>
              <w:tc>
                <w:tcPr>
                  <w:tcW w:w="2328" w:type="dxa"/>
                  <w:vAlign w:val="center"/>
                </w:tcPr>
                <w:p w14:paraId="2A5DF4A8">
                  <w:pPr>
                    <w:pStyle w:val="81"/>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color w:val="auto"/>
                      <w:highlight w:val="none"/>
                    </w:rPr>
                    <w:t>项目配备了生产能力匹配的电能熔化炉，并配备了耐高温布袋除尘器处理烟尘。项目使用外购模具，不涉及制型/芯。</w:t>
                  </w:r>
                </w:p>
              </w:tc>
              <w:tc>
                <w:tcPr>
                  <w:tcW w:w="1086" w:type="dxa"/>
                  <w:vAlign w:val="center"/>
                </w:tcPr>
                <w:p w14:paraId="430C566F">
                  <w:pPr>
                    <w:pStyle w:val="81"/>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符合</w:t>
                  </w:r>
                </w:p>
              </w:tc>
            </w:tr>
            <w:tr w14:paraId="214C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5766954">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企业规模</w:t>
                  </w:r>
                </w:p>
              </w:tc>
              <w:tc>
                <w:tcPr>
                  <w:tcW w:w="4926" w:type="dxa"/>
                  <w:vAlign w:val="center"/>
                </w:tcPr>
                <w:p w14:paraId="4B52BC55">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现有企业及新（改、扩）建企业上一年度（或近三年）其最高销售收入不低于表1的规定要求。重庆地区以铝合金铸件材料的新（改、扩）建企业参考产量为3000吨，销售收入≥7000万元。</w:t>
                  </w:r>
                </w:p>
              </w:tc>
              <w:tc>
                <w:tcPr>
                  <w:tcW w:w="2328" w:type="dxa"/>
                  <w:vAlign w:val="center"/>
                </w:tcPr>
                <w:p w14:paraId="23B56622">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本项目预计年产值12000万元。</w:t>
                  </w:r>
                </w:p>
              </w:tc>
              <w:tc>
                <w:tcPr>
                  <w:tcW w:w="1086" w:type="dxa"/>
                  <w:vAlign w:val="center"/>
                </w:tcPr>
                <w:p w14:paraId="55B8DF2A">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2840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21071771">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能源消耗</w:t>
                  </w:r>
                </w:p>
              </w:tc>
              <w:tc>
                <w:tcPr>
                  <w:tcW w:w="4926" w:type="dxa"/>
                  <w:vAlign w:val="center"/>
                </w:tcPr>
                <w:p w14:paraId="5DD5F6A8">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企业的主要熔炼设备按其熔炼不同的金属应满足表3</w:t>
                  </w:r>
                  <w:r>
                    <w:rPr>
                      <w:rFonts w:hint="eastAsia"/>
                      <w:color w:val="auto"/>
                      <w:highlight w:val="none"/>
                      <w:lang w:eastAsia="zh-CN"/>
                    </w:rPr>
                    <w:t>－</w:t>
                  </w:r>
                  <w:r>
                    <w:rPr>
                      <w:rFonts w:hint="default"/>
                      <w:color w:val="auto"/>
                      <w:highlight w:val="none"/>
                    </w:rPr>
                    <w:t>表9的规定。</w:t>
                  </w:r>
                </w:p>
              </w:tc>
              <w:tc>
                <w:tcPr>
                  <w:tcW w:w="2328" w:type="dxa"/>
                  <w:vAlign w:val="center"/>
                </w:tcPr>
                <w:p w14:paraId="46A839A2">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项目使用电能为能源，经计算，熔化炉最高能耗为200kW·h</w:t>
                  </w:r>
                  <w:r>
                    <w:rPr>
                      <w:rFonts w:hint="eastAsia"/>
                      <w:color w:val="auto"/>
                      <w:highlight w:val="none"/>
                      <w:lang w:val="en-US" w:eastAsia="zh-CN"/>
                    </w:rPr>
                    <w:t>/t-金属液</w:t>
                  </w:r>
                  <w:r>
                    <w:rPr>
                      <w:rFonts w:hint="default"/>
                      <w:color w:val="auto"/>
                      <w:highlight w:val="none"/>
                    </w:rPr>
                    <w:t>，小于表6中感应电炉熔化铝合金的能耗指标。</w:t>
                  </w:r>
                </w:p>
              </w:tc>
              <w:tc>
                <w:tcPr>
                  <w:tcW w:w="1086" w:type="dxa"/>
                  <w:vAlign w:val="center"/>
                </w:tcPr>
                <w:p w14:paraId="5DAD9B13">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3DF5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restart"/>
                  <w:vAlign w:val="center"/>
                </w:tcPr>
                <w:p w14:paraId="4138BF86">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环境保护</w:t>
                  </w:r>
                </w:p>
              </w:tc>
              <w:tc>
                <w:tcPr>
                  <w:tcW w:w="4926" w:type="dxa"/>
                  <w:vAlign w:val="center"/>
                </w:tcPr>
                <w:p w14:paraId="3539042D">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企业应遵守国家环保相关法律法规和标准要求，并按要求取得排污许可证。</w:t>
                  </w:r>
                </w:p>
              </w:tc>
              <w:tc>
                <w:tcPr>
                  <w:tcW w:w="2328" w:type="dxa"/>
                  <w:vAlign w:val="center"/>
                </w:tcPr>
                <w:p w14:paraId="5D9D9210">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本</w:t>
                  </w:r>
                  <w:r>
                    <w:rPr>
                      <w:rFonts w:hint="default"/>
                      <w:color w:val="auto"/>
                      <w:highlight w:val="none"/>
                    </w:rPr>
                    <w:t>项目在投入</w:t>
                  </w:r>
                  <w:r>
                    <w:rPr>
                      <w:rFonts w:hint="eastAsia"/>
                      <w:color w:val="auto"/>
                      <w:highlight w:val="none"/>
                      <w:lang w:val="en-US" w:eastAsia="zh-CN"/>
                    </w:rPr>
                    <w:t>生产前应依法取得排污许可手续</w:t>
                  </w:r>
                  <w:r>
                    <w:rPr>
                      <w:rFonts w:hint="default"/>
                      <w:color w:val="auto"/>
                      <w:highlight w:val="none"/>
                    </w:rPr>
                    <w:t>。</w:t>
                  </w:r>
                </w:p>
              </w:tc>
              <w:tc>
                <w:tcPr>
                  <w:tcW w:w="1086" w:type="dxa"/>
                  <w:vAlign w:val="center"/>
                </w:tcPr>
                <w:p w14:paraId="76E6C7DC">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177C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Merge w:val="continue"/>
                  <w:vAlign w:val="center"/>
                </w:tcPr>
                <w:p w14:paraId="33D63A48">
                  <w:pPr>
                    <w:pStyle w:val="81"/>
                    <w:keepNext w:val="0"/>
                    <w:keepLines w:val="0"/>
                    <w:suppressLineNumbers w:val="0"/>
                    <w:bidi w:val="0"/>
                    <w:spacing w:before="0" w:beforeAutospacing="0" w:after="0" w:afterAutospacing="0"/>
                    <w:ind w:left="0" w:right="0"/>
                    <w:rPr>
                      <w:rFonts w:hint="default"/>
                      <w:color w:val="auto"/>
                      <w:highlight w:val="none"/>
                    </w:rPr>
                  </w:pPr>
                </w:p>
              </w:tc>
              <w:tc>
                <w:tcPr>
                  <w:tcW w:w="4926" w:type="dxa"/>
                  <w:vAlign w:val="center"/>
                </w:tcPr>
                <w:p w14:paraId="74DFE39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企业应配置完善的环保处置装置，废气、废水、噪声、固体废弃物、危险废弃物等排放与处置措施应符合国家及地方环保法规和标准的规定。</w:t>
                  </w:r>
                </w:p>
              </w:tc>
              <w:tc>
                <w:tcPr>
                  <w:tcW w:w="2328" w:type="dxa"/>
                  <w:vAlign w:val="center"/>
                </w:tcPr>
                <w:p w14:paraId="5D595363">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本项目产生废气、废水、噪声、固体废弃物、危险废弃物等排放与处置措施应符合国家及地方环保法规和标准的规定。</w:t>
                  </w:r>
                </w:p>
              </w:tc>
              <w:tc>
                <w:tcPr>
                  <w:tcW w:w="1086" w:type="dxa"/>
                  <w:vAlign w:val="center"/>
                </w:tcPr>
                <w:p w14:paraId="148DFABD">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4B24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6" w:type="dxa"/>
                  <w:vMerge w:val="continue"/>
                  <w:vAlign w:val="center"/>
                </w:tcPr>
                <w:p w14:paraId="0B96BB38">
                  <w:pPr>
                    <w:pStyle w:val="81"/>
                    <w:keepNext w:val="0"/>
                    <w:keepLines w:val="0"/>
                    <w:suppressLineNumbers w:val="0"/>
                    <w:bidi w:val="0"/>
                    <w:spacing w:before="0" w:beforeAutospacing="0" w:after="0" w:afterAutospacing="0"/>
                    <w:ind w:left="0" w:right="0"/>
                    <w:rPr>
                      <w:rFonts w:hint="default"/>
                      <w:color w:val="auto"/>
                      <w:highlight w:val="none"/>
                    </w:rPr>
                  </w:pPr>
                </w:p>
              </w:tc>
              <w:tc>
                <w:tcPr>
                  <w:tcW w:w="4926" w:type="dxa"/>
                  <w:vAlign w:val="center"/>
                </w:tcPr>
                <w:p w14:paraId="0DDFB837">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企业可按照GB/T 24001标准要求建立环境管理体系、通过认证并持续有效</w:t>
                  </w:r>
                  <w:r>
                    <w:rPr>
                      <w:rFonts w:hint="eastAsia"/>
                      <w:color w:val="auto"/>
                      <w:highlight w:val="none"/>
                      <w:lang w:eastAsia="zh-CN"/>
                    </w:rPr>
                    <w:t>地</w:t>
                  </w:r>
                  <w:r>
                    <w:rPr>
                      <w:rFonts w:hint="default"/>
                      <w:color w:val="auto"/>
                      <w:highlight w:val="none"/>
                    </w:rPr>
                    <w:t>运行。</w:t>
                  </w:r>
                </w:p>
              </w:tc>
              <w:tc>
                <w:tcPr>
                  <w:tcW w:w="2328" w:type="dxa"/>
                  <w:vAlign w:val="center"/>
                </w:tcPr>
                <w:p w14:paraId="0DB29C08">
                  <w:pPr>
                    <w:pStyle w:val="81"/>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default"/>
                      <w:color w:val="auto"/>
                      <w:highlight w:val="none"/>
                    </w:rPr>
                    <w:t>企业将建立环境管理体系、并通过认证并持续有效</w:t>
                  </w:r>
                  <w:r>
                    <w:rPr>
                      <w:rFonts w:hint="eastAsia"/>
                      <w:color w:val="auto"/>
                      <w:highlight w:val="none"/>
                      <w:lang w:eastAsia="zh-CN"/>
                    </w:rPr>
                    <w:t>地</w:t>
                  </w:r>
                  <w:r>
                    <w:rPr>
                      <w:rFonts w:hint="default"/>
                      <w:color w:val="auto"/>
                      <w:highlight w:val="none"/>
                    </w:rPr>
                    <w:t>运行</w:t>
                  </w:r>
                  <w:r>
                    <w:rPr>
                      <w:rFonts w:hint="eastAsia"/>
                      <w:color w:val="auto"/>
                      <w:highlight w:val="none"/>
                      <w:lang w:eastAsia="zh-CN"/>
                    </w:rPr>
                    <w:t>。</w:t>
                  </w:r>
                </w:p>
              </w:tc>
              <w:tc>
                <w:tcPr>
                  <w:tcW w:w="1086" w:type="dxa"/>
                  <w:vAlign w:val="center"/>
                </w:tcPr>
                <w:p w14:paraId="51AEB59C">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bl>
          <w:p w14:paraId="687D9E0B">
            <w:pPr>
              <w:pStyle w:val="81"/>
              <w:keepNext w:val="0"/>
              <w:keepLines w:val="0"/>
              <w:suppressLineNumbers w:val="0"/>
              <w:bidi w:val="0"/>
              <w:spacing w:before="0" w:beforeAutospacing="0" w:after="0" w:afterAutospacing="0"/>
              <w:ind w:left="0" w:right="0"/>
              <w:rPr>
                <w:rFonts w:hint="eastAsia"/>
                <w:color w:val="auto"/>
                <w:highlight w:val="none"/>
                <w:lang w:val="en-US" w:eastAsia="zh-CN"/>
              </w:rPr>
            </w:pPr>
          </w:p>
          <w:p w14:paraId="28561CC1">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因此，</w:t>
            </w:r>
            <w:r>
              <w:rPr>
                <w:rFonts w:hint="default"/>
                <w:color w:val="auto"/>
                <w:highlight w:val="none"/>
                <w:lang w:val="en-US" w:eastAsia="zh-CN"/>
              </w:rPr>
              <w:t>本项目符合《铸造企业规范条件》（T/CFA 0310021-2019）的有关要求。</w:t>
            </w:r>
          </w:p>
          <w:p w14:paraId="754096C6">
            <w:pPr>
              <w:pStyle w:val="74"/>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1.3.7与《挥发性有机物（VOCs）污染防治技术政策》的符合性</w:t>
            </w:r>
          </w:p>
          <w:p w14:paraId="58E54D4A">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项目与《挥发性有机物（VOCs）污染防治技术政策》（环境保护部公告 2013 年第 31 号）的符合性分析见下表。</w:t>
            </w:r>
          </w:p>
          <w:p w14:paraId="64793D04">
            <w:pPr>
              <w:pStyle w:val="81"/>
              <w:keepNext w:val="0"/>
              <w:keepLines w:val="0"/>
              <w:suppressLineNumbers w:val="0"/>
              <w:bidi w:val="0"/>
              <w:spacing w:before="0" w:beforeAutospacing="0" w:after="0" w:afterAutospacing="0"/>
              <w:ind w:left="0" w:right="0"/>
              <w:rPr>
                <w:rFonts w:hint="eastAsia"/>
                <w:color w:val="auto"/>
                <w:highlight w:val="none"/>
                <w:lang w:val="en-US" w:eastAsia="zh-CN"/>
              </w:rPr>
            </w:pPr>
          </w:p>
          <w:p w14:paraId="112A62D4">
            <w:pPr>
              <w:pStyle w:val="81"/>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 xml:space="preserve">1.3-6 </w:t>
            </w:r>
            <w:r>
              <w:rPr>
                <w:rFonts w:hint="eastAsia"/>
                <w:color w:val="auto"/>
                <w:sz w:val="26"/>
                <w:szCs w:val="26"/>
                <w:highlight w:val="none"/>
              </w:rPr>
              <w:t>与《挥发性有机物（</w:t>
            </w:r>
            <w:r>
              <w:rPr>
                <w:rFonts w:hint="default"/>
                <w:color w:val="auto"/>
                <w:sz w:val="26"/>
                <w:szCs w:val="26"/>
                <w:highlight w:val="none"/>
              </w:rPr>
              <w:t>VOCs</w:t>
            </w:r>
            <w:r>
              <w:rPr>
                <w:rFonts w:hint="eastAsia"/>
                <w:color w:val="auto"/>
                <w:sz w:val="26"/>
                <w:szCs w:val="26"/>
                <w:highlight w:val="none"/>
              </w:rPr>
              <w:t>）污染防治技术政策》（摘录）符合性</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4371"/>
              <w:gridCol w:w="2771"/>
              <w:gridCol w:w="1085"/>
            </w:tblGrid>
            <w:tr w14:paraId="6DAF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04CBAB03">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序号</w:t>
                  </w:r>
                </w:p>
              </w:tc>
              <w:tc>
                <w:tcPr>
                  <w:tcW w:w="3300" w:type="dxa"/>
                  <w:vAlign w:val="center"/>
                </w:tcPr>
                <w:p w14:paraId="43350DB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政策相关要求</w:t>
                  </w:r>
                </w:p>
              </w:tc>
              <w:tc>
                <w:tcPr>
                  <w:tcW w:w="2092" w:type="dxa"/>
                  <w:vAlign w:val="center"/>
                </w:tcPr>
                <w:p w14:paraId="4FEADDD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本项目情况</w:t>
                  </w:r>
                </w:p>
              </w:tc>
              <w:tc>
                <w:tcPr>
                  <w:tcW w:w="819" w:type="dxa"/>
                  <w:vAlign w:val="center"/>
                </w:tcPr>
                <w:p w14:paraId="1084C914">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符合性</w:t>
                  </w:r>
                </w:p>
              </w:tc>
            </w:tr>
            <w:tr w14:paraId="3242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3F552F6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p>
              </w:tc>
              <w:tc>
                <w:tcPr>
                  <w:tcW w:w="3300" w:type="dxa"/>
                  <w:vAlign w:val="center"/>
                </w:tcPr>
                <w:p w14:paraId="068E648A">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对于含高浓度VOCs的废气，宜优先采用冷凝回收、吸附回收技术进行回收利用，并辅助以其他治理技术实现达标排放；对于含中等浓度VOCs的废气，可采用吸附技术回收有机溶剂，或采用催化燃烧和热力焚烧技术净化后达标排放。当采用催化燃烧和热力焚烧技术进行净化时，应进行余热回收利用；对于含中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2092" w:type="dxa"/>
                  <w:vAlign w:val="center"/>
                </w:tcPr>
                <w:p w14:paraId="5B6F5DF7">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本项目</w:t>
                  </w:r>
                  <w:r>
                    <w:rPr>
                      <w:rFonts w:hint="eastAsia"/>
                      <w:color w:val="auto"/>
                      <w:highlight w:val="none"/>
                      <w:lang w:val="en-US" w:eastAsia="zh-CN"/>
                    </w:rPr>
                    <w:t>主要为浸胶、固化、热压、脱模、挤压等过程产生有机废气，均不属于高浓度有机废气、无回收利用价值，采用水喷淋处理浸胶废气（主要成分为乙醇），乙醇特性为可与水任意比互溶，处理效果较好，乙醇喷淋废水经一套生产废水预处理设施（收集池+混凝沉淀+厌氧+好氧+MBR+紫外消毒）预处理达间接排放标准后近期拉运处置，远期排入园区污水处理厂深度处理；固化、热压、脱模（脱模剂中挥发组分主要为矿物油及合成脂，含量约20%）、挤压废气均采用“两级活性炭吸附”工艺处理后达标排放</w:t>
                  </w:r>
                  <w:r>
                    <w:rPr>
                      <w:rFonts w:hint="default"/>
                      <w:color w:val="auto"/>
                      <w:highlight w:val="none"/>
                    </w:rPr>
                    <w:t>。</w:t>
                  </w:r>
                  <w:r>
                    <w:rPr>
                      <w:rFonts w:hint="eastAsia"/>
                      <w:color w:val="auto"/>
                      <w:highlight w:val="none"/>
                      <w:lang w:val="en-US" w:eastAsia="zh-CN"/>
                    </w:rPr>
                    <w:t>处理工艺均为可行工艺。</w:t>
                  </w:r>
                </w:p>
              </w:tc>
              <w:tc>
                <w:tcPr>
                  <w:tcW w:w="819" w:type="dxa"/>
                  <w:vAlign w:val="center"/>
                </w:tcPr>
                <w:p w14:paraId="507A137B">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4006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24E7E3B4">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w:t>
                  </w:r>
                </w:p>
              </w:tc>
              <w:tc>
                <w:tcPr>
                  <w:tcW w:w="3300" w:type="dxa"/>
                  <w:vAlign w:val="center"/>
                </w:tcPr>
                <w:p w14:paraId="1259433B">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对于不能再生的过滤材料、吸附剂及催化剂等净化材料，应按照国家固体废物管理的相关规定处理处置</w:t>
                  </w:r>
                </w:p>
              </w:tc>
              <w:tc>
                <w:tcPr>
                  <w:tcW w:w="2092" w:type="dxa"/>
                  <w:vAlign w:val="center"/>
                </w:tcPr>
                <w:p w14:paraId="597D39BB">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废活性炭等危废定期交由危险废物资质单位处置。</w:t>
                  </w:r>
                </w:p>
              </w:tc>
              <w:tc>
                <w:tcPr>
                  <w:tcW w:w="819" w:type="dxa"/>
                  <w:vAlign w:val="center"/>
                </w:tcPr>
                <w:p w14:paraId="57B4BD33">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77EF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4" w:type="dxa"/>
                  <w:vAlign w:val="center"/>
                </w:tcPr>
                <w:p w14:paraId="6E2B117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w:t>
                  </w:r>
                </w:p>
              </w:tc>
              <w:tc>
                <w:tcPr>
                  <w:tcW w:w="3300" w:type="dxa"/>
                  <w:vAlign w:val="center"/>
                </w:tcPr>
                <w:p w14:paraId="5F05FF62">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（二十五）鼓励企业自行开展 VOCs 监测，并及时主动向当地环保行政主管部门报送监测结果。</w:t>
                  </w:r>
                </w:p>
              </w:tc>
              <w:tc>
                <w:tcPr>
                  <w:tcW w:w="2092" w:type="dxa"/>
                  <w:vAlign w:val="center"/>
                </w:tcPr>
                <w:p w14:paraId="35238F48">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企业将</w:t>
                  </w:r>
                  <w:r>
                    <w:rPr>
                      <w:rFonts w:hint="default"/>
                      <w:color w:val="auto"/>
                      <w:highlight w:val="none"/>
                    </w:rPr>
                    <w:t>按照自行监测要求定期开展监测，并及时向生态环境局报送。</w:t>
                  </w:r>
                </w:p>
              </w:tc>
              <w:tc>
                <w:tcPr>
                  <w:tcW w:w="819" w:type="dxa"/>
                  <w:vAlign w:val="center"/>
                </w:tcPr>
                <w:p w14:paraId="46924F38">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r w14:paraId="6088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vAlign w:val="center"/>
                </w:tcPr>
                <w:p w14:paraId="767A67FB">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4</w:t>
                  </w:r>
                </w:p>
              </w:tc>
              <w:tc>
                <w:tcPr>
                  <w:tcW w:w="3300" w:type="dxa"/>
                  <w:vAlign w:val="center"/>
                </w:tcPr>
                <w:p w14:paraId="61E65C0C">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企业应建立健全VOCs治理设施的运行维护规程</w:t>
                  </w:r>
                  <w:r>
                    <w:rPr>
                      <w:rFonts w:hint="eastAsia"/>
                      <w:color w:val="auto"/>
                      <w:highlight w:val="none"/>
                      <w:lang w:eastAsia="zh-CN"/>
                    </w:rPr>
                    <w:t>和台账</w:t>
                  </w:r>
                  <w:r>
                    <w:rPr>
                      <w:rFonts w:hint="default"/>
                      <w:color w:val="auto"/>
                      <w:highlight w:val="none"/>
                    </w:rPr>
                    <w:t>等日常管理制度，并根据工艺要求定期对各类设备、电气、自控仪表等进行检修维护，确保设施的稳定运行。</w:t>
                  </w:r>
                </w:p>
              </w:tc>
              <w:tc>
                <w:tcPr>
                  <w:tcW w:w="2092" w:type="dxa"/>
                  <w:vAlign w:val="center"/>
                </w:tcPr>
                <w:p w14:paraId="4CEA4877">
                  <w:pPr>
                    <w:pStyle w:val="81"/>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环境管理中要求建设单位建立健全VOCs治理设施的运行维护规程</w:t>
                  </w:r>
                  <w:r>
                    <w:rPr>
                      <w:rFonts w:hint="eastAsia"/>
                      <w:color w:val="auto"/>
                      <w:highlight w:val="none"/>
                      <w:lang w:eastAsia="zh-CN"/>
                    </w:rPr>
                    <w:t>和台账</w:t>
                  </w:r>
                  <w:r>
                    <w:rPr>
                      <w:rFonts w:hint="default"/>
                      <w:color w:val="auto"/>
                      <w:highlight w:val="none"/>
                    </w:rPr>
                    <w:t>等日常管理制度，并定期检修维护废气处理装置，确保设施的稳定运行</w:t>
                  </w:r>
                </w:p>
              </w:tc>
              <w:tc>
                <w:tcPr>
                  <w:tcW w:w="819" w:type="dxa"/>
                  <w:vAlign w:val="center"/>
                </w:tcPr>
                <w:p w14:paraId="6AB4D5E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符合</w:t>
                  </w:r>
                </w:p>
              </w:tc>
            </w:tr>
          </w:tbl>
          <w:p w14:paraId="5C8DAF0B">
            <w:pPr>
              <w:pStyle w:val="81"/>
              <w:keepNext w:val="0"/>
              <w:keepLines w:val="0"/>
              <w:suppressLineNumbers w:val="0"/>
              <w:bidi w:val="0"/>
              <w:spacing w:before="0" w:beforeAutospacing="0" w:after="0" w:afterAutospacing="0"/>
              <w:ind w:left="0" w:right="0"/>
              <w:rPr>
                <w:rFonts w:hint="eastAsia"/>
                <w:color w:val="auto"/>
                <w:highlight w:val="none"/>
                <w:lang w:val="en-US" w:eastAsia="zh-CN"/>
              </w:rPr>
            </w:pPr>
          </w:p>
          <w:p w14:paraId="5234D06A">
            <w:pPr>
              <w:pStyle w:val="74"/>
              <w:keepNext w:val="0"/>
              <w:keepLines w:val="0"/>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1</w:t>
            </w:r>
            <w:r>
              <w:rPr>
                <w:rFonts w:hint="default"/>
                <w:b/>
                <w:bCs/>
                <w:color w:val="auto"/>
                <w:highlight w:val="none"/>
              </w:rPr>
              <w:t>.</w:t>
            </w:r>
            <w:r>
              <w:rPr>
                <w:rFonts w:hint="eastAsia"/>
                <w:b/>
                <w:bCs/>
                <w:color w:val="auto"/>
                <w:highlight w:val="none"/>
                <w:lang w:val="en-US" w:eastAsia="zh-CN"/>
              </w:rPr>
              <w:t>3.8</w:t>
            </w:r>
            <w:r>
              <w:rPr>
                <w:rFonts w:hint="eastAsia"/>
                <w:b/>
                <w:bCs/>
                <w:color w:val="auto"/>
                <w:highlight w:val="none"/>
              </w:rPr>
              <w:t>与《挥发性有机物无组织排放控制标准》的符合性</w:t>
            </w:r>
          </w:p>
          <w:p w14:paraId="0F328456">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《挥发性有机物无组织排放控制标准》（GB37822-2019）中对VOCs物料的储存、转运、使用过程提出了相关的管理要求。本项目所采取的措施与该文件的符合性对比分析详见下表。</w:t>
            </w:r>
          </w:p>
          <w:p w14:paraId="4BA3173F">
            <w:pPr>
              <w:pStyle w:val="81"/>
              <w:keepNext w:val="0"/>
              <w:keepLines w:val="0"/>
              <w:suppressLineNumbers w:val="0"/>
              <w:spacing w:before="0" w:beforeAutospacing="0" w:after="0" w:afterAutospacing="0"/>
              <w:ind w:left="0" w:right="0"/>
              <w:rPr>
                <w:rFonts w:hint="default"/>
                <w:color w:val="auto"/>
                <w:highlight w:val="none"/>
              </w:rPr>
            </w:pPr>
          </w:p>
          <w:p w14:paraId="7D8E1CE3">
            <w:pPr>
              <w:pStyle w:val="81"/>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表1</w:t>
            </w:r>
            <w:r>
              <w:rPr>
                <w:rFonts w:hint="eastAsia"/>
                <w:color w:val="auto"/>
                <w:sz w:val="26"/>
                <w:szCs w:val="26"/>
                <w:highlight w:val="none"/>
                <w:lang w:val="en-US" w:eastAsia="zh-CN"/>
              </w:rPr>
              <w:t xml:space="preserve">.3-7 </w:t>
            </w:r>
            <w:r>
              <w:rPr>
                <w:rFonts w:hint="eastAsia"/>
                <w:color w:val="auto"/>
                <w:sz w:val="26"/>
                <w:szCs w:val="26"/>
                <w:highlight w:val="none"/>
              </w:rPr>
              <w:t xml:space="preserve">  与《挥发性有机物无组织排放控制标准》的符合性</w:t>
            </w:r>
          </w:p>
          <w:tbl>
            <w:tblPr>
              <w:tblStyle w:val="25"/>
              <w:tblW w:w="485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673"/>
              <w:gridCol w:w="4037"/>
              <w:gridCol w:w="3393"/>
              <w:gridCol w:w="696"/>
            </w:tblGrid>
            <w:tr w14:paraId="301E6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673" w:type="dxa"/>
                  <w:vAlign w:val="center"/>
                </w:tcPr>
                <w:p w14:paraId="3BCEA099">
                  <w:pPr>
                    <w:pStyle w:val="81"/>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序号</w:t>
                  </w:r>
                </w:p>
              </w:tc>
              <w:tc>
                <w:tcPr>
                  <w:tcW w:w="4037" w:type="dxa"/>
                  <w:vAlign w:val="center"/>
                </w:tcPr>
                <w:p w14:paraId="1A3755E9">
                  <w:pPr>
                    <w:pStyle w:val="81"/>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《挥发性有机物无组织排放控制标准》</w:t>
                  </w:r>
                </w:p>
              </w:tc>
              <w:tc>
                <w:tcPr>
                  <w:tcW w:w="3393" w:type="dxa"/>
                  <w:vAlign w:val="center"/>
                </w:tcPr>
                <w:p w14:paraId="0F246C97">
                  <w:pPr>
                    <w:pStyle w:val="81"/>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本项目情况</w:t>
                  </w:r>
                </w:p>
              </w:tc>
              <w:tc>
                <w:tcPr>
                  <w:tcW w:w="696" w:type="dxa"/>
                  <w:vAlign w:val="center"/>
                </w:tcPr>
                <w:p w14:paraId="20539B3C">
                  <w:pPr>
                    <w:pStyle w:val="81"/>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符合性</w:t>
                  </w:r>
                </w:p>
              </w:tc>
            </w:tr>
            <w:tr w14:paraId="35916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673" w:type="dxa"/>
                  <w:vAlign w:val="center"/>
                </w:tcPr>
                <w:p w14:paraId="08FBF945">
                  <w:pPr>
                    <w:pStyle w:val="81"/>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1</w:t>
                  </w:r>
                </w:p>
              </w:tc>
              <w:tc>
                <w:tcPr>
                  <w:tcW w:w="4037" w:type="dxa"/>
                  <w:vAlign w:val="center"/>
                </w:tcPr>
                <w:p w14:paraId="3D35CED1">
                  <w:pPr>
                    <w:pStyle w:val="81"/>
                    <w:keepNext w:val="0"/>
                    <w:keepLines w:val="0"/>
                    <w:suppressLineNumbers w:val="0"/>
                    <w:spacing w:before="0" w:beforeAutospacing="0" w:after="0" w:afterAutospacing="0"/>
                    <w:ind w:left="0" w:right="0"/>
                    <w:jc w:val="both"/>
                    <w:rPr>
                      <w:rFonts w:hint="default"/>
                      <w:color w:val="auto"/>
                      <w:highlight w:val="none"/>
                    </w:rPr>
                  </w:pPr>
                  <w:r>
                    <w:rPr>
                      <w:rFonts w:hint="default"/>
                      <w:color w:val="auto"/>
                      <w:highlight w:val="none"/>
                    </w:rPr>
                    <w:t>VOCs</w:t>
                  </w:r>
                  <w:r>
                    <w:rPr>
                      <w:rFonts w:hint="eastAsia"/>
                      <w:color w:val="auto"/>
                      <w:highlight w:val="none"/>
                    </w:rPr>
                    <w:t>物料应储存于密闭的容器、包装袋、储罐、储库、料仓中。</w:t>
                  </w:r>
                </w:p>
                <w:p w14:paraId="23C49D58">
                  <w:pPr>
                    <w:pStyle w:val="81"/>
                    <w:keepNext w:val="0"/>
                    <w:keepLines w:val="0"/>
                    <w:suppressLineNumbers w:val="0"/>
                    <w:spacing w:before="0" w:beforeAutospacing="0" w:after="0" w:afterAutospacing="0"/>
                    <w:ind w:left="0" w:right="0"/>
                    <w:jc w:val="both"/>
                    <w:rPr>
                      <w:rFonts w:hint="default"/>
                      <w:color w:val="auto"/>
                      <w:highlight w:val="none"/>
                    </w:rPr>
                  </w:pPr>
                  <w:r>
                    <w:rPr>
                      <w:rFonts w:hint="eastAsia"/>
                      <w:color w:val="auto"/>
                      <w:highlight w:val="none"/>
                    </w:rPr>
                    <w:t>盛装</w:t>
                  </w:r>
                  <w:r>
                    <w:rPr>
                      <w:rFonts w:hint="default"/>
                      <w:color w:val="auto"/>
                      <w:highlight w:val="none"/>
                    </w:rPr>
                    <w:t>VOCs</w:t>
                  </w:r>
                  <w:r>
                    <w:rPr>
                      <w:rFonts w:hint="eastAsia"/>
                      <w:color w:val="auto"/>
                      <w:highlight w:val="none"/>
                    </w:rPr>
                    <w:t>物料的容器或包装袋应存放于室内，或存放于设置有雨棚，遮阳和防渗设施的专用场地。盛装</w:t>
                  </w:r>
                  <w:r>
                    <w:rPr>
                      <w:rFonts w:hint="default"/>
                      <w:color w:val="auto"/>
                      <w:highlight w:val="none"/>
                    </w:rPr>
                    <w:t>VOCs</w:t>
                  </w:r>
                  <w:r>
                    <w:rPr>
                      <w:rFonts w:hint="eastAsia"/>
                      <w:color w:val="auto"/>
                      <w:highlight w:val="none"/>
                    </w:rPr>
                    <w:t>物料的容器或包装袋在非取用状态时应加盖、封口，保持密闭。</w:t>
                  </w:r>
                </w:p>
              </w:tc>
              <w:tc>
                <w:tcPr>
                  <w:tcW w:w="3393" w:type="dxa"/>
                  <w:vAlign w:val="center"/>
                </w:tcPr>
                <w:p w14:paraId="68F5508B">
                  <w:pPr>
                    <w:pStyle w:val="81"/>
                    <w:keepNext w:val="0"/>
                    <w:keepLines w:val="0"/>
                    <w:suppressLineNumbers w:val="0"/>
                    <w:spacing w:before="0" w:beforeAutospacing="0" w:after="0" w:afterAutospacing="0"/>
                    <w:ind w:left="0" w:right="0"/>
                    <w:jc w:val="both"/>
                    <w:rPr>
                      <w:rFonts w:hint="default"/>
                      <w:color w:val="auto"/>
                      <w:highlight w:val="none"/>
                      <w:lang w:val="en-US" w:eastAsia="zh-CN"/>
                    </w:rPr>
                  </w:pPr>
                  <w:r>
                    <w:rPr>
                      <w:rFonts w:hint="eastAsia"/>
                      <w:color w:val="auto"/>
                      <w:highlight w:val="none"/>
                    </w:rPr>
                    <w:t>本项目的</w:t>
                  </w:r>
                  <w:r>
                    <w:rPr>
                      <w:rFonts w:hint="default"/>
                      <w:color w:val="auto"/>
                      <w:highlight w:val="none"/>
                    </w:rPr>
                    <w:t>VOCs</w:t>
                  </w:r>
                  <w:r>
                    <w:rPr>
                      <w:rFonts w:hint="eastAsia"/>
                      <w:color w:val="auto"/>
                      <w:highlight w:val="none"/>
                    </w:rPr>
                    <w:t>物料主要为</w:t>
                  </w:r>
                  <w:r>
                    <w:rPr>
                      <w:rFonts w:hint="eastAsia"/>
                      <w:color w:val="auto"/>
                      <w:highlight w:val="none"/>
                      <w:lang w:val="en-US" w:eastAsia="zh-CN"/>
                    </w:rPr>
                    <w:t>脱模剂、乙醇、丁腈橡胶等</w:t>
                  </w:r>
                  <w:r>
                    <w:rPr>
                      <w:rFonts w:hint="eastAsia"/>
                      <w:color w:val="auto"/>
                      <w:highlight w:val="none"/>
                    </w:rPr>
                    <w:t>，非取用状态时采用密闭封口、常温、</w:t>
                  </w:r>
                  <w:r>
                    <w:rPr>
                      <w:rFonts w:hint="eastAsia"/>
                      <w:color w:val="auto"/>
                      <w:highlight w:val="none"/>
                      <w:lang w:val="en-US" w:eastAsia="zh-CN"/>
                    </w:rPr>
                    <w:t>分区</w:t>
                  </w:r>
                  <w:r>
                    <w:rPr>
                      <w:rFonts w:hint="eastAsia"/>
                      <w:color w:val="auto"/>
                      <w:highlight w:val="none"/>
                    </w:rPr>
                    <w:t>存放</w:t>
                  </w:r>
                  <w:r>
                    <w:rPr>
                      <w:rFonts w:hint="eastAsia"/>
                      <w:color w:val="auto"/>
                      <w:highlight w:val="none"/>
                      <w:lang w:eastAsia="zh-CN"/>
                    </w:rPr>
                    <w:t>；</w:t>
                  </w:r>
                  <w:r>
                    <w:rPr>
                      <w:rFonts w:hint="eastAsia"/>
                      <w:color w:val="auto"/>
                      <w:highlight w:val="none"/>
                      <w:lang w:val="en-US" w:eastAsia="zh-CN"/>
                    </w:rPr>
                    <w:t>且上述VOCs物料所对应的脱模、浸胶、挤压等工序产生的有机废气均采取可行的治理工艺：压铸脱模产生的有机废气进入1套“过滤棉+除湿装置+两级活性炭吸附”处理，浸胶废气（主要成分为乙醇，以非甲烷总烃计）进入一套水喷淋塔处理，挤压废气收集后进入一套“滤筒除尘+两级活性炭吸附”系统处理。</w:t>
                  </w:r>
                </w:p>
              </w:tc>
              <w:tc>
                <w:tcPr>
                  <w:tcW w:w="696" w:type="dxa"/>
                  <w:vAlign w:val="center"/>
                </w:tcPr>
                <w:p w14:paraId="3FF6E03F">
                  <w:pPr>
                    <w:pStyle w:val="81"/>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w:t>
                  </w:r>
                </w:p>
              </w:tc>
            </w:tr>
            <w:tr w14:paraId="21482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673" w:type="dxa"/>
                  <w:vAlign w:val="center"/>
                </w:tcPr>
                <w:p w14:paraId="17F7F106">
                  <w:pPr>
                    <w:pStyle w:val="81"/>
                    <w:keepNext w:val="0"/>
                    <w:keepLines w:val="0"/>
                    <w:suppressLineNumbers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2</w:t>
                  </w:r>
                </w:p>
              </w:tc>
              <w:tc>
                <w:tcPr>
                  <w:tcW w:w="4037" w:type="dxa"/>
                  <w:shd w:val="clear" w:color="auto" w:fill="auto"/>
                  <w:vAlign w:val="center"/>
                </w:tcPr>
                <w:p w14:paraId="7066A2B8">
                  <w:pPr>
                    <w:pStyle w:val="81"/>
                    <w:keepNext w:val="0"/>
                    <w:keepLines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0"/>
                      <w:sz w:val="22"/>
                      <w:szCs w:val="28"/>
                      <w:highlight w:val="none"/>
                      <w:lang w:val="en-US" w:eastAsia="zh-CN" w:bidi="ar-SA"/>
                    </w:rPr>
                  </w:pPr>
                  <w:r>
                    <w:rPr>
                      <w:rFonts w:hint="default"/>
                      <w:color w:val="auto"/>
                      <w:highlight w:val="none"/>
                    </w:rPr>
                    <w:t>VOCs</w:t>
                  </w:r>
                  <w:r>
                    <w:rPr>
                      <w:rFonts w:hint="eastAsia"/>
                      <w:color w:val="auto"/>
                      <w:highlight w:val="none"/>
                    </w:rPr>
                    <w:t>物料混合、搅拌、研磨、造粒、切片、压块等配料加工过程，以及含</w:t>
                  </w:r>
                  <w:r>
                    <w:rPr>
                      <w:rFonts w:hint="default"/>
                      <w:color w:val="auto"/>
                      <w:highlight w:val="none"/>
                    </w:rPr>
                    <w:t>VOCs</w:t>
                  </w:r>
                  <w:r>
                    <w:rPr>
                      <w:rFonts w:hint="eastAsia"/>
                      <w:color w:val="auto"/>
                      <w:highlight w:val="none"/>
                    </w:rPr>
                    <w:t>产品的包装（灌装、分装）过程应采用密闭设备或在密闭空间内操作，废气应排至</w:t>
                  </w:r>
                  <w:r>
                    <w:rPr>
                      <w:rFonts w:hint="default"/>
                      <w:color w:val="auto"/>
                      <w:highlight w:val="none"/>
                    </w:rPr>
                    <w:t>VOCs</w:t>
                  </w:r>
                  <w:r>
                    <w:rPr>
                      <w:rFonts w:hint="eastAsia"/>
                      <w:color w:val="auto"/>
                      <w:highlight w:val="none"/>
                    </w:rPr>
                    <w:t>废气收集处理系统；无法密闭的，应采取局部气体收集措施，废气应排至</w:t>
                  </w:r>
                  <w:r>
                    <w:rPr>
                      <w:rFonts w:hint="default"/>
                      <w:color w:val="auto"/>
                      <w:highlight w:val="none"/>
                    </w:rPr>
                    <w:t>VOCs</w:t>
                  </w:r>
                  <w:r>
                    <w:rPr>
                      <w:rFonts w:hint="eastAsia"/>
                      <w:color w:val="auto"/>
                      <w:highlight w:val="none"/>
                    </w:rPr>
                    <w:t>废气收集处理系统。</w:t>
                  </w:r>
                </w:p>
              </w:tc>
              <w:tc>
                <w:tcPr>
                  <w:tcW w:w="3393" w:type="dxa"/>
                  <w:shd w:val="clear" w:color="auto" w:fill="auto"/>
                  <w:vAlign w:val="center"/>
                </w:tcPr>
                <w:p w14:paraId="7EB6A5A8">
                  <w:pPr>
                    <w:pStyle w:val="81"/>
                    <w:keepNext w:val="0"/>
                    <w:keepLines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0"/>
                      <w:sz w:val="22"/>
                      <w:szCs w:val="28"/>
                      <w:highlight w:val="none"/>
                      <w:lang w:val="en-US" w:eastAsia="zh-CN" w:bidi="ar-SA"/>
                    </w:rPr>
                  </w:pPr>
                  <w:r>
                    <w:rPr>
                      <w:rFonts w:hint="eastAsia"/>
                      <w:color w:val="auto"/>
                      <w:highlight w:val="none"/>
                    </w:rPr>
                    <w:t>本项目</w:t>
                  </w:r>
                  <w:r>
                    <w:rPr>
                      <w:rFonts w:hint="eastAsia"/>
                      <w:color w:val="auto"/>
                      <w:highlight w:val="none"/>
                      <w:lang w:val="en-US" w:eastAsia="zh-CN"/>
                    </w:rPr>
                    <w:t>丁腈橡胶混合搅拌等配料加工过程，</w:t>
                  </w:r>
                  <w:r>
                    <w:rPr>
                      <w:rFonts w:hint="eastAsia"/>
                      <w:color w:val="auto"/>
                      <w:highlight w:val="none"/>
                    </w:rPr>
                    <w:t>采用密闭设备或局部收集措施，搅拌机、挤压机产生的废气设置集气罩</w:t>
                  </w:r>
                  <w:r>
                    <w:rPr>
                      <w:rFonts w:hint="eastAsia"/>
                      <w:color w:val="auto"/>
                      <w:highlight w:val="none"/>
                      <w:lang w:eastAsia="zh-CN"/>
                    </w:rPr>
                    <w:t>，</w:t>
                  </w:r>
                  <w:r>
                    <w:rPr>
                      <w:rFonts w:hint="eastAsia"/>
                      <w:color w:val="auto"/>
                      <w:highlight w:val="none"/>
                    </w:rPr>
                    <w:t>废气排至VOC</w:t>
                  </w:r>
                  <w:r>
                    <w:rPr>
                      <w:rFonts w:hint="default"/>
                      <w:color w:val="auto"/>
                      <w:highlight w:val="none"/>
                    </w:rPr>
                    <w:t>s</w:t>
                  </w:r>
                  <w:r>
                    <w:rPr>
                      <w:rFonts w:hint="eastAsia"/>
                      <w:color w:val="auto"/>
                      <w:highlight w:val="none"/>
                    </w:rPr>
                    <w:t>废气收集系统</w:t>
                  </w:r>
                  <w:r>
                    <w:rPr>
                      <w:rFonts w:hint="eastAsia"/>
                      <w:color w:val="auto"/>
                      <w:highlight w:val="none"/>
                      <w:lang w:eastAsia="zh-CN"/>
                    </w:rPr>
                    <w:t>，挤压废气收集后进入一套“滤筒除尘+两级活性炭吸附”系统处理</w:t>
                  </w:r>
                  <w:r>
                    <w:rPr>
                      <w:rFonts w:hint="eastAsia"/>
                      <w:color w:val="auto"/>
                      <w:highlight w:val="none"/>
                    </w:rPr>
                    <w:t>。</w:t>
                  </w:r>
                </w:p>
              </w:tc>
              <w:tc>
                <w:tcPr>
                  <w:tcW w:w="696" w:type="dxa"/>
                  <w:shd w:val="clear" w:color="auto" w:fill="auto"/>
                  <w:vAlign w:val="center"/>
                </w:tcPr>
                <w:p w14:paraId="4359B4F9">
                  <w:pPr>
                    <w:pStyle w:val="81"/>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0"/>
                      <w:sz w:val="22"/>
                      <w:szCs w:val="28"/>
                      <w:highlight w:val="none"/>
                      <w:lang w:val="en-US" w:eastAsia="zh-CN" w:bidi="ar-SA"/>
                    </w:rPr>
                  </w:pPr>
                  <w:r>
                    <w:rPr>
                      <w:rFonts w:hint="eastAsia"/>
                      <w:color w:val="auto"/>
                      <w:highlight w:val="none"/>
                    </w:rPr>
                    <w:t>符合</w:t>
                  </w:r>
                </w:p>
              </w:tc>
            </w:tr>
            <w:tr w14:paraId="11411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673" w:type="dxa"/>
                  <w:vAlign w:val="center"/>
                </w:tcPr>
                <w:p w14:paraId="434F242E">
                  <w:pPr>
                    <w:pStyle w:val="81"/>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3</w:t>
                  </w:r>
                </w:p>
              </w:tc>
              <w:tc>
                <w:tcPr>
                  <w:tcW w:w="4037" w:type="dxa"/>
                  <w:vAlign w:val="center"/>
                </w:tcPr>
                <w:p w14:paraId="0C29661B">
                  <w:pPr>
                    <w:pStyle w:val="81"/>
                    <w:keepNext w:val="0"/>
                    <w:keepLines w:val="0"/>
                    <w:suppressLineNumbers w:val="0"/>
                    <w:spacing w:before="0" w:beforeAutospacing="0" w:after="0" w:afterAutospacing="0"/>
                    <w:ind w:left="0" w:right="0"/>
                    <w:jc w:val="both"/>
                    <w:rPr>
                      <w:rFonts w:hint="default"/>
                      <w:color w:val="auto"/>
                      <w:highlight w:val="none"/>
                    </w:rPr>
                  </w:pPr>
                  <w:r>
                    <w:rPr>
                      <w:rFonts w:hint="eastAsia"/>
                      <w:color w:val="auto"/>
                      <w:highlight w:val="none"/>
                    </w:rPr>
                    <w:t>工艺过程产生的含 VOCs 废料（渣、液）按要求进行储存、转移和输送。盛装过VOCs 物料的废包装容器应加盖密闭。</w:t>
                  </w:r>
                </w:p>
              </w:tc>
              <w:tc>
                <w:tcPr>
                  <w:tcW w:w="3393" w:type="dxa"/>
                  <w:vAlign w:val="center"/>
                </w:tcPr>
                <w:p w14:paraId="3B6EE527">
                  <w:pPr>
                    <w:pStyle w:val="81"/>
                    <w:keepNext w:val="0"/>
                    <w:keepLines w:val="0"/>
                    <w:suppressLineNumbers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lang w:val="en-US" w:eastAsia="zh-CN"/>
                    </w:rPr>
                    <w:t>本项目仅乙醇废气处理过程产生含VOCs废液，更换下来的废液密闭加盖储存，经一套生产废水处理设施（收集池+混凝沉淀+厌氧+好氧+MBR+紫外消毒）预处理后，近期由重庆宁态环保科技有限公司拉运并处置；远期可接入北渡园区污水处理厂深度处理。</w:t>
                  </w:r>
                </w:p>
              </w:tc>
              <w:tc>
                <w:tcPr>
                  <w:tcW w:w="696" w:type="dxa"/>
                  <w:vAlign w:val="center"/>
                </w:tcPr>
                <w:p w14:paraId="7624A0B3">
                  <w:pPr>
                    <w:pStyle w:val="81"/>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符合</w:t>
                  </w:r>
                </w:p>
              </w:tc>
            </w:tr>
            <w:tr w14:paraId="5AA12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673" w:type="dxa"/>
                  <w:vAlign w:val="center"/>
                </w:tcPr>
                <w:p w14:paraId="4D054E5C">
                  <w:pPr>
                    <w:pStyle w:val="81"/>
                    <w:keepNext w:val="0"/>
                    <w:keepLines w:val="0"/>
                    <w:suppressLineNumbers w:val="0"/>
                    <w:spacing w:before="0" w:beforeAutospacing="0" w:after="0" w:afterAutospacing="0"/>
                    <w:ind w:left="0" w:right="0"/>
                    <w:rPr>
                      <w:rFonts w:hint="default"/>
                      <w:color w:val="auto"/>
                      <w:highlight w:val="none"/>
                    </w:rPr>
                  </w:pPr>
                  <w:r>
                    <w:rPr>
                      <w:rFonts w:hint="default"/>
                      <w:color w:val="auto"/>
                      <w:highlight w:val="none"/>
                    </w:rPr>
                    <w:t>4</w:t>
                  </w:r>
                </w:p>
              </w:tc>
              <w:tc>
                <w:tcPr>
                  <w:tcW w:w="4037" w:type="dxa"/>
                  <w:vAlign w:val="center"/>
                </w:tcPr>
                <w:p w14:paraId="25C95DDC">
                  <w:pPr>
                    <w:pStyle w:val="81"/>
                    <w:keepNext w:val="0"/>
                    <w:keepLines w:val="0"/>
                    <w:suppressLineNumbers w:val="0"/>
                    <w:spacing w:before="0" w:beforeAutospacing="0" w:after="0" w:afterAutospacing="0"/>
                    <w:ind w:left="0" w:leftChars="0" w:right="0" w:rightChars="0"/>
                    <w:jc w:val="both"/>
                    <w:rPr>
                      <w:rFonts w:hint="default"/>
                      <w:color w:val="auto"/>
                      <w:highlight w:val="none"/>
                    </w:rPr>
                  </w:pPr>
                  <w:r>
                    <w:rPr>
                      <w:rFonts w:hint="eastAsia"/>
                      <w:color w:val="auto"/>
                      <w:highlight w:val="none"/>
                    </w:rPr>
                    <w:t>企业应建立台账，记录含</w:t>
                  </w:r>
                  <w:r>
                    <w:rPr>
                      <w:rFonts w:hint="default"/>
                      <w:color w:val="auto"/>
                      <w:highlight w:val="none"/>
                    </w:rPr>
                    <w:t>VOCs</w:t>
                  </w:r>
                  <w:r>
                    <w:rPr>
                      <w:rFonts w:hint="eastAsia"/>
                      <w:color w:val="auto"/>
                      <w:highlight w:val="none"/>
                    </w:rPr>
                    <w:t>原辅材料和含</w:t>
                  </w:r>
                  <w:r>
                    <w:rPr>
                      <w:rFonts w:hint="default"/>
                      <w:color w:val="auto"/>
                      <w:highlight w:val="none"/>
                    </w:rPr>
                    <w:t>VOCs</w:t>
                  </w:r>
                  <w:r>
                    <w:rPr>
                      <w:rFonts w:hint="eastAsia"/>
                      <w:color w:val="auto"/>
                      <w:highlight w:val="none"/>
                    </w:rPr>
                    <w:t>产品的名称、使用量、回收量、废弃量、去向以及</w:t>
                  </w:r>
                  <w:r>
                    <w:rPr>
                      <w:rFonts w:hint="default"/>
                      <w:color w:val="auto"/>
                      <w:highlight w:val="none"/>
                    </w:rPr>
                    <w:t>VOCs</w:t>
                  </w:r>
                  <w:r>
                    <w:rPr>
                      <w:rFonts w:hint="eastAsia"/>
                      <w:color w:val="auto"/>
                      <w:highlight w:val="none"/>
                    </w:rPr>
                    <w:t>含量等信息。台账保存期限不少于</w:t>
                  </w:r>
                  <w:r>
                    <w:rPr>
                      <w:rFonts w:hint="default"/>
                      <w:color w:val="auto"/>
                      <w:highlight w:val="none"/>
                    </w:rPr>
                    <w:t>3</w:t>
                  </w:r>
                  <w:r>
                    <w:rPr>
                      <w:rFonts w:hint="eastAsia"/>
                      <w:color w:val="auto"/>
                      <w:highlight w:val="none"/>
                    </w:rPr>
                    <w:t>年。</w:t>
                  </w:r>
                </w:p>
              </w:tc>
              <w:tc>
                <w:tcPr>
                  <w:tcW w:w="3393" w:type="dxa"/>
                  <w:vAlign w:val="center"/>
                </w:tcPr>
                <w:p w14:paraId="3B97D102">
                  <w:pPr>
                    <w:pStyle w:val="81"/>
                    <w:keepNext w:val="0"/>
                    <w:keepLines w:val="0"/>
                    <w:suppressLineNumbers w:val="0"/>
                    <w:spacing w:before="0" w:beforeAutospacing="0" w:after="0" w:afterAutospacing="0"/>
                    <w:ind w:left="0" w:leftChars="0" w:right="0" w:rightChars="0"/>
                    <w:jc w:val="both"/>
                    <w:rPr>
                      <w:rFonts w:hint="default"/>
                      <w:color w:val="auto"/>
                      <w:highlight w:val="none"/>
                    </w:rPr>
                  </w:pPr>
                  <w:r>
                    <w:rPr>
                      <w:rFonts w:hint="eastAsia"/>
                      <w:color w:val="auto"/>
                      <w:highlight w:val="none"/>
                    </w:rPr>
                    <w:t>本项目针对VOCs物料的使用量、回收量、废弃量、去向以及</w:t>
                  </w:r>
                  <w:r>
                    <w:rPr>
                      <w:rFonts w:hint="default"/>
                      <w:color w:val="auto"/>
                      <w:highlight w:val="none"/>
                    </w:rPr>
                    <w:t>VOCs</w:t>
                  </w:r>
                  <w:r>
                    <w:rPr>
                      <w:rFonts w:hint="eastAsia"/>
                      <w:color w:val="auto"/>
                      <w:highlight w:val="none"/>
                    </w:rPr>
                    <w:t>含量等信息建立台账，台账保存期限为</w:t>
                  </w:r>
                  <w:r>
                    <w:rPr>
                      <w:rFonts w:hint="default"/>
                      <w:color w:val="auto"/>
                      <w:highlight w:val="none"/>
                    </w:rPr>
                    <w:t>3</w:t>
                  </w:r>
                  <w:r>
                    <w:rPr>
                      <w:rFonts w:hint="eastAsia"/>
                      <w:color w:val="auto"/>
                      <w:highlight w:val="none"/>
                    </w:rPr>
                    <w:t>年。</w:t>
                  </w:r>
                </w:p>
              </w:tc>
              <w:tc>
                <w:tcPr>
                  <w:tcW w:w="696" w:type="dxa"/>
                  <w:vAlign w:val="center"/>
                </w:tcPr>
                <w:p w14:paraId="315DF4E7">
                  <w:pPr>
                    <w:pStyle w:val="81"/>
                    <w:keepNext w:val="0"/>
                    <w:keepLines w:val="0"/>
                    <w:suppressLineNumbers w:val="0"/>
                    <w:spacing w:before="0" w:beforeAutospacing="0" w:after="0" w:afterAutospacing="0"/>
                    <w:ind w:left="0" w:leftChars="0" w:right="0" w:rightChars="0"/>
                    <w:rPr>
                      <w:rFonts w:hint="default"/>
                      <w:color w:val="auto"/>
                      <w:highlight w:val="none"/>
                    </w:rPr>
                  </w:pPr>
                  <w:r>
                    <w:rPr>
                      <w:rFonts w:hint="eastAsia"/>
                      <w:color w:val="auto"/>
                      <w:highlight w:val="none"/>
                    </w:rPr>
                    <w:t>符合</w:t>
                  </w:r>
                </w:p>
              </w:tc>
            </w:tr>
            <w:tr w14:paraId="3CEA0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673" w:type="dxa"/>
                  <w:vAlign w:val="center"/>
                </w:tcPr>
                <w:p w14:paraId="3D57C734">
                  <w:pPr>
                    <w:pStyle w:val="81"/>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5</w:t>
                  </w:r>
                </w:p>
              </w:tc>
              <w:tc>
                <w:tcPr>
                  <w:tcW w:w="4037" w:type="dxa"/>
                  <w:shd w:val="clear" w:color="auto" w:fill="auto"/>
                  <w:vAlign w:val="center"/>
                </w:tcPr>
                <w:p w14:paraId="62F58792">
                  <w:pPr>
                    <w:pStyle w:val="81"/>
                    <w:keepNext w:val="0"/>
                    <w:keepLines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0"/>
                      <w:sz w:val="22"/>
                      <w:szCs w:val="28"/>
                      <w:highlight w:val="none"/>
                      <w:lang w:val="en-US" w:eastAsia="zh-CN" w:bidi="ar-SA"/>
                    </w:rPr>
                  </w:pPr>
                  <w:r>
                    <w:rPr>
                      <w:rFonts w:hint="default"/>
                      <w:color w:val="auto"/>
                      <w:highlight w:val="none"/>
                    </w:rPr>
                    <w:t>VOCs</w:t>
                  </w:r>
                  <w:r>
                    <w:rPr>
                      <w:rFonts w:hint="eastAsia"/>
                      <w:color w:val="auto"/>
                      <w:highlight w:val="none"/>
                    </w:rPr>
                    <w:t>废气收集处理系统应与生产工艺设备同步运行；废气收集系统的输送管道应密闭，废气收集系统应在负压下运行；</w:t>
                  </w:r>
                  <w:r>
                    <w:rPr>
                      <w:rFonts w:hint="default"/>
                      <w:color w:val="auto"/>
                      <w:highlight w:val="none"/>
                    </w:rPr>
                    <w:t>VOCs</w:t>
                  </w:r>
                  <w:r>
                    <w:rPr>
                      <w:rFonts w:hint="eastAsia"/>
                      <w:color w:val="auto"/>
                      <w:highlight w:val="none"/>
                    </w:rPr>
                    <w:t>废气收集处理系统污染物排放应符合</w:t>
                  </w:r>
                  <w:r>
                    <w:rPr>
                      <w:rFonts w:hint="default"/>
                      <w:color w:val="auto"/>
                      <w:highlight w:val="none"/>
                    </w:rPr>
                    <w:t>GB16297</w:t>
                  </w:r>
                  <w:r>
                    <w:rPr>
                      <w:rFonts w:hint="eastAsia"/>
                      <w:color w:val="auto"/>
                      <w:highlight w:val="none"/>
                    </w:rPr>
                    <w:t>或相关行业排放标准的规定。</w:t>
                  </w:r>
                </w:p>
              </w:tc>
              <w:tc>
                <w:tcPr>
                  <w:tcW w:w="3393" w:type="dxa"/>
                  <w:shd w:val="clear" w:color="auto" w:fill="auto"/>
                  <w:vAlign w:val="center"/>
                </w:tcPr>
                <w:p w14:paraId="43A4C3C9">
                  <w:pPr>
                    <w:pStyle w:val="81"/>
                    <w:keepNext w:val="0"/>
                    <w:keepLines w:val="0"/>
                    <w:suppressLineNumbers w:val="0"/>
                    <w:spacing w:before="0" w:beforeAutospacing="0" w:after="0" w:afterAutospacing="0"/>
                    <w:ind w:left="0" w:leftChars="0" w:right="0" w:rightChars="0"/>
                    <w:jc w:val="both"/>
                    <w:rPr>
                      <w:rFonts w:hint="default" w:ascii="Times New Roman" w:hAnsi="Times New Roman" w:eastAsia="宋体" w:cs="Times New Roman"/>
                      <w:color w:val="auto"/>
                      <w:kern w:val="0"/>
                      <w:sz w:val="22"/>
                      <w:szCs w:val="28"/>
                      <w:highlight w:val="none"/>
                      <w:lang w:val="en-US" w:eastAsia="zh-CN" w:bidi="ar-SA"/>
                    </w:rPr>
                  </w:pPr>
                  <w:r>
                    <w:rPr>
                      <w:rFonts w:hint="eastAsia"/>
                      <w:color w:val="auto"/>
                      <w:highlight w:val="none"/>
                    </w:rPr>
                    <w:t>本项目废气收集处理系统将严格与生产工艺设备同步运行；所有废气管道均采用密闭设计，在负压下运行。</w:t>
                  </w:r>
                  <w:r>
                    <w:rPr>
                      <w:rFonts w:hint="default"/>
                      <w:color w:val="auto"/>
                      <w:highlight w:val="none"/>
                    </w:rPr>
                    <w:t>VOCs</w:t>
                  </w:r>
                  <w:r>
                    <w:rPr>
                      <w:rFonts w:hint="eastAsia"/>
                      <w:color w:val="auto"/>
                      <w:highlight w:val="none"/>
                    </w:rPr>
                    <w:t>废气处理系统污染物的排放均符合</w:t>
                  </w:r>
                  <w:r>
                    <w:rPr>
                      <w:rFonts w:hint="eastAsia"/>
                      <w:color w:val="auto"/>
                      <w:highlight w:val="none"/>
                      <w:lang w:val="en-US" w:eastAsia="zh-CN"/>
                    </w:rPr>
                    <w:t>对应</w:t>
                  </w:r>
                  <w:r>
                    <w:rPr>
                      <w:rFonts w:hint="eastAsia"/>
                      <w:color w:val="auto"/>
                      <w:highlight w:val="none"/>
                    </w:rPr>
                    <w:t>排放标准的规定。</w:t>
                  </w:r>
                </w:p>
              </w:tc>
              <w:tc>
                <w:tcPr>
                  <w:tcW w:w="696" w:type="dxa"/>
                  <w:shd w:val="clear" w:color="auto" w:fill="auto"/>
                  <w:vAlign w:val="center"/>
                </w:tcPr>
                <w:p w14:paraId="49028D6D">
                  <w:pPr>
                    <w:pStyle w:val="81"/>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0"/>
                      <w:sz w:val="22"/>
                      <w:szCs w:val="28"/>
                      <w:highlight w:val="none"/>
                      <w:lang w:val="en-US" w:eastAsia="zh-CN" w:bidi="ar-SA"/>
                    </w:rPr>
                  </w:pPr>
                  <w:r>
                    <w:rPr>
                      <w:rFonts w:hint="eastAsia"/>
                      <w:color w:val="auto"/>
                      <w:highlight w:val="none"/>
                    </w:rPr>
                    <w:t>符合</w:t>
                  </w:r>
                </w:p>
              </w:tc>
            </w:tr>
          </w:tbl>
          <w:p w14:paraId="39D1EC5B">
            <w:pPr>
              <w:pStyle w:val="81"/>
              <w:keepNext w:val="0"/>
              <w:keepLines w:val="0"/>
              <w:suppressLineNumbers w:val="0"/>
              <w:spacing w:before="0" w:beforeAutospacing="0" w:after="0" w:afterAutospacing="0"/>
              <w:ind w:left="0" w:right="0"/>
              <w:rPr>
                <w:rFonts w:hint="default"/>
                <w:color w:val="auto"/>
                <w:highlight w:val="none"/>
              </w:rPr>
            </w:pPr>
          </w:p>
          <w:p w14:paraId="34DAE88F">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因此，本项目与《挥发性有机物无组织排放控制标准》（GB37822-2019）的要求相符。</w:t>
            </w:r>
          </w:p>
          <w:p w14:paraId="40909DFC">
            <w:pPr>
              <w:keepNext w:val="0"/>
              <w:keepLines w:val="0"/>
              <w:suppressLineNumbers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 xml:space="preserve">1.4 </w:t>
            </w:r>
            <w:r>
              <w:rPr>
                <w:rFonts w:hint="eastAsia"/>
                <w:b/>
                <w:color w:val="auto"/>
                <w:sz w:val="26"/>
                <w:szCs w:val="26"/>
                <w:highlight w:val="none"/>
              </w:rPr>
              <w:t>与“三线一单”符合性</w:t>
            </w:r>
          </w:p>
          <w:p w14:paraId="45E6CB52">
            <w:pPr>
              <w:keepNext w:val="0"/>
              <w:keepLines w:val="0"/>
              <w:suppressLineNumbers w:val="0"/>
              <w:spacing w:before="0" w:beforeAutospacing="0" w:after="0" w:afterAutospacing="0" w:line="400" w:lineRule="exact"/>
              <w:ind w:left="0" w:right="0" w:firstLine="520" w:firstLineChars="200"/>
              <w:rPr>
                <w:rFonts w:hint="eastAsia"/>
                <w:color w:val="auto"/>
                <w:sz w:val="26"/>
                <w:szCs w:val="26"/>
                <w:highlight w:val="none"/>
              </w:rPr>
            </w:pPr>
            <w:r>
              <w:rPr>
                <w:rFonts w:hint="eastAsia"/>
                <w:color w:val="auto"/>
                <w:sz w:val="26"/>
                <w:szCs w:val="26"/>
                <w:highlight w:val="none"/>
              </w:rPr>
              <w:t>根据《建设项目环评“三线一单”符合性分析技术要点（试行）》（渝环函</w:t>
            </w:r>
            <w:r>
              <w:rPr>
                <w:rFonts w:hint="eastAsia"/>
                <w:color w:val="auto"/>
                <w:sz w:val="26"/>
                <w:szCs w:val="26"/>
                <w:highlight w:val="none"/>
                <w:lang w:eastAsia="zh-CN"/>
              </w:rPr>
              <w:t>〔2022〕397号</w:t>
            </w:r>
            <w:r>
              <w:rPr>
                <w:rFonts w:hint="eastAsia"/>
                <w:color w:val="auto"/>
                <w:sz w:val="26"/>
                <w:szCs w:val="26"/>
                <w:highlight w:val="none"/>
              </w:rPr>
              <w:t>），可简化“三线一单”符合性分析，但由于《重庆市“三线一单”生态环境分区管控调整方案（2023年）》（渝环规〔2024〕2号）</w:t>
            </w:r>
            <w:r>
              <w:rPr>
                <w:rFonts w:hint="eastAsia"/>
                <w:color w:val="auto"/>
                <w:sz w:val="26"/>
                <w:szCs w:val="26"/>
                <w:highlight w:val="none"/>
                <w:lang w:val="en-US" w:eastAsia="zh-CN"/>
              </w:rPr>
              <w:t>已发布实施</w:t>
            </w:r>
            <w:r>
              <w:rPr>
                <w:rFonts w:hint="eastAsia"/>
                <w:color w:val="auto"/>
                <w:sz w:val="26"/>
                <w:szCs w:val="26"/>
                <w:highlight w:val="none"/>
              </w:rPr>
              <w:t>，</w:t>
            </w:r>
            <w:r>
              <w:rPr>
                <w:rFonts w:hint="eastAsia"/>
                <w:color w:val="auto"/>
                <w:sz w:val="26"/>
                <w:szCs w:val="26"/>
                <w:highlight w:val="none"/>
                <w:lang w:val="en-US" w:eastAsia="zh-CN"/>
              </w:rPr>
              <w:t>重庆市总体管控要求、綦江区总体管控要求、所在单元管控要求均发生调整，</w:t>
            </w:r>
            <w:r>
              <w:rPr>
                <w:rFonts w:hint="eastAsia"/>
                <w:color w:val="auto"/>
                <w:sz w:val="26"/>
                <w:szCs w:val="26"/>
                <w:highlight w:val="none"/>
              </w:rPr>
              <w:t>因此本次评价需按照渝环函</w:t>
            </w:r>
            <w:r>
              <w:rPr>
                <w:rFonts w:hint="eastAsia"/>
                <w:color w:val="auto"/>
                <w:sz w:val="26"/>
                <w:szCs w:val="26"/>
                <w:highlight w:val="none"/>
                <w:lang w:eastAsia="zh-CN"/>
              </w:rPr>
              <w:t>〔2022〕397号</w:t>
            </w:r>
            <w:r>
              <w:rPr>
                <w:rFonts w:hint="eastAsia"/>
                <w:color w:val="auto"/>
                <w:sz w:val="26"/>
                <w:szCs w:val="26"/>
                <w:highlight w:val="none"/>
              </w:rPr>
              <w:t>文的分析要求开展本项目与</w:t>
            </w:r>
            <w:r>
              <w:rPr>
                <w:rFonts w:hint="eastAsia"/>
                <w:color w:val="auto"/>
                <w:sz w:val="26"/>
                <w:szCs w:val="26"/>
                <w:highlight w:val="none"/>
                <w:lang w:val="en-US" w:eastAsia="zh-CN"/>
              </w:rPr>
              <w:t>调整后的</w:t>
            </w:r>
            <w:r>
              <w:rPr>
                <w:rFonts w:hint="eastAsia"/>
                <w:color w:val="auto"/>
                <w:sz w:val="26"/>
                <w:szCs w:val="26"/>
                <w:highlight w:val="none"/>
              </w:rPr>
              <w:t>“三线一单”的符合性分析。</w:t>
            </w:r>
          </w:p>
          <w:p w14:paraId="56D81D07">
            <w:pPr>
              <w:keepNext w:val="0"/>
              <w:keepLines w:val="0"/>
              <w:suppressLineNumbers w:val="0"/>
              <w:spacing w:before="0" w:beforeAutospacing="0" w:after="0" w:afterAutospacing="0" w:line="400" w:lineRule="exact"/>
              <w:ind w:left="0" w:right="0" w:firstLine="520" w:firstLineChars="200"/>
              <w:rPr>
                <w:rFonts w:hint="default"/>
                <w:color w:val="auto"/>
                <w:sz w:val="26"/>
                <w:szCs w:val="26"/>
                <w:highlight w:val="none"/>
                <w:lang w:val="en-US" w:eastAsia="zh-CN"/>
              </w:rPr>
            </w:pPr>
            <w:r>
              <w:rPr>
                <w:rFonts w:hint="eastAsia"/>
                <w:color w:val="auto"/>
                <w:sz w:val="26"/>
                <w:szCs w:val="26"/>
                <w:highlight w:val="none"/>
                <w:lang w:val="en-US" w:eastAsia="zh-CN"/>
              </w:rPr>
              <w:t>根据“三线一单”质检报告（附件6），本项目位于綦江区工业城镇重点管控单元－北渡片区（ZH50011020003）。</w:t>
            </w:r>
          </w:p>
          <w:p w14:paraId="1A209D31">
            <w:pPr>
              <w:keepNext w:val="0"/>
              <w:keepLines w:val="0"/>
              <w:suppressLineNumbers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本项目与《重庆市“三线一单”生态环境分区管控调整方案（2023年）》（渝环规〔2024〕2号）的市级总体管控要求、《重庆市綦江区“三线一单”生态环境分区管控调整方案（2023年）》</w:t>
            </w:r>
            <w:r>
              <w:rPr>
                <w:rFonts w:hint="eastAsia"/>
                <w:color w:val="auto"/>
                <w:sz w:val="26"/>
                <w:szCs w:val="26"/>
                <w:highlight w:val="none"/>
                <w:lang w:eastAsia="zh-CN"/>
              </w:rPr>
              <w:t>（綦江府发〔2024〕15号）</w:t>
            </w:r>
            <w:r>
              <w:rPr>
                <w:rFonts w:hint="eastAsia"/>
                <w:color w:val="auto"/>
                <w:sz w:val="26"/>
                <w:szCs w:val="26"/>
                <w:highlight w:val="none"/>
                <w:lang w:val="en-US" w:eastAsia="zh-CN"/>
              </w:rPr>
              <w:t>的</w:t>
            </w:r>
            <w:r>
              <w:rPr>
                <w:rFonts w:hint="eastAsia"/>
                <w:color w:val="auto"/>
                <w:sz w:val="26"/>
                <w:szCs w:val="26"/>
                <w:highlight w:val="none"/>
              </w:rPr>
              <w:t>綦江区</w:t>
            </w:r>
            <w:r>
              <w:rPr>
                <w:rFonts w:hint="eastAsia"/>
                <w:color w:val="auto"/>
                <w:sz w:val="26"/>
                <w:szCs w:val="26"/>
                <w:highlight w:val="none"/>
                <w:lang w:eastAsia="zh-CN"/>
              </w:rPr>
              <w:t>“三线一单”</w:t>
            </w:r>
            <w:r>
              <w:rPr>
                <w:rFonts w:hint="eastAsia"/>
                <w:color w:val="auto"/>
                <w:sz w:val="26"/>
                <w:szCs w:val="26"/>
                <w:highlight w:val="none"/>
              </w:rPr>
              <w:t>总体管控要求、所在的环境管控单元的“三线一单”管控要求的符合性见下表。</w:t>
            </w:r>
          </w:p>
          <w:p w14:paraId="63B1359B">
            <w:pPr>
              <w:keepNext w:val="0"/>
              <w:keepLines w:val="0"/>
              <w:suppressLineNumbers w:val="0"/>
              <w:spacing w:before="0" w:beforeAutospacing="0" w:after="0" w:afterAutospacing="0" w:line="400" w:lineRule="exact"/>
              <w:ind w:left="0" w:right="0"/>
              <w:rPr>
                <w:rFonts w:hint="default"/>
                <w:color w:val="auto"/>
                <w:sz w:val="26"/>
                <w:szCs w:val="26"/>
                <w:highlight w:val="none"/>
              </w:rPr>
            </w:pPr>
          </w:p>
        </w:tc>
      </w:tr>
    </w:tbl>
    <w:p w14:paraId="4A2F3247">
      <w:pPr>
        <w:rPr>
          <w:color w:val="auto"/>
          <w:szCs w:val="21"/>
          <w:highlight w:val="none"/>
        </w:rPr>
        <w:sectPr>
          <w:pgSz w:w="11906" w:h="16838"/>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p w14:paraId="7088B93F">
      <w:pPr>
        <w:tabs>
          <w:tab w:val="left" w:pos="1200"/>
        </w:tabs>
        <w:jc w:val="center"/>
        <w:rPr>
          <w:color w:val="auto"/>
          <w:sz w:val="26"/>
          <w:szCs w:val="26"/>
          <w:highlight w:val="none"/>
        </w:rPr>
      </w:pPr>
      <w:r>
        <w:rPr>
          <w:color w:val="auto"/>
          <w:sz w:val="26"/>
          <w:szCs w:val="26"/>
          <w:highlight w:val="none"/>
        </w:rPr>
        <w:t xml:space="preserve">表1.4-1 </w:t>
      </w:r>
      <w:r>
        <w:rPr>
          <w:rFonts w:hint="eastAsia"/>
          <w:color w:val="auto"/>
          <w:sz w:val="26"/>
          <w:szCs w:val="26"/>
          <w:highlight w:val="none"/>
          <w:lang w:val="en-US" w:eastAsia="zh-CN"/>
        </w:rPr>
        <w:t xml:space="preserve">  </w:t>
      </w:r>
      <w:r>
        <w:rPr>
          <w:bCs/>
          <w:color w:val="auto"/>
          <w:sz w:val="26"/>
          <w:szCs w:val="26"/>
          <w:highlight w:val="none"/>
        </w:rPr>
        <w:t>项目与“三线一单”</w:t>
      </w:r>
      <w:r>
        <w:rPr>
          <w:rFonts w:hint="eastAsia"/>
          <w:bCs/>
          <w:color w:val="auto"/>
          <w:sz w:val="26"/>
          <w:szCs w:val="26"/>
          <w:highlight w:val="none"/>
        </w:rPr>
        <w:t>生态环境分区</w:t>
      </w:r>
      <w:r>
        <w:rPr>
          <w:bCs/>
          <w:color w:val="auto"/>
          <w:sz w:val="26"/>
          <w:szCs w:val="26"/>
          <w:highlight w:val="none"/>
        </w:rPr>
        <w:t>管控要求的符合性分析</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021"/>
        <w:gridCol w:w="8465"/>
        <w:gridCol w:w="3496"/>
        <w:gridCol w:w="906"/>
      </w:tblGrid>
      <w:tr w14:paraId="040A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9" w:type="dxa"/>
            <w:gridSpan w:val="2"/>
            <w:tcBorders>
              <w:top w:val="single" w:color="auto" w:sz="4" w:space="0"/>
              <w:left w:val="single" w:color="auto" w:sz="4" w:space="0"/>
              <w:bottom w:val="single" w:color="auto" w:sz="4" w:space="0"/>
              <w:right w:val="single" w:color="auto" w:sz="4" w:space="0"/>
            </w:tcBorders>
            <w:vAlign w:val="center"/>
          </w:tcPr>
          <w:p w14:paraId="08FBD38E">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环境管控单元编码</w:t>
            </w:r>
          </w:p>
        </w:tc>
        <w:tc>
          <w:tcPr>
            <w:tcW w:w="8465" w:type="dxa"/>
            <w:tcBorders>
              <w:top w:val="single" w:color="auto" w:sz="4" w:space="0"/>
              <w:left w:val="single" w:color="auto" w:sz="4" w:space="0"/>
              <w:bottom w:val="single" w:color="auto" w:sz="4" w:space="0"/>
              <w:right w:val="single" w:color="auto" w:sz="4" w:space="0"/>
            </w:tcBorders>
            <w:vAlign w:val="center"/>
          </w:tcPr>
          <w:p w14:paraId="17519429">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环境管控单元名称</w:t>
            </w:r>
          </w:p>
        </w:tc>
        <w:tc>
          <w:tcPr>
            <w:tcW w:w="4402" w:type="dxa"/>
            <w:gridSpan w:val="2"/>
            <w:tcBorders>
              <w:top w:val="single" w:color="auto" w:sz="4" w:space="0"/>
              <w:left w:val="single" w:color="auto" w:sz="4" w:space="0"/>
              <w:bottom w:val="single" w:color="auto" w:sz="4" w:space="0"/>
              <w:right w:val="single" w:color="auto" w:sz="4" w:space="0"/>
            </w:tcBorders>
            <w:vAlign w:val="center"/>
          </w:tcPr>
          <w:p w14:paraId="24A588D3">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环境管控单元类型</w:t>
            </w:r>
          </w:p>
        </w:tc>
      </w:tr>
      <w:tr w14:paraId="7F29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19" w:type="dxa"/>
            <w:gridSpan w:val="2"/>
            <w:tcBorders>
              <w:top w:val="single" w:color="auto" w:sz="4" w:space="0"/>
              <w:left w:val="single" w:color="auto" w:sz="4" w:space="0"/>
              <w:bottom w:val="single" w:color="auto" w:sz="4" w:space="0"/>
              <w:right w:val="single" w:color="auto" w:sz="4" w:space="0"/>
            </w:tcBorders>
            <w:vAlign w:val="center"/>
          </w:tcPr>
          <w:p w14:paraId="1923B364">
            <w:pPr>
              <w:keepNext w:val="0"/>
              <w:keepLines w:val="0"/>
              <w:suppressLineNumbers w:val="0"/>
              <w:snapToGrid w:val="0"/>
              <w:spacing w:before="0" w:beforeAutospacing="0" w:after="0" w:afterAutospacing="0" w:line="340" w:lineRule="exact"/>
              <w:ind w:left="0" w:right="0"/>
              <w:jc w:val="center"/>
              <w:rPr>
                <w:rFonts w:hint="eastAsia" w:eastAsia="宋体"/>
                <w:bCs/>
                <w:color w:val="auto"/>
                <w:sz w:val="22"/>
                <w:szCs w:val="22"/>
                <w:highlight w:val="none"/>
                <w:lang w:val="en-US" w:eastAsia="zh-CN"/>
              </w:rPr>
            </w:pPr>
            <w:r>
              <w:rPr>
                <w:rFonts w:hint="eastAsia"/>
                <w:bCs/>
                <w:color w:val="auto"/>
                <w:sz w:val="22"/>
                <w:szCs w:val="22"/>
                <w:highlight w:val="none"/>
              </w:rPr>
              <w:t>ZH50011020003</w:t>
            </w:r>
          </w:p>
        </w:tc>
        <w:tc>
          <w:tcPr>
            <w:tcW w:w="8465" w:type="dxa"/>
            <w:tcBorders>
              <w:top w:val="single" w:color="auto" w:sz="4" w:space="0"/>
              <w:left w:val="single" w:color="auto" w:sz="4" w:space="0"/>
              <w:bottom w:val="single" w:color="auto" w:sz="4" w:space="0"/>
              <w:right w:val="single" w:color="auto" w:sz="4" w:space="0"/>
            </w:tcBorders>
            <w:vAlign w:val="center"/>
          </w:tcPr>
          <w:p w14:paraId="3E384170">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綦江区工业城镇重点管控单元</w:t>
            </w:r>
            <w:r>
              <w:rPr>
                <w:rFonts w:hint="eastAsia"/>
                <w:bCs/>
                <w:color w:val="auto"/>
                <w:sz w:val="22"/>
                <w:szCs w:val="22"/>
                <w:highlight w:val="none"/>
                <w:lang w:eastAsia="zh-CN"/>
              </w:rPr>
              <w:t>－</w:t>
            </w:r>
            <w:r>
              <w:rPr>
                <w:rFonts w:hint="eastAsia"/>
                <w:bCs/>
                <w:color w:val="auto"/>
                <w:sz w:val="22"/>
                <w:szCs w:val="22"/>
                <w:highlight w:val="none"/>
              </w:rPr>
              <w:t>北渡片区</w:t>
            </w:r>
          </w:p>
        </w:tc>
        <w:tc>
          <w:tcPr>
            <w:tcW w:w="4402" w:type="dxa"/>
            <w:gridSpan w:val="2"/>
            <w:tcBorders>
              <w:top w:val="single" w:color="auto" w:sz="4" w:space="0"/>
              <w:left w:val="single" w:color="auto" w:sz="4" w:space="0"/>
              <w:bottom w:val="single" w:color="auto" w:sz="4" w:space="0"/>
              <w:right w:val="single" w:color="auto" w:sz="4" w:space="0"/>
            </w:tcBorders>
            <w:vAlign w:val="center"/>
          </w:tcPr>
          <w:p w14:paraId="0185E228">
            <w:pPr>
              <w:keepNext w:val="0"/>
              <w:keepLines w:val="0"/>
              <w:suppressLineNumbers w:val="0"/>
              <w:snapToGrid w:val="0"/>
              <w:spacing w:before="0" w:beforeAutospacing="0" w:after="0" w:afterAutospacing="0" w:line="340" w:lineRule="exact"/>
              <w:ind w:left="0" w:right="0"/>
              <w:jc w:val="center"/>
              <w:rPr>
                <w:rFonts w:hint="eastAsia" w:eastAsia="宋体"/>
                <w:bCs/>
                <w:color w:val="auto"/>
                <w:sz w:val="22"/>
                <w:szCs w:val="22"/>
                <w:highlight w:val="none"/>
                <w:lang w:val="en-US" w:eastAsia="zh-CN"/>
              </w:rPr>
            </w:pPr>
            <w:r>
              <w:rPr>
                <w:rFonts w:hint="eastAsia"/>
                <w:bCs/>
                <w:color w:val="auto"/>
                <w:sz w:val="22"/>
                <w:szCs w:val="22"/>
                <w:highlight w:val="none"/>
              </w:rPr>
              <w:t>重点管控单元</w:t>
            </w:r>
          </w:p>
        </w:tc>
      </w:tr>
      <w:tr w14:paraId="5DAC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6A9F1C69">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管控要求层级</w:t>
            </w:r>
          </w:p>
        </w:tc>
        <w:tc>
          <w:tcPr>
            <w:tcW w:w="1021" w:type="dxa"/>
            <w:tcBorders>
              <w:top w:val="single" w:color="auto" w:sz="4" w:space="0"/>
              <w:left w:val="single" w:color="auto" w:sz="4" w:space="0"/>
              <w:bottom w:val="single" w:color="auto" w:sz="4" w:space="0"/>
              <w:right w:val="single" w:color="auto" w:sz="4" w:space="0"/>
            </w:tcBorders>
            <w:vAlign w:val="center"/>
          </w:tcPr>
          <w:p w14:paraId="693C6529">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管控</w:t>
            </w:r>
          </w:p>
          <w:p w14:paraId="0FE63390">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类型</w:t>
            </w:r>
          </w:p>
        </w:tc>
        <w:tc>
          <w:tcPr>
            <w:tcW w:w="8465" w:type="dxa"/>
            <w:tcBorders>
              <w:top w:val="single" w:color="auto" w:sz="4" w:space="0"/>
              <w:left w:val="single" w:color="auto" w:sz="4" w:space="0"/>
              <w:bottom w:val="single" w:color="auto" w:sz="4" w:space="0"/>
              <w:right w:val="single" w:color="auto" w:sz="4" w:space="0"/>
            </w:tcBorders>
            <w:vAlign w:val="center"/>
          </w:tcPr>
          <w:p w14:paraId="031CFEBA">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管控要求</w:t>
            </w:r>
          </w:p>
        </w:tc>
        <w:tc>
          <w:tcPr>
            <w:tcW w:w="3496" w:type="dxa"/>
            <w:tcBorders>
              <w:top w:val="single" w:color="auto" w:sz="4" w:space="0"/>
              <w:left w:val="single" w:color="auto" w:sz="4" w:space="0"/>
              <w:bottom w:val="single" w:color="auto" w:sz="4" w:space="0"/>
              <w:right w:val="single" w:color="auto" w:sz="4" w:space="0"/>
            </w:tcBorders>
            <w:vAlign w:val="center"/>
          </w:tcPr>
          <w:p w14:paraId="4D9823ED">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建设项目相关情况</w:t>
            </w:r>
          </w:p>
        </w:tc>
        <w:tc>
          <w:tcPr>
            <w:tcW w:w="906" w:type="dxa"/>
            <w:tcBorders>
              <w:top w:val="single" w:color="auto" w:sz="4" w:space="0"/>
              <w:left w:val="single" w:color="auto" w:sz="4" w:space="0"/>
              <w:bottom w:val="single" w:color="auto" w:sz="4" w:space="0"/>
              <w:right w:val="single" w:color="auto" w:sz="4" w:space="0"/>
            </w:tcBorders>
            <w:vAlign w:val="center"/>
          </w:tcPr>
          <w:p w14:paraId="048A831C">
            <w:pPr>
              <w:keepNext w:val="0"/>
              <w:keepLines w:val="0"/>
              <w:suppressLineNumbers w:val="0"/>
              <w:snapToGrid w:val="0"/>
              <w:spacing w:before="0" w:beforeAutospacing="0" w:after="0" w:afterAutospacing="0" w:line="340" w:lineRule="exact"/>
              <w:ind w:left="0" w:right="0"/>
              <w:jc w:val="center"/>
              <w:rPr>
                <w:rFonts w:hint="default"/>
                <w:bCs/>
                <w:color w:val="auto"/>
                <w:sz w:val="22"/>
                <w:szCs w:val="22"/>
                <w:highlight w:val="none"/>
              </w:rPr>
            </w:pPr>
            <w:r>
              <w:rPr>
                <w:rFonts w:hint="eastAsia"/>
                <w:bCs/>
                <w:color w:val="auto"/>
                <w:sz w:val="22"/>
                <w:szCs w:val="22"/>
                <w:highlight w:val="none"/>
              </w:rPr>
              <w:t>符合性</w:t>
            </w:r>
          </w:p>
        </w:tc>
      </w:tr>
      <w:tr w14:paraId="796A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dxa"/>
            <w:vMerge w:val="restart"/>
            <w:tcBorders>
              <w:top w:val="single" w:color="auto" w:sz="4" w:space="0"/>
              <w:left w:val="single" w:color="auto" w:sz="4" w:space="0"/>
              <w:bottom w:val="single" w:color="auto" w:sz="4" w:space="0"/>
              <w:right w:val="single" w:color="auto" w:sz="4" w:space="0"/>
            </w:tcBorders>
            <w:vAlign w:val="center"/>
          </w:tcPr>
          <w:p w14:paraId="1750B894">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全市总体管控要求</w:t>
            </w:r>
          </w:p>
        </w:tc>
        <w:tc>
          <w:tcPr>
            <w:tcW w:w="1021" w:type="dxa"/>
            <w:tcBorders>
              <w:top w:val="single" w:color="auto" w:sz="4" w:space="0"/>
              <w:left w:val="single" w:color="auto" w:sz="4" w:space="0"/>
              <w:bottom w:val="single" w:color="auto" w:sz="4" w:space="0"/>
              <w:right w:val="single" w:color="auto" w:sz="4" w:space="0"/>
            </w:tcBorders>
            <w:vAlign w:val="center"/>
          </w:tcPr>
          <w:p w14:paraId="1C04F3BF">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空间布局约束</w:t>
            </w:r>
          </w:p>
        </w:tc>
        <w:tc>
          <w:tcPr>
            <w:tcW w:w="8465" w:type="dxa"/>
            <w:tcBorders>
              <w:top w:val="single" w:color="auto" w:sz="4" w:space="0"/>
              <w:left w:val="single" w:color="auto" w:sz="4" w:space="0"/>
              <w:right w:val="single" w:color="auto" w:sz="4" w:space="0"/>
            </w:tcBorders>
            <w:vAlign w:val="center"/>
          </w:tcPr>
          <w:p w14:paraId="17B9F4D8">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第一条  深入贯彻习近平生态文明思想，筑牢长江上游重要生态屏障，推动优势区域重点发展、生态功能区重点保护、城乡融合发展，优化重点区域、流域、产业的空间布局。</w:t>
            </w:r>
          </w:p>
          <w:p w14:paraId="4D789EDA">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第二条  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禁止在长江、嘉陵江、乌江岸线一公里范围内布局新建重化工、纸浆制造、印染等存在环境风险的项目。</w:t>
            </w:r>
          </w:p>
          <w:p w14:paraId="6FFC7BAF">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第三条  禁止在合规园区外新建、扩建钢铁、石化、化工、焦化、建材、有色、制浆造纸等高污染项目（高污染项目严格按照《环境保护综合名录》“高污染”产品名录执行）。禁止新建、扩建不符合国家石化、现代煤化工等产业布局规划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p w14:paraId="6B7FCDA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第四条  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p w14:paraId="2C8078E4">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第五条  新建、扩建有色金属冶炼、电镀、铅蓄电池等企业应布设在依法合规设立并经过规划环评的产业园区。</w:t>
            </w:r>
          </w:p>
          <w:p w14:paraId="79301E4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第六条  涉及环境防护距离的工业企业或项目应通过选址或调整布局原则上将环境防护距离控制在园区边界或用地红线内，提前合理规划项目地块布置、预防环境风险。</w:t>
            </w:r>
          </w:p>
          <w:p w14:paraId="378AF9AD">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第七条  有效规范空间开发秩序，合理控制空间开发强度，切实将各类开发活动限制在资源环境承载能力之内，为构建高效协调可持续的国土空间开发格局奠定坚实基础。</w:t>
            </w:r>
          </w:p>
        </w:tc>
        <w:tc>
          <w:tcPr>
            <w:tcW w:w="3496" w:type="dxa"/>
            <w:tcBorders>
              <w:top w:val="single" w:color="auto" w:sz="4" w:space="0"/>
              <w:left w:val="single" w:color="auto" w:sz="4" w:space="0"/>
              <w:right w:val="single" w:color="auto" w:sz="4" w:space="0"/>
            </w:tcBorders>
            <w:vAlign w:val="center"/>
          </w:tcPr>
          <w:p w14:paraId="455B42A2">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1.本项目位于</w:t>
            </w:r>
            <w:r>
              <w:rPr>
                <w:rFonts w:hint="eastAsia"/>
                <w:color w:val="auto"/>
                <w:sz w:val="22"/>
                <w:szCs w:val="22"/>
                <w:highlight w:val="none"/>
                <w:lang w:val="en-US" w:eastAsia="zh-CN"/>
              </w:rPr>
              <w:t>綦江北渡铝产业园</w:t>
            </w:r>
            <w:r>
              <w:rPr>
                <w:rFonts w:hint="eastAsia"/>
                <w:color w:val="auto"/>
                <w:sz w:val="22"/>
                <w:szCs w:val="22"/>
                <w:highlight w:val="none"/>
              </w:rPr>
              <w:t>内，为</w:t>
            </w:r>
            <w:r>
              <w:rPr>
                <w:rFonts w:hint="eastAsia"/>
                <w:color w:val="auto"/>
                <w:sz w:val="22"/>
                <w:szCs w:val="22"/>
                <w:highlight w:val="none"/>
                <w:lang w:val="en-US" w:eastAsia="zh-CN"/>
              </w:rPr>
              <w:t>摩托车零部件及配件制造项目</w:t>
            </w:r>
            <w:r>
              <w:rPr>
                <w:rFonts w:hint="eastAsia"/>
                <w:color w:val="auto"/>
                <w:sz w:val="22"/>
                <w:szCs w:val="22"/>
                <w:highlight w:val="none"/>
              </w:rPr>
              <w:t>，不属于化工项目、不属于高污染项目；</w:t>
            </w:r>
          </w:p>
          <w:p w14:paraId="7F46EAFF">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2.项目不属于高耗能、高排放、低水平项目；</w:t>
            </w:r>
          </w:p>
          <w:p w14:paraId="1D3510CA">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3.本项目</w:t>
            </w:r>
            <w:r>
              <w:rPr>
                <w:rFonts w:hint="eastAsia"/>
                <w:color w:val="auto"/>
                <w:sz w:val="22"/>
                <w:szCs w:val="22"/>
                <w:highlight w:val="none"/>
                <w:lang w:eastAsia="zh-CN"/>
              </w:rPr>
              <w:t>无须设置</w:t>
            </w:r>
            <w:r>
              <w:rPr>
                <w:rFonts w:hint="eastAsia"/>
                <w:color w:val="auto"/>
                <w:sz w:val="22"/>
                <w:szCs w:val="22"/>
                <w:highlight w:val="none"/>
              </w:rPr>
              <w:t>环境防护距离；</w:t>
            </w:r>
          </w:p>
          <w:p w14:paraId="5D79E845">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4.本项目</w:t>
            </w:r>
            <w:r>
              <w:rPr>
                <w:rFonts w:hint="eastAsia"/>
                <w:color w:val="auto"/>
                <w:sz w:val="22"/>
                <w:szCs w:val="22"/>
                <w:highlight w:val="none"/>
                <w:lang w:val="en-US" w:eastAsia="zh-CN"/>
              </w:rPr>
              <w:t>用地已获得规划许可证</w:t>
            </w:r>
            <w:r>
              <w:rPr>
                <w:rFonts w:hint="eastAsia"/>
                <w:color w:val="auto"/>
                <w:sz w:val="22"/>
                <w:szCs w:val="22"/>
                <w:highlight w:val="none"/>
              </w:rPr>
              <w:t>，</w:t>
            </w:r>
            <w:r>
              <w:rPr>
                <w:rFonts w:hint="eastAsia"/>
                <w:color w:val="auto"/>
                <w:sz w:val="22"/>
                <w:szCs w:val="22"/>
                <w:highlight w:val="none"/>
                <w:lang w:val="en-US" w:eastAsia="zh-CN"/>
              </w:rPr>
              <w:t>属于工业用地，</w:t>
            </w:r>
            <w:r>
              <w:rPr>
                <w:rFonts w:hint="eastAsia"/>
                <w:color w:val="auto"/>
                <w:sz w:val="22"/>
                <w:szCs w:val="22"/>
                <w:highlight w:val="none"/>
              </w:rPr>
              <w:t>不会改变区域的国土空间开发格局。</w:t>
            </w:r>
          </w:p>
        </w:tc>
        <w:tc>
          <w:tcPr>
            <w:tcW w:w="906" w:type="dxa"/>
            <w:tcBorders>
              <w:top w:val="single" w:color="auto" w:sz="4" w:space="0"/>
              <w:left w:val="single" w:color="auto" w:sz="4" w:space="0"/>
              <w:bottom w:val="single" w:color="auto" w:sz="4" w:space="0"/>
              <w:right w:val="single" w:color="auto" w:sz="4" w:space="0"/>
            </w:tcBorders>
            <w:vAlign w:val="center"/>
          </w:tcPr>
          <w:p w14:paraId="4735636F">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51CC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6043B49">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279DED42">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污染物排放管控</w:t>
            </w:r>
          </w:p>
        </w:tc>
        <w:tc>
          <w:tcPr>
            <w:tcW w:w="8465" w:type="dxa"/>
            <w:tcBorders>
              <w:top w:val="single" w:color="auto" w:sz="4" w:space="0"/>
              <w:left w:val="single" w:color="auto" w:sz="4" w:space="0"/>
              <w:bottom w:val="single" w:color="auto" w:sz="4" w:space="0"/>
              <w:right w:val="single" w:color="auto" w:sz="4" w:space="0"/>
            </w:tcBorders>
            <w:vAlign w:val="center"/>
          </w:tcPr>
          <w:p w14:paraId="4DA111BF">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第八条  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家或地方已出台超低排放要求的“两高”行业建设项目应满足超低排放要求。加强水泥和平板玻璃行业差别化管理，新改扩建项目严格落实相关产业政策要求，满足能效标杆水平、环保绩效A级指标要求。</w:t>
            </w:r>
          </w:p>
          <w:p w14:paraId="15762CBD">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第九条  严格落实国家及我市大气污染防控相关要求，对大气环境质量未达标地区</w:t>
            </w:r>
            <w:r>
              <w:rPr>
                <w:rFonts w:hint="eastAsia"/>
                <w:color w:val="auto"/>
                <w:sz w:val="22"/>
                <w:szCs w:val="22"/>
                <w:highlight w:val="none"/>
                <w:lang w:eastAsia="zh-CN"/>
              </w:rPr>
              <w:t>，对</w:t>
            </w:r>
            <w:r>
              <w:rPr>
                <w:rFonts w:hint="eastAsia"/>
                <w:color w:val="auto"/>
                <w:sz w:val="22"/>
                <w:szCs w:val="22"/>
                <w:highlight w:val="none"/>
              </w:rPr>
              <w:t>新建、改扩建项目实施更严格的污染物排放总量控制要求。严格落实区域削减要求，所在区域、流域控制单元环境质量未达到国家或者地方环境质量标准的，建设项目需提出有效的区域削减方案，主要污染物实行区域倍量削减。</w:t>
            </w:r>
          </w:p>
          <w:p w14:paraId="13B4D7CC">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第十条  在重点行业（石化、化工、工业涂装、包装印刷、油品储运销等）推进挥发性有机物综合治理，推动低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p w14:paraId="25C79265">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第十一条  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p w14:paraId="0AB75757">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第十二条  推进乡镇生活污水处理设施达标改造。新建城市生活污水处理厂全部按照一级A标及以上排放标准设计、施工、验收，建制乡镇生活污水处理设施出水水质不得低于一级B标排放标准；对现有截留制排水管网实施雨污分流改造，针对无法彻底雨污分流的老城区，尊重现实合理保留截留制区域，合理提高截留倍数；对新建的排水管网，全部按照雨污分流模式实施建设。</w:t>
            </w:r>
          </w:p>
          <w:p w14:paraId="2F81F6BC">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第十三条  新、改、扩建重点行业〔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重点重金属污染物排放执行“等量替代”原则。</w:t>
            </w:r>
          </w:p>
          <w:p w14:paraId="3DFEC5C0">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第十四条  固体废物污染环境防治坚持减量化、资源化和无害化的原则。产生工业固体废物的单位应当建立健全工业固体废物产生、收集、贮存、运输、利用、处置全过程的污染环境防治责任制度，建立工业固体废物管理台账。</w:t>
            </w:r>
          </w:p>
          <w:p w14:paraId="67132761">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第十五条  建设分类投放、分类收集、分类运输、分类处理的生活垃圾处理系统。合理布局生活垃圾分类收集站点，完善分类运输系统，加快补齐分类收集转运设施能力短板。强化“无废城市”制度、技术、市场、监管、全民行动“五大体系”建设，推进城市固体废物精细化管理。</w:t>
            </w:r>
          </w:p>
        </w:tc>
        <w:tc>
          <w:tcPr>
            <w:tcW w:w="3496" w:type="dxa"/>
            <w:tcBorders>
              <w:top w:val="single" w:color="auto" w:sz="4" w:space="0"/>
              <w:left w:val="single" w:color="auto" w:sz="4" w:space="0"/>
              <w:bottom w:val="single" w:color="auto" w:sz="4" w:space="0"/>
              <w:right w:val="single" w:color="auto" w:sz="4" w:space="0"/>
            </w:tcBorders>
            <w:vAlign w:val="center"/>
          </w:tcPr>
          <w:p w14:paraId="11CBE22D">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1.本项目不属于钢铁、水泥熟料、平板玻璃、电解铝等行业，不属于</w:t>
            </w:r>
            <w:r>
              <w:rPr>
                <w:rFonts w:hint="eastAsia"/>
                <w:color w:val="auto"/>
                <w:sz w:val="22"/>
                <w:szCs w:val="22"/>
                <w:highlight w:val="none"/>
                <w:lang w:val="en-US" w:eastAsia="zh-CN"/>
              </w:rPr>
              <w:t>已出台超低排放要求的行业</w:t>
            </w:r>
            <w:r>
              <w:rPr>
                <w:rFonts w:hint="eastAsia"/>
                <w:color w:val="auto"/>
                <w:sz w:val="22"/>
                <w:szCs w:val="22"/>
                <w:highlight w:val="none"/>
              </w:rPr>
              <w:t>；项目所在地的</w:t>
            </w:r>
            <w:r>
              <w:rPr>
                <w:rFonts w:hint="eastAsia"/>
                <w:color w:val="auto"/>
                <w:sz w:val="22"/>
                <w:szCs w:val="22"/>
                <w:highlight w:val="none"/>
                <w:lang w:val="en-US" w:eastAsia="zh-CN"/>
              </w:rPr>
              <w:t>NMHC满足相应的环境质量标准</w:t>
            </w:r>
            <w:r>
              <w:rPr>
                <w:rFonts w:hint="eastAsia"/>
                <w:color w:val="auto"/>
                <w:sz w:val="22"/>
                <w:szCs w:val="22"/>
                <w:highlight w:val="none"/>
              </w:rPr>
              <w:t>。綦江区202</w:t>
            </w:r>
            <w:r>
              <w:rPr>
                <w:rFonts w:hint="eastAsia"/>
                <w:color w:val="auto"/>
                <w:sz w:val="22"/>
                <w:szCs w:val="22"/>
                <w:highlight w:val="none"/>
                <w:lang w:val="en-US" w:eastAsia="zh-CN"/>
              </w:rPr>
              <w:t>4</w:t>
            </w:r>
            <w:r>
              <w:rPr>
                <w:rFonts w:hint="eastAsia"/>
                <w:color w:val="auto"/>
                <w:sz w:val="22"/>
                <w:szCs w:val="22"/>
                <w:highlight w:val="none"/>
              </w:rPr>
              <w:t>年为PM</w:t>
            </w:r>
            <w:r>
              <w:rPr>
                <w:rFonts w:hint="eastAsia"/>
                <w:color w:val="auto"/>
                <w:sz w:val="22"/>
                <w:szCs w:val="22"/>
                <w:highlight w:val="none"/>
                <w:vertAlign w:val="subscript"/>
              </w:rPr>
              <w:t>2.5</w:t>
            </w:r>
            <w:r>
              <w:rPr>
                <w:rFonts w:hint="eastAsia"/>
                <w:color w:val="auto"/>
                <w:sz w:val="22"/>
                <w:szCs w:val="22"/>
                <w:highlight w:val="none"/>
              </w:rPr>
              <w:t>不达标区，在《重庆市綦江区生态环境保护“十四五”规划》的相关措施实施后，环境容量将能够支撑本项目的实施。</w:t>
            </w:r>
          </w:p>
          <w:p w14:paraId="41F74C5F">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2.本项目不属于石化、化工、工业涂装、包装印刷、油品储运销等行业</w:t>
            </w:r>
            <w:r>
              <w:rPr>
                <w:rFonts w:hint="eastAsia"/>
                <w:color w:val="auto"/>
                <w:sz w:val="22"/>
                <w:szCs w:val="22"/>
                <w:highlight w:val="none"/>
                <w:lang w:eastAsia="zh-CN"/>
              </w:rPr>
              <w:t>，</w:t>
            </w:r>
            <w:r>
              <w:rPr>
                <w:rFonts w:hint="eastAsia"/>
                <w:color w:val="auto"/>
                <w:sz w:val="22"/>
                <w:szCs w:val="22"/>
                <w:highlight w:val="none"/>
                <w:lang w:val="en-US" w:eastAsia="zh-CN"/>
              </w:rPr>
              <w:t>项目不涉及喷涂等工序</w:t>
            </w:r>
            <w:r>
              <w:rPr>
                <w:rFonts w:hint="eastAsia"/>
                <w:color w:val="auto"/>
                <w:sz w:val="22"/>
                <w:szCs w:val="22"/>
                <w:highlight w:val="none"/>
              </w:rPr>
              <w:t>。</w:t>
            </w:r>
          </w:p>
          <w:p w14:paraId="33D3C74F">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3.本项目所在区域</w:t>
            </w:r>
            <w:r>
              <w:rPr>
                <w:rFonts w:hint="eastAsia"/>
                <w:color w:val="auto"/>
                <w:sz w:val="22"/>
                <w:szCs w:val="22"/>
                <w:highlight w:val="none"/>
                <w:lang w:val="en-US" w:eastAsia="zh-CN"/>
              </w:rPr>
              <w:t>污水管网完善、目前可通过污水管网接入旗能电铝的污水处理站，园区的污水处理厂已建成，预计2026年1月投运</w:t>
            </w:r>
            <w:r>
              <w:rPr>
                <w:rFonts w:hint="eastAsia"/>
                <w:color w:val="auto"/>
                <w:sz w:val="22"/>
                <w:szCs w:val="22"/>
                <w:highlight w:val="none"/>
              </w:rPr>
              <w:t>；</w:t>
            </w:r>
          </w:p>
          <w:p w14:paraId="50F51C66">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4.本项目不涉及重金属污染物排放；</w:t>
            </w:r>
          </w:p>
          <w:p w14:paraId="37746DCA">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5.一般固废暂存于一般固废暂存间后外售</w:t>
            </w:r>
            <w:r>
              <w:rPr>
                <w:rFonts w:hint="eastAsia"/>
                <w:color w:val="auto"/>
                <w:sz w:val="22"/>
                <w:szCs w:val="22"/>
                <w:highlight w:val="none"/>
                <w:lang w:val="en-US" w:eastAsia="zh-CN"/>
              </w:rPr>
              <w:t>或外委处置</w:t>
            </w:r>
            <w:r>
              <w:rPr>
                <w:rFonts w:hint="eastAsia"/>
                <w:color w:val="auto"/>
                <w:sz w:val="22"/>
                <w:szCs w:val="22"/>
                <w:highlight w:val="none"/>
              </w:rPr>
              <w:t>；</w:t>
            </w:r>
            <w:r>
              <w:rPr>
                <w:rFonts w:hint="eastAsia"/>
                <w:color w:val="auto"/>
                <w:sz w:val="22"/>
                <w:szCs w:val="22"/>
                <w:highlight w:val="none"/>
                <w:lang w:val="en-US" w:eastAsia="zh-CN"/>
              </w:rPr>
              <w:t>危险废物分类分区</w:t>
            </w:r>
            <w:r>
              <w:rPr>
                <w:rFonts w:hint="eastAsia"/>
                <w:color w:val="auto"/>
                <w:sz w:val="22"/>
                <w:szCs w:val="22"/>
                <w:highlight w:val="none"/>
              </w:rPr>
              <w:t>暂存于危废</w:t>
            </w:r>
            <w:r>
              <w:rPr>
                <w:rFonts w:hint="eastAsia"/>
                <w:color w:val="auto"/>
                <w:sz w:val="22"/>
                <w:szCs w:val="22"/>
                <w:highlight w:val="none"/>
                <w:lang w:val="en-US" w:eastAsia="zh-CN"/>
              </w:rPr>
              <w:t>贮存库内</w:t>
            </w:r>
            <w:r>
              <w:rPr>
                <w:rFonts w:hint="eastAsia"/>
                <w:color w:val="auto"/>
                <w:sz w:val="22"/>
                <w:szCs w:val="22"/>
                <w:highlight w:val="none"/>
              </w:rPr>
              <w:t>，定期交有资质的单位处置；生活垃圾经分类收集后</w:t>
            </w:r>
            <w:r>
              <w:rPr>
                <w:rFonts w:hint="eastAsia"/>
                <w:color w:val="auto"/>
                <w:sz w:val="22"/>
                <w:szCs w:val="22"/>
                <w:highlight w:val="none"/>
                <w:lang w:val="en-US" w:eastAsia="zh-CN"/>
              </w:rPr>
              <w:t>交环卫部门</w:t>
            </w:r>
            <w:r>
              <w:rPr>
                <w:rFonts w:hint="eastAsia"/>
                <w:color w:val="auto"/>
                <w:sz w:val="22"/>
                <w:szCs w:val="22"/>
                <w:highlight w:val="none"/>
              </w:rPr>
              <w:t>清运处置。</w:t>
            </w:r>
          </w:p>
        </w:tc>
        <w:tc>
          <w:tcPr>
            <w:tcW w:w="906" w:type="dxa"/>
            <w:tcBorders>
              <w:top w:val="single" w:color="auto" w:sz="4" w:space="0"/>
              <w:left w:val="single" w:color="auto" w:sz="4" w:space="0"/>
              <w:bottom w:val="single" w:color="auto" w:sz="4" w:space="0"/>
              <w:right w:val="single" w:color="auto" w:sz="4" w:space="0"/>
            </w:tcBorders>
            <w:vAlign w:val="center"/>
          </w:tcPr>
          <w:p w14:paraId="3DAFEB08">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65EA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E30D50">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75C6E359">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环境风险防控</w:t>
            </w:r>
          </w:p>
        </w:tc>
        <w:tc>
          <w:tcPr>
            <w:tcW w:w="8465" w:type="dxa"/>
            <w:tcBorders>
              <w:top w:val="single" w:color="auto" w:sz="4" w:space="0"/>
              <w:left w:val="single" w:color="auto" w:sz="4" w:space="0"/>
              <w:right w:val="single" w:color="auto" w:sz="4" w:space="0"/>
            </w:tcBorders>
            <w:vAlign w:val="center"/>
          </w:tcPr>
          <w:p w14:paraId="4928367B">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第十六条  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p w14:paraId="2973D16E">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第十七条  强化化工园区涉水突发环境事件四级环境风险防范体系建设。持续推进重点化工园区（化工集中区）建设有毒有害气体监测预警体系和水质生物毒性预警体系。</w:t>
            </w:r>
          </w:p>
        </w:tc>
        <w:tc>
          <w:tcPr>
            <w:tcW w:w="3496" w:type="dxa"/>
            <w:tcBorders>
              <w:top w:val="single" w:color="auto" w:sz="4" w:space="0"/>
              <w:left w:val="single" w:color="auto" w:sz="4" w:space="0"/>
              <w:right w:val="single" w:color="auto" w:sz="4" w:space="0"/>
            </w:tcBorders>
            <w:vAlign w:val="center"/>
          </w:tcPr>
          <w:p w14:paraId="3F665D16">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eastAsia"/>
                <w:color w:val="auto"/>
                <w:sz w:val="22"/>
                <w:szCs w:val="22"/>
                <w:highlight w:val="none"/>
              </w:rPr>
              <w:t>项目所在园区不属于化工园区，</w:t>
            </w:r>
            <w:r>
              <w:rPr>
                <w:rFonts w:hint="eastAsia"/>
                <w:color w:val="auto"/>
                <w:sz w:val="22"/>
                <w:szCs w:val="22"/>
                <w:highlight w:val="none"/>
                <w:lang w:val="en-US" w:eastAsia="zh-CN"/>
              </w:rPr>
              <w:t>园区</w:t>
            </w:r>
            <w:r>
              <w:rPr>
                <w:rFonts w:hint="eastAsia"/>
                <w:color w:val="auto"/>
                <w:sz w:val="22"/>
                <w:szCs w:val="22"/>
                <w:highlight w:val="none"/>
              </w:rPr>
              <w:t>已按相关文件完成了突发环境事件风险评估工作</w:t>
            </w:r>
            <w:r>
              <w:rPr>
                <w:rFonts w:hint="eastAsia"/>
                <w:color w:val="auto"/>
                <w:sz w:val="22"/>
                <w:szCs w:val="22"/>
                <w:highlight w:val="none"/>
                <w:lang w:eastAsia="zh-CN"/>
              </w:rPr>
              <w:t>、</w:t>
            </w:r>
            <w:r>
              <w:rPr>
                <w:rFonts w:hint="eastAsia"/>
                <w:color w:val="auto"/>
                <w:sz w:val="22"/>
                <w:szCs w:val="22"/>
                <w:highlight w:val="none"/>
                <w:lang w:val="en-US" w:eastAsia="zh-CN"/>
              </w:rPr>
              <w:t>编制了《重庆綦江工业园区北渡组团突发环境事件应急预案（备案版）》</w:t>
            </w:r>
            <w:r>
              <w:rPr>
                <w:rFonts w:hint="eastAsia"/>
                <w:color w:val="auto"/>
                <w:sz w:val="22"/>
                <w:szCs w:val="22"/>
                <w:highlight w:val="none"/>
                <w:lang w:eastAsia="zh-CN"/>
              </w:rPr>
              <w:t>；</w:t>
            </w:r>
            <w:r>
              <w:rPr>
                <w:rFonts w:hint="eastAsia"/>
                <w:color w:val="auto"/>
                <w:sz w:val="22"/>
                <w:szCs w:val="22"/>
                <w:highlight w:val="none"/>
              </w:rPr>
              <w:t>项目不属于重大安全隐患的工业项目，不属于化工企业。</w:t>
            </w:r>
          </w:p>
        </w:tc>
        <w:tc>
          <w:tcPr>
            <w:tcW w:w="906" w:type="dxa"/>
            <w:tcBorders>
              <w:top w:val="single" w:color="auto" w:sz="4" w:space="0"/>
              <w:left w:val="single" w:color="auto" w:sz="4" w:space="0"/>
              <w:bottom w:val="single" w:color="auto" w:sz="4" w:space="0"/>
              <w:right w:val="single" w:color="auto" w:sz="4" w:space="0"/>
            </w:tcBorders>
            <w:vAlign w:val="center"/>
          </w:tcPr>
          <w:p w14:paraId="74BBE724">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087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90B0ACF">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777255F2">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资源开发利用效率</w:t>
            </w:r>
          </w:p>
        </w:tc>
        <w:tc>
          <w:tcPr>
            <w:tcW w:w="8465" w:type="dxa"/>
            <w:tcBorders>
              <w:top w:val="single" w:color="auto" w:sz="4" w:space="0"/>
              <w:left w:val="single" w:color="auto" w:sz="4" w:space="0"/>
              <w:right w:val="single" w:color="auto" w:sz="4" w:space="0"/>
            </w:tcBorders>
            <w:vAlign w:val="center"/>
          </w:tcPr>
          <w:p w14:paraId="3A363817">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第十八条  实施能源领域碳达峰碳中和行动，科学有序推动能源生产消费方式绿色低碳变革。实施可再生能源替代，减少化石能源消费。加强产业布局和能耗“双控”政策衔接，促进重点用能领域用能结构优化和能效提升。</w:t>
            </w:r>
          </w:p>
          <w:p w14:paraId="49E8BD9D">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第十九条  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p w14:paraId="421B4E4B">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第二十条  新建、扩建“两高”项目应采用先进适用的工艺技术和装备，单位产品物耗、能耗、水耗等达到清洁生产先进水平。</w:t>
            </w:r>
          </w:p>
          <w:p w14:paraId="47C869D8">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第二十一条  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大力推广工业水循环利用，加快淘汰落后用水工艺和技术。</w:t>
            </w:r>
          </w:p>
          <w:p w14:paraId="09B030E2">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第二十二条  加快推进节水配套设施建设，加强再生水、雨水等非常规水多元、梯级和安全利用，逐年提高非常规水利用比例。结合现有污水处理设施提标升级扩能改造，系统规划城镇污水再生利用设施。</w:t>
            </w:r>
          </w:p>
        </w:tc>
        <w:tc>
          <w:tcPr>
            <w:tcW w:w="3496" w:type="dxa"/>
            <w:tcBorders>
              <w:top w:val="single" w:color="auto" w:sz="4" w:space="0"/>
              <w:left w:val="single" w:color="auto" w:sz="4" w:space="0"/>
              <w:right w:val="single" w:color="auto" w:sz="4" w:space="0"/>
            </w:tcBorders>
            <w:vAlign w:val="center"/>
          </w:tcPr>
          <w:p w14:paraId="78B20198">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本项目主要为摩托车离合器、电动车变速器总成及配件，不涉及高污染燃料的使用；</w:t>
            </w:r>
            <w:r>
              <w:rPr>
                <w:rFonts w:hint="eastAsia"/>
                <w:color w:val="auto"/>
                <w:sz w:val="22"/>
                <w:szCs w:val="22"/>
                <w:highlight w:val="none"/>
                <w:lang w:val="en-US" w:eastAsia="zh-CN"/>
              </w:rPr>
              <w:t>企业</w:t>
            </w:r>
            <w:r>
              <w:rPr>
                <w:rFonts w:hint="eastAsia"/>
                <w:color w:val="auto"/>
                <w:sz w:val="22"/>
                <w:szCs w:val="22"/>
                <w:highlight w:val="none"/>
              </w:rPr>
              <w:t>不属于高耗水行业；</w:t>
            </w:r>
            <w:r>
              <w:rPr>
                <w:rFonts w:hint="eastAsia"/>
                <w:color w:val="auto"/>
                <w:sz w:val="22"/>
                <w:szCs w:val="22"/>
                <w:highlight w:val="none"/>
                <w:lang w:val="en-US" w:eastAsia="zh-CN"/>
              </w:rPr>
              <w:t>企业清洁生产水平满足要求</w:t>
            </w:r>
            <w:r>
              <w:rPr>
                <w:rFonts w:hint="eastAsia"/>
                <w:color w:val="auto"/>
                <w:sz w:val="22"/>
                <w:szCs w:val="22"/>
                <w:highlight w:val="none"/>
              </w:rPr>
              <w:t>；本项目不属于水利水电工程。</w:t>
            </w:r>
          </w:p>
        </w:tc>
        <w:tc>
          <w:tcPr>
            <w:tcW w:w="906" w:type="dxa"/>
            <w:tcBorders>
              <w:top w:val="single" w:color="auto" w:sz="4" w:space="0"/>
              <w:left w:val="single" w:color="auto" w:sz="4" w:space="0"/>
              <w:bottom w:val="single" w:color="auto" w:sz="4" w:space="0"/>
              <w:right w:val="single" w:color="auto" w:sz="4" w:space="0"/>
            </w:tcBorders>
            <w:vAlign w:val="center"/>
          </w:tcPr>
          <w:p w14:paraId="172B373A">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7538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dxa"/>
            <w:vMerge w:val="restart"/>
            <w:tcBorders>
              <w:top w:val="single" w:color="auto" w:sz="4" w:space="0"/>
              <w:left w:val="single" w:color="auto" w:sz="4" w:space="0"/>
              <w:bottom w:val="single" w:color="auto" w:sz="4" w:space="0"/>
              <w:right w:val="single" w:color="auto" w:sz="4" w:space="0"/>
            </w:tcBorders>
            <w:vAlign w:val="center"/>
          </w:tcPr>
          <w:p w14:paraId="69514D59">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綦江区总体管控要求</w:t>
            </w:r>
          </w:p>
        </w:tc>
        <w:tc>
          <w:tcPr>
            <w:tcW w:w="1021" w:type="dxa"/>
            <w:tcBorders>
              <w:top w:val="single" w:color="auto" w:sz="4" w:space="0"/>
              <w:left w:val="single" w:color="auto" w:sz="4" w:space="0"/>
              <w:bottom w:val="single" w:color="auto" w:sz="4" w:space="0"/>
              <w:right w:val="single" w:color="auto" w:sz="4" w:space="0"/>
            </w:tcBorders>
            <w:vAlign w:val="center"/>
          </w:tcPr>
          <w:p w14:paraId="47AA4524">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空间布局约束</w:t>
            </w:r>
          </w:p>
        </w:tc>
        <w:tc>
          <w:tcPr>
            <w:tcW w:w="8465" w:type="dxa"/>
            <w:tcBorders>
              <w:top w:val="single" w:color="auto" w:sz="4" w:space="0"/>
              <w:left w:val="single" w:color="auto" w:sz="4" w:space="0"/>
              <w:bottom w:val="single" w:color="auto" w:sz="4" w:space="0"/>
              <w:right w:val="single" w:color="auto" w:sz="4" w:space="0"/>
            </w:tcBorders>
            <w:vAlign w:val="center"/>
          </w:tcPr>
          <w:p w14:paraId="22E4B251">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第一条  执行重点管控单元市级总体要求第一条、第二条、第五条、第六条、第七条。</w:t>
            </w:r>
          </w:p>
          <w:p w14:paraId="5302AABE">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第二条  禁止在合规园区綦江工业园区各组团外新建、扩建钢铁、石化、化工、焦化、建材、有色、制浆造纸等高污染项目（高污染项目严格按照《环境保护综合名录（2021年版）》“高污染”产品名录执行）。禁止新建、扩建不符合国家石化、现代煤化工等产业规划布局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p w14:paraId="57618BBD">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第三条  严把项目准入关口，对不符合要求的高耗能、高排放、低水平项目坚决不予准入。加快布局分散的企业向园区集中，鼓励现有工业项目搬入綦江工业园区和中小企业集聚区、化工项目按要求进入綦江工业园区扶欢组团。除在安全或者产业布局等方面有特殊要求的项目外，新建有污染物排放的工业项目应当进入工业集聚区，新建化工项目按要求进入綦江工业园区扶欢组团。</w:t>
            </w:r>
          </w:p>
          <w:p w14:paraId="0930F21F">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第四条  持续推进历史遗留及关闭矿山生态修复工程，对还未采取生态保护和恢复措施的，严格按照规定和标准开展生态恢复与治理。</w:t>
            </w:r>
          </w:p>
          <w:p w14:paraId="5393F1DD">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第五条  以赶水、打通、安稳、石壕四镇为重点区域，加强采煤沉陷区生态环境修复治理，加快接续替代产业培育，开展矿井水治理，实施煤炭渣场及矸石山治理和生态恢复，严格落实生态恢复要求。</w:t>
            </w:r>
          </w:p>
          <w:p w14:paraId="55D8BAC5">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第六条  加快大中型和骨干矿山企业的建设和发展，促进小型矿山企业的重组改造。新建矿山按照绿色矿山建设标准进行规划、设计、建设和运营管理，生产矿山加快升级改造、逐步达标，因地制宜建设“工厂式”矿山、“花园式”矿山，促进矿区矿容矿貌大改观、大提升。</w:t>
            </w:r>
          </w:p>
          <w:p w14:paraId="1D989288">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第七条  页岩气开发布井时，应尽量避开地下暗河。</w:t>
            </w:r>
          </w:p>
          <w:p w14:paraId="76FD826A">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第八条  严格排放重金属（铅、汞、镉、铬、砷、铊和锑）相关的重点行业企业准入。</w:t>
            </w:r>
          </w:p>
          <w:p w14:paraId="040B74E0">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第九条  紧邻居住、医疗等环境敏感用地的工业地块严格限制排放恶臭异味物质、《有毒有害大气污染物名录》所列大气环境污染物以及《危险化学品目录》所列剧毒物质的项目建设。</w:t>
            </w:r>
          </w:p>
          <w:p w14:paraId="434A83DC">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第十条  严格执行钢铁、电解铝、水泥、平板玻璃等行业产能置换实施办法。</w:t>
            </w:r>
          </w:p>
        </w:tc>
        <w:tc>
          <w:tcPr>
            <w:tcW w:w="3496" w:type="dxa"/>
            <w:tcBorders>
              <w:top w:val="single" w:color="auto" w:sz="4" w:space="0"/>
              <w:left w:val="single" w:color="auto" w:sz="4" w:space="0"/>
              <w:bottom w:val="single" w:color="auto" w:sz="4" w:space="0"/>
              <w:right w:val="single" w:color="auto" w:sz="4" w:space="0"/>
            </w:tcBorders>
            <w:vAlign w:val="center"/>
          </w:tcPr>
          <w:p w14:paraId="132B7095">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本项目</w:t>
            </w:r>
            <w:r>
              <w:rPr>
                <w:rFonts w:hint="eastAsia"/>
                <w:color w:val="auto"/>
                <w:sz w:val="22"/>
                <w:szCs w:val="22"/>
                <w:highlight w:val="none"/>
                <w:lang w:val="en-US" w:eastAsia="zh-CN"/>
              </w:rPr>
              <w:t>位于綦江北渡铝产业园；项目主要为摩托车离合器、电动车变速器总成及配件；项目不属于高耗能、高排放、低水平项目。项目无需设置环境防护距离，不涉及重金属排放；项目地块周边为工业用地、已建工业企业，不紧邻居住、医疗等环境敏感用地</w:t>
            </w:r>
            <w:r>
              <w:rPr>
                <w:rFonts w:hint="eastAsia"/>
                <w:color w:val="auto"/>
                <w:sz w:val="22"/>
                <w:szCs w:val="22"/>
                <w:highlight w:val="none"/>
              </w:rPr>
              <w:t>。</w:t>
            </w:r>
          </w:p>
        </w:tc>
        <w:tc>
          <w:tcPr>
            <w:tcW w:w="906" w:type="dxa"/>
            <w:tcBorders>
              <w:top w:val="single" w:color="auto" w:sz="4" w:space="0"/>
              <w:left w:val="single" w:color="auto" w:sz="4" w:space="0"/>
              <w:bottom w:val="single" w:color="auto" w:sz="4" w:space="0"/>
              <w:right w:val="single" w:color="auto" w:sz="4" w:space="0"/>
            </w:tcBorders>
            <w:vAlign w:val="center"/>
          </w:tcPr>
          <w:p w14:paraId="418C0791">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3FED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97A1B6">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4B27F1CF">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污染物排放管控</w:t>
            </w:r>
          </w:p>
        </w:tc>
        <w:tc>
          <w:tcPr>
            <w:tcW w:w="8465" w:type="dxa"/>
            <w:tcBorders>
              <w:top w:val="single" w:color="auto" w:sz="4" w:space="0"/>
              <w:left w:val="single" w:color="auto" w:sz="4" w:space="0"/>
              <w:bottom w:val="single" w:color="auto" w:sz="4" w:space="0"/>
              <w:right w:val="single" w:color="auto" w:sz="4" w:space="0"/>
            </w:tcBorders>
            <w:vAlign w:val="center"/>
          </w:tcPr>
          <w:p w14:paraId="40D29965">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第十一条  执行重点管控单元市级总体要求第八条、第九条、第十一条、第十三条、第十五条。</w:t>
            </w:r>
          </w:p>
          <w:p w14:paraId="0A0119DD">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第十二条  在重点行业（工业涂装、化工、电子、包装印刷、家具制造、油品储运销等）推进挥发性有机物综合治理，推动低（无）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p w14:paraId="5B0CA17D">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第十三条  推进乡镇生活污水处理设施达标改造。新建城市生活污水处理厂转关口污水处理厂、共同片区、松同片区等污水处理厂全部按照《城镇污水处理厂污染物排放标准》（GB18918-2002）一级A标及以上排放设备标准设计、施工、验收，建制石角干坝、东溪竹林堂、三角吉安、打通大罗、郭扶高庙、三角乐兴等乡镇生活污水处理设施出水水质不得低于《城镇污水处理厂污染物排放标准》（GB18918-2002）一级B标排放标准；对现有截留制排水管网实施雨污分流改造，针对无法彻底雨污分流的老城区，尊重现实合理保留截留制区域，提高截留倍数；对新建的排水管网，全部按照雨污分流模式实施建设。</w:t>
            </w:r>
          </w:p>
          <w:p w14:paraId="074873C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第十四条  固体废物污染环境防治坚持减量化、资源化和无害化的原则。推动磷石膏、冶炼废渣、煤矸石、粉煤灰、尾矿等大宗工业固体废物资源化利用，逐步减少一般工业固体废物堆存量；产生工业固体废物的单位应当建立健全工业固体废物产生、收集、贮存、运输、利用、处置全过程的污染环境防治责任制度，建立工业固体废物管理台账。</w:t>
            </w:r>
          </w:p>
          <w:p w14:paraId="51965D59">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第十五条  全面推进水泥熟料行业超低排放改造，有序推进现有火电、热电行业超低排放改造，新建燃煤机组实施超低排放；火电、水泥工业企业以及燃煤锅炉使用单位应当按照规定配套建设脱硫、脱硝、除尘等污染防治设施，采用先进的大气污染物协同控制技术和装备。全面实施分散燃气锅炉低氮排放改造；重点推进挥发性有机物和氮氧化物协同减排，加强细颗粒物和臭氧协同控制。</w:t>
            </w:r>
          </w:p>
          <w:p w14:paraId="4D9F2FB4">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 xml:space="preserve">第十六条  矿产资源开采过程中，应当在矿山开采现场以及堆场配套建设、使用控制扬尘和粉尘等污染治理设施，确保达标排放，并按规定进行生态修复。 </w:t>
            </w:r>
          </w:p>
          <w:p w14:paraId="4EF0438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第十七条  加快大宗货物和中长途货物运输“公转铁”“公转水”，大力发展铁水、公铁、公水等多式联运，大宗物料优先采用铁路、管道或水路运输，短途接驳优先使用新能源车辆运输；提高燃油车船能效标准，健全交通运输装备能效标识制度，加快淘汰高耗能高排放老旧车船。全面实施汽车国六排放标准和非道路移动柴油机械国四排放标准。深入实施清洁柴油机行动，鼓励重型柴油货车更新替代。</w:t>
            </w:r>
          </w:p>
          <w:p w14:paraId="19A1A93F">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第十八条  加强农业面源污染治理。引导、鼓励农村“化肥农药减量化生产”行动，推进农药化肥减量增效、秸秆综合利用，强化农膜和农药包装废弃物回收处理。并加强畜禽养殖废弃物污染治理和综合利用，完善畜禽养殖场污染治理配套设施设备，推广、指导畜禽养殖废弃物综合利用，推进畜禽粪污资源化利用，强化污水、垃圾等集中处置设施环境管理。</w:t>
            </w:r>
          </w:p>
        </w:tc>
        <w:tc>
          <w:tcPr>
            <w:tcW w:w="3496" w:type="dxa"/>
            <w:tcBorders>
              <w:top w:val="single" w:color="auto" w:sz="4" w:space="0"/>
              <w:left w:val="single" w:color="auto" w:sz="4" w:space="0"/>
              <w:bottom w:val="single" w:color="auto" w:sz="4" w:space="0"/>
              <w:right w:val="single" w:color="auto" w:sz="4" w:space="0"/>
            </w:tcBorders>
            <w:vAlign w:val="center"/>
          </w:tcPr>
          <w:p w14:paraId="0469C912">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lang w:val="en-US"/>
              </w:rPr>
            </w:pPr>
            <w:r>
              <w:rPr>
                <w:rFonts w:hint="eastAsia"/>
                <w:color w:val="auto"/>
                <w:sz w:val="22"/>
                <w:szCs w:val="22"/>
                <w:highlight w:val="none"/>
              </w:rPr>
              <w:t>本项目</w:t>
            </w:r>
            <w:r>
              <w:rPr>
                <w:rFonts w:hint="eastAsia"/>
                <w:color w:val="auto"/>
                <w:sz w:val="22"/>
                <w:szCs w:val="22"/>
                <w:highlight w:val="none"/>
                <w:lang w:val="en-US" w:eastAsia="zh-CN"/>
              </w:rPr>
              <w:t>位于綦江北渡铝产业园区；项目为摩托车离合器、电动车变速器总成及配件制造行业，不属于上述工业涂装、化工、电子、包装印刷、家具制造、油品储运销等行业；区域污水管网已完善，目前园区污水处理厂已建成、预计2026年1月投运；企业将建立工业固体废物全过程的污染环境防治责任制度及管理台账；项目不属于水泥熟料、火电、热电行业，不涉及燃煤机组、燃煤锅炉、燃气锅炉。</w:t>
            </w:r>
          </w:p>
        </w:tc>
        <w:tc>
          <w:tcPr>
            <w:tcW w:w="906" w:type="dxa"/>
            <w:tcBorders>
              <w:top w:val="single" w:color="auto" w:sz="4" w:space="0"/>
              <w:left w:val="single" w:color="auto" w:sz="4" w:space="0"/>
              <w:bottom w:val="single" w:color="auto" w:sz="4" w:space="0"/>
              <w:right w:val="single" w:color="auto" w:sz="4" w:space="0"/>
            </w:tcBorders>
            <w:vAlign w:val="center"/>
          </w:tcPr>
          <w:p w14:paraId="6049829E">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2F42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2FD60B9">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7FE83C84">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环境风险防控</w:t>
            </w:r>
          </w:p>
        </w:tc>
        <w:tc>
          <w:tcPr>
            <w:tcW w:w="8465" w:type="dxa"/>
            <w:tcBorders>
              <w:top w:val="single" w:color="auto" w:sz="4" w:space="0"/>
              <w:left w:val="single" w:color="auto" w:sz="4" w:space="0"/>
              <w:bottom w:val="single" w:color="auto" w:sz="4" w:space="0"/>
              <w:right w:val="single" w:color="auto" w:sz="4" w:space="0"/>
            </w:tcBorders>
            <w:vAlign w:val="center"/>
          </w:tcPr>
          <w:p w14:paraId="620EB2B8">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第十九条  执行重点管控单元市级总体要求第十六条。</w:t>
            </w:r>
          </w:p>
          <w:p w14:paraId="4259E4B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第二十条  綦江工业园区扶欢组团严格构建不低于“单元—企业—片区级—流域”四级事故废水风险防范体系和“政府—园区—企业”的三级环境风险应急体系。</w:t>
            </w:r>
          </w:p>
          <w:p w14:paraId="616BAA2B">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第二十一条  磷石膏渣场实现雨污分流、渗滤液有效收集处理，地下水定期监测；加强磷石膏综合利用。</w:t>
            </w:r>
          </w:p>
          <w:p w14:paraId="40CCC28B">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第二十二条  制定页岩气开采地表水、地下水环境监测方案，采用先进环保的钻采工艺。</w:t>
            </w:r>
            <w:r>
              <w:rPr>
                <w:rFonts w:hint="eastAsia"/>
                <w:color w:val="auto"/>
                <w:sz w:val="22"/>
                <w:szCs w:val="22"/>
                <w:highlight w:val="none"/>
              </w:rPr>
              <w:tab/>
            </w:r>
          </w:p>
          <w:p w14:paraId="61EB26A9">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第二十三条  定期开展环境安全排查整治专项行动，落实企业突发环境事件风险评估制度，严格监管重大突发环境事件风险企业。建立环境风险隐患排查档案，实行销号制度。</w:t>
            </w:r>
          </w:p>
        </w:tc>
        <w:tc>
          <w:tcPr>
            <w:tcW w:w="3496" w:type="dxa"/>
            <w:tcBorders>
              <w:top w:val="single" w:color="auto" w:sz="4" w:space="0"/>
              <w:left w:val="single" w:color="auto" w:sz="4" w:space="0"/>
              <w:bottom w:val="single" w:color="auto" w:sz="4" w:space="0"/>
              <w:right w:val="single" w:color="auto" w:sz="4" w:space="0"/>
            </w:tcBorders>
            <w:vAlign w:val="center"/>
          </w:tcPr>
          <w:p w14:paraId="28EF0BF9">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eastAsia"/>
                <w:color w:val="auto"/>
                <w:sz w:val="22"/>
                <w:szCs w:val="22"/>
                <w:highlight w:val="none"/>
                <w:lang w:val="en-US" w:eastAsia="zh-CN"/>
              </w:rPr>
              <w:t>本项目位于綦江北渡铝产业园区；本项目为摩托车、电动车零部件及配件制造项目；本项目风险物质厂内贮存量小（Q＜1），不构成重大风险源</w:t>
            </w:r>
            <w:r>
              <w:rPr>
                <w:rFonts w:hint="eastAsia"/>
                <w:color w:val="auto"/>
                <w:sz w:val="22"/>
                <w:szCs w:val="22"/>
                <w:highlight w:val="none"/>
              </w:rPr>
              <w:t>。</w:t>
            </w:r>
          </w:p>
        </w:tc>
        <w:tc>
          <w:tcPr>
            <w:tcW w:w="906" w:type="dxa"/>
            <w:tcBorders>
              <w:top w:val="single" w:color="auto" w:sz="4" w:space="0"/>
              <w:left w:val="single" w:color="auto" w:sz="4" w:space="0"/>
              <w:bottom w:val="single" w:color="auto" w:sz="4" w:space="0"/>
              <w:right w:val="single" w:color="auto" w:sz="4" w:space="0"/>
            </w:tcBorders>
            <w:vAlign w:val="center"/>
          </w:tcPr>
          <w:p w14:paraId="2119C541">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5C44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4B97C3E">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69BD8897">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资源开发利用效率</w:t>
            </w:r>
          </w:p>
        </w:tc>
        <w:tc>
          <w:tcPr>
            <w:tcW w:w="8465" w:type="dxa"/>
            <w:tcBorders>
              <w:top w:val="single" w:color="auto" w:sz="4" w:space="0"/>
              <w:left w:val="single" w:color="auto" w:sz="4" w:space="0"/>
              <w:bottom w:val="single" w:color="auto" w:sz="4" w:space="0"/>
              <w:right w:val="single" w:color="auto" w:sz="4" w:space="0"/>
            </w:tcBorders>
            <w:vAlign w:val="center"/>
          </w:tcPr>
          <w:p w14:paraId="70BAB86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第二十四条  执行重点管控单元市级总体要求第二十一条、第二十二条。</w:t>
            </w:r>
          </w:p>
          <w:p w14:paraId="55FC11E1">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第二十五条  实施能源领域碳达峰碳中和行动，发展壮大清洁能源产业，坚持因地制宜、分布式与集中式并举，充分利用水能、光伏、风能等可再生能源资源，加速对化石能源的替代；因地制宜开发水能资源，推进水电绿色化智能化发展，加快蟠龙抽水蓄能电站等项目建设，推动能源清洁低碳安全高效开发利用，促进重点用能领域能效提升。</w:t>
            </w:r>
          </w:p>
          <w:p w14:paraId="1DBB7417">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 xml:space="preserve">第二十六条  鼓励高耗能行业生产企业实施技术升级改造，全区工业重点行业建成产能全部达到能效基准水平；鼓励企业对标能耗限额标准先进值或国际先进水平，钢铁、火电、水泥、电解铝、平板玻璃等主要产品单位能耗应当优于国家能耗限额标准；水泥熟料能效不低于《高耗能行业重点领域能效标杆水平和基准水平（2021年版）》中基准水平117千克标准煤/吨；燃煤发电机组不低于《煤炭清洁高效利用重点领域标杆水平和基准水平（2022年版）》（发改运行〔2022〕559号） 中基准水平。加快主要产品工艺升级与绿色化改造，推动工业窑炉、锅炉、电机、压缩机、泵、变压器等重点用能设备系统节能改造。 </w:t>
            </w:r>
          </w:p>
          <w:p w14:paraId="338B67C3">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第二十七条  新建、扩建“两高”项目应采用先进适用的工艺技术和装备，单位产品物耗、能耗、水耗等达到清洁生产先进水平，鼓励实施先进的节能降碳以及废水循环利用技术，深挖水泥熟料、火电机组等余热余压利用，提升能源资源利用效率；建材等行业重点工业产品能效达到国际先进水平。</w:t>
            </w:r>
          </w:p>
          <w:p w14:paraId="0E48D346">
            <w:pPr>
              <w:keepNext w:val="0"/>
              <w:keepLines w:val="0"/>
              <w:suppressLineNumbers w:val="0"/>
              <w:snapToGrid w:val="0"/>
              <w:spacing w:before="0" w:beforeAutospacing="0" w:after="0" w:afterAutospacing="0" w:line="340" w:lineRule="exact"/>
              <w:ind w:left="0" w:right="0"/>
              <w:rPr>
                <w:rFonts w:hint="eastAsia"/>
                <w:color w:val="auto"/>
                <w:sz w:val="22"/>
                <w:szCs w:val="22"/>
                <w:highlight w:val="none"/>
              </w:rPr>
            </w:pPr>
            <w:r>
              <w:rPr>
                <w:rFonts w:hint="eastAsia"/>
                <w:color w:val="auto"/>
                <w:sz w:val="22"/>
                <w:szCs w:val="22"/>
                <w:highlight w:val="none"/>
              </w:rPr>
              <w:t>第二十八条  在高污染燃料禁燃区内，禁止销售、燃用高污染燃料；现有使用高污染燃料的设施应当限期淘汰或者改用天然气、页岩气、电力、风能等其他清洁能源。加强页岩气勘探开发利用，鼓励页岩气制氢产业发展，推进扶欢循环经济产业园建设，推动延伸页岩气下游精深加工链条。</w:t>
            </w:r>
          </w:p>
          <w:p w14:paraId="30C6610C">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eastAsia"/>
                <w:color w:val="auto"/>
                <w:sz w:val="22"/>
                <w:szCs w:val="22"/>
                <w:highlight w:val="none"/>
              </w:rPr>
              <w:t>第二十九条  控制煤炭消费总量，电解铝、火电、水泥等重点用煤行业实施煤炭清洁利用，有序推进“煤改电”“煤改气”工程。持续优化现役煤电机组运行管理，推进旗能电铝自备煤电机组等现役煤电机组三改联动，推动具备条件的机组开展热电联产改造，鼓励松藻电力开展锅炉和汽轮机冷端余热深度利用改造、煤电机组能量梯级利用改造。</w:t>
            </w:r>
          </w:p>
        </w:tc>
        <w:tc>
          <w:tcPr>
            <w:tcW w:w="3496" w:type="dxa"/>
            <w:tcBorders>
              <w:top w:val="single" w:color="auto" w:sz="4" w:space="0"/>
              <w:left w:val="single" w:color="auto" w:sz="4" w:space="0"/>
              <w:bottom w:val="single" w:color="auto" w:sz="4" w:space="0"/>
              <w:right w:val="single" w:color="auto" w:sz="4" w:space="0"/>
            </w:tcBorders>
            <w:vAlign w:val="center"/>
          </w:tcPr>
          <w:p w14:paraId="2972E16B">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eastAsia"/>
                <w:color w:val="auto"/>
                <w:sz w:val="22"/>
                <w:szCs w:val="22"/>
                <w:highlight w:val="none"/>
                <w:lang w:val="en-US" w:eastAsia="zh-CN"/>
              </w:rPr>
              <w:t>本项目不属于高耗能行业、不属于“两高”项目；清洁生产符合要求；不涉及高污染燃料的使用。</w:t>
            </w:r>
          </w:p>
        </w:tc>
        <w:tc>
          <w:tcPr>
            <w:tcW w:w="906" w:type="dxa"/>
            <w:tcBorders>
              <w:top w:val="single" w:color="auto" w:sz="4" w:space="0"/>
              <w:left w:val="single" w:color="auto" w:sz="4" w:space="0"/>
              <w:bottom w:val="single" w:color="auto" w:sz="4" w:space="0"/>
              <w:right w:val="single" w:color="auto" w:sz="4" w:space="0"/>
            </w:tcBorders>
            <w:vAlign w:val="center"/>
          </w:tcPr>
          <w:p w14:paraId="701256FB">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09F2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8" w:type="dxa"/>
            <w:vMerge w:val="restart"/>
            <w:tcBorders>
              <w:top w:val="single" w:color="auto" w:sz="4" w:space="0"/>
              <w:left w:val="single" w:color="auto" w:sz="4" w:space="0"/>
              <w:bottom w:val="single" w:color="auto" w:sz="4" w:space="0"/>
              <w:right w:val="single" w:color="auto" w:sz="4" w:space="0"/>
            </w:tcBorders>
            <w:vAlign w:val="center"/>
          </w:tcPr>
          <w:p w14:paraId="4949D196">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单元管控要求</w:t>
            </w:r>
          </w:p>
        </w:tc>
        <w:tc>
          <w:tcPr>
            <w:tcW w:w="1021" w:type="dxa"/>
            <w:tcBorders>
              <w:top w:val="single" w:color="auto" w:sz="4" w:space="0"/>
              <w:left w:val="single" w:color="auto" w:sz="4" w:space="0"/>
              <w:bottom w:val="single" w:color="auto" w:sz="4" w:space="0"/>
              <w:right w:val="single" w:color="auto" w:sz="4" w:space="0"/>
            </w:tcBorders>
            <w:vAlign w:val="center"/>
          </w:tcPr>
          <w:p w14:paraId="1738D127">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空间布局约束</w:t>
            </w:r>
          </w:p>
        </w:tc>
        <w:tc>
          <w:tcPr>
            <w:tcW w:w="8465" w:type="dxa"/>
            <w:tcBorders>
              <w:top w:val="single" w:color="auto" w:sz="4" w:space="0"/>
              <w:left w:val="single" w:color="auto" w:sz="4" w:space="0"/>
              <w:bottom w:val="single" w:color="auto" w:sz="4" w:space="0"/>
              <w:right w:val="single" w:color="auto" w:sz="4" w:space="0"/>
            </w:tcBorders>
            <w:vAlign w:val="center"/>
          </w:tcPr>
          <w:p w14:paraId="40E8774D">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1.禁止新建、扩建废水排放重金属（铬、镉、汞、砷、铅等五类重金属）、剧毒物质和持久性有机污染物的工业项目。</w:t>
            </w:r>
          </w:p>
          <w:p w14:paraId="082AADEE">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2.临近古剑山-清溪河风景名胜区、綦江国家地质公园等环境敏感区的工业用地，应与风景名胜区、地质公园保护相协调地块；与古剑山—清溪河风景名胜区外围保护地带重叠区域，禁止从事破坏资源、影响景观、污染环境、妨碍游览的活动。</w:t>
            </w:r>
          </w:p>
        </w:tc>
        <w:tc>
          <w:tcPr>
            <w:tcW w:w="3496" w:type="dxa"/>
            <w:tcBorders>
              <w:top w:val="single" w:color="auto" w:sz="4" w:space="0"/>
              <w:left w:val="single" w:color="auto" w:sz="4" w:space="0"/>
              <w:bottom w:val="single" w:color="auto" w:sz="4" w:space="0"/>
              <w:right w:val="single" w:color="auto" w:sz="4" w:space="0"/>
            </w:tcBorders>
            <w:vAlign w:val="center"/>
          </w:tcPr>
          <w:p w14:paraId="2B10C141">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eastAsia"/>
                <w:color w:val="auto"/>
                <w:sz w:val="22"/>
                <w:szCs w:val="22"/>
                <w:highlight w:val="none"/>
              </w:rPr>
              <w:t>本项目</w:t>
            </w:r>
            <w:r>
              <w:rPr>
                <w:rFonts w:hint="eastAsia"/>
                <w:color w:val="auto"/>
                <w:sz w:val="22"/>
                <w:szCs w:val="22"/>
                <w:highlight w:val="none"/>
                <w:lang w:val="en-US" w:eastAsia="zh-CN"/>
              </w:rPr>
              <w:t>不涉及重金属、剧毒物质、持久性有机污染物排放；项目用地不临近古剑山-清溪河风景名胜区、綦江国家地质公园等环境敏感区</w:t>
            </w:r>
            <w:r>
              <w:rPr>
                <w:rFonts w:hint="eastAsia"/>
                <w:color w:val="auto"/>
                <w:sz w:val="22"/>
                <w:szCs w:val="22"/>
                <w:highlight w:val="none"/>
              </w:rPr>
              <w:t>。</w:t>
            </w:r>
          </w:p>
        </w:tc>
        <w:tc>
          <w:tcPr>
            <w:tcW w:w="906" w:type="dxa"/>
            <w:tcBorders>
              <w:top w:val="single" w:color="auto" w:sz="4" w:space="0"/>
              <w:left w:val="single" w:color="auto" w:sz="4" w:space="0"/>
              <w:bottom w:val="single" w:color="auto" w:sz="4" w:space="0"/>
              <w:right w:val="single" w:color="auto" w:sz="4" w:space="0"/>
            </w:tcBorders>
            <w:vAlign w:val="center"/>
          </w:tcPr>
          <w:p w14:paraId="3E2EB565">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0216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0569C0">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4160980B">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污染物排放管控</w:t>
            </w:r>
          </w:p>
        </w:tc>
        <w:tc>
          <w:tcPr>
            <w:tcW w:w="8465" w:type="dxa"/>
            <w:tcBorders>
              <w:top w:val="single" w:color="auto" w:sz="4" w:space="0"/>
              <w:left w:val="single" w:color="auto" w:sz="4" w:space="0"/>
              <w:bottom w:val="single" w:color="auto" w:sz="4" w:space="0"/>
              <w:right w:val="single" w:color="auto" w:sz="4" w:space="0"/>
            </w:tcBorders>
            <w:vAlign w:val="center"/>
          </w:tcPr>
          <w:p w14:paraId="64E018CF">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1.推动再生铝企业开展废气深度治理，采用烟气余热利用等其他先进节能技术以及提高金属回收率的先进熔炼炉型较少废气排放。</w:t>
            </w:r>
          </w:p>
          <w:p w14:paraId="6CA1D911">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2.大力推广使用低（无）挥发性有机物含量或者低反应活性的原辅料</w:t>
            </w:r>
            <w:r>
              <w:rPr>
                <w:rFonts w:hint="eastAsia"/>
                <w:color w:val="auto"/>
                <w:sz w:val="22"/>
                <w:szCs w:val="22"/>
                <w:highlight w:val="none"/>
                <w:lang w:eastAsia="zh-CN"/>
              </w:rPr>
              <w:t>，采</w:t>
            </w:r>
            <w:r>
              <w:rPr>
                <w:rFonts w:hint="default"/>
                <w:color w:val="auto"/>
                <w:sz w:val="22"/>
                <w:szCs w:val="22"/>
                <w:highlight w:val="none"/>
              </w:rPr>
              <w:t>取先进生产技术、高效工艺和设备等，减少工艺过程无组织排放。</w:t>
            </w:r>
          </w:p>
          <w:p w14:paraId="69C1ACF9">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3.控制再生铝产业发展规模，“十四五”期间再生铝产业规模不应超过150万吨、铝加工产业规模不应超过125.4万吨。严禁新增电解铝、平板玻璃等产能，新改扩建（含搬迁）电解铝、平板玻璃等项目严格执行产能置换实施办法；鼓励为现有再生铝项目配套的资源综合利用项目入驻；</w:t>
            </w:r>
          </w:p>
          <w:p w14:paraId="5D676736">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4.电解铝、平板玻璃行业应按国家、地方相关严格排放标准执行；并推动火电机组实施超低排放。</w:t>
            </w:r>
          </w:p>
          <w:p w14:paraId="6F80B175">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5.及时推动北渡铝产业园污水处理厂及配套管网建设工程，确保组团开发的废污水得到有效收集。</w:t>
            </w:r>
          </w:p>
          <w:p w14:paraId="7CD73A55">
            <w:pPr>
              <w:keepNext w:val="0"/>
              <w:keepLines w:val="0"/>
              <w:suppressLineNumbers w:val="0"/>
              <w:snapToGrid w:val="0"/>
              <w:spacing w:before="0" w:beforeAutospacing="0" w:after="0" w:afterAutospacing="0" w:line="340" w:lineRule="exact"/>
              <w:ind w:left="0" w:right="0"/>
              <w:rPr>
                <w:rFonts w:hint="default"/>
                <w:color w:val="auto"/>
                <w:sz w:val="22"/>
                <w:szCs w:val="22"/>
                <w:highlight w:val="none"/>
              </w:rPr>
            </w:pPr>
            <w:r>
              <w:rPr>
                <w:rFonts w:hint="default"/>
                <w:color w:val="auto"/>
                <w:sz w:val="22"/>
                <w:szCs w:val="22"/>
                <w:highlight w:val="none"/>
              </w:rPr>
              <w:t>6. 推动城镇污水处理厂污泥无害化处置，强化古南街道城镇污水管网全覆盖。</w:t>
            </w:r>
          </w:p>
        </w:tc>
        <w:tc>
          <w:tcPr>
            <w:tcW w:w="3496" w:type="dxa"/>
            <w:tcBorders>
              <w:top w:val="single" w:color="auto" w:sz="4" w:space="0"/>
              <w:left w:val="single" w:color="auto" w:sz="4" w:space="0"/>
              <w:bottom w:val="single" w:color="auto" w:sz="4" w:space="0"/>
              <w:right w:val="single" w:color="auto" w:sz="4" w:space="0"/>
            </w:tcBorders>
            <w:vAlign w:val="center"/>
          </w:tcPr>
          <w:p w14:paraId="374B1B82">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本项目</w:t>
            </w:r>
            <w:r>
              <w:rPr>
                <w:rFonts w:hint="eastAsia"/>
                <w:color w:val="auto"/>
                <w:sz w:val="22"/>
                <w:szCs w:val="22"/>
                <w:highlight w:val="none"/>
                <w:lang w:val="en-US" w:eastAsia="zh-CN"/>
              </w:rPr>
              <w:t>属于摩托车零部件及配件制造行业，不属于再生铝、平板玻璃、电解铝企业；园区污水处理厂已建成、预计2026年1月投运</w:t>
            </w:r>
            <w:r>
              <w:rPr>
                <w:rFonts w:hint="eastAsia"/>
                <w:color w:val="auto"/>
                <w:sz w:val="22"/>
                <w:szCs w:val="22"/>
                <w:highlight w:val="none"/>
              </w:rPr>
              <w:t>。</w:t>
            </w:r>
          </w:p>
        </w:tc>
        <w:tc>
          <w:tcPr>
            <w:tcW w:w="906" w:type="dxa"/>
            <w:tcBorders>
              <w:top w:val="single" w:color="auto" w:sz="4" w:space="0"/>
              <w:left w:val="single" w:color="auto" w:sz="4" w:space="0"/>
              <w:bottom w:val="single" w:color="auto" w:sz="4" w:space="0"/>
              <w:right w:val="single" w:color="auto" w:sz="4" w:space="0"/>
            </w:tcBorders>
            <w:vAlign w:val="center"/>
          </w:tcPr>
          <w:p w14:paraId="5222F794">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055E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912513">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0D7A6615">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环境风险防控</w:t>
            </w:r>
          </w:p>
        </w:tc>
        <w:tc>
          <w:tcPr>
            <w:tcW w:w="8465" w:type="dxa"/>
            <w:tcBorders>
              <w:top w:val="single" w:color="auto" w:sz="4" w:space="0"/>
              <w:left w:val="single" w:color="auto" w:sz="4" w:space="0"/>
              <w:bottom w:val="single" w:color="auto" w:sz="4" w:space="0"/>
              <w:right w:val="single" w:color="auto" w:sz="4" w:space="0"/>
            </w:tcBorders>
            <w:vAlign w:val="center"/>
          </w:tcPr>
          <w:p w14:paraId="12DCF278">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default"/>
                <w:color w:val="auto"/>
                <w:sz w:val="22"/>
                <w:szCs w:val="22"/>
                <w:highlight w:val="none"/>
              </w:rPr>
              <w:t>1.严格执行建设项目重金属排放“等量替代”或“减量替代”制度，持续开展涉重企业的强制性清洁生产审核。</w:t>
            </w:r>
          </w:p>
          <w:p w14:paraId="2F2817FF">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default"/>
                <w:color w:val="auto"/>
                <w:sz w:val="22"/>
                <w:szCs w:val="22"/>
                <w:highlight w:val="none"/>
              </w:rPr>
              <w:t>2.重庆旗能电铝公司原大板锭渣场地块若用途变更为商服用地、特殊用地、交通运输用地、水工建筑用地、空闲地之前，应当依法开展土壤污染状况调查并编制土壤污染状况调查报告。</w:t>
            </w:r>
          </w:p>
        </w:tc>
        <w:tc>
          <w:tcPr>
            <w:tcW w:w="3496" w:type="dxa"/>
            <w:tcBorders>
              <w:top w:val="single" w:color="auto" w:sz="4" w:space="0"/>
              <w:left w:val="single" w:color="auto" w:sz="4" w:space="0"/>
              <w:bottom w:val="single" w:color="auto" w:sz="4" w:space="0"/>
              <w:right w:val="single" w:color="auto" w:sz="4" w:space="0"/>
            </w:tcBorders>
            <w:vAlign w:val="center"/>
          </w:tcPr>
          <w:p w14:paraId="12B480D2">
            <w:pPr>
              <w:keepNext w:val="0"/>
              <w:keepLines w:val="0"/>
              <w:suppressLineNumbers w:val="0"/>
              <w:snapToGrid w:val="0"/>
              <w:spacing w:before="0" w:beforeAutospacing="0" w:after="0" w:afterAutospacing="0" w:line="340" w:lineRule="exact"/>
              <w:ind w:left="0" w:right="0"/>
              <w:jc w:val="both"/>
              <w:rPr>
                <w:rFonts w:hint="default" w:eastAsia="宋体"/>
                <w:color w:val="auto"/>
                <w:sz w:val="22"/>
                <w:szCs w:val="22"/>
                <w:highlight w:val="none"/>
                <w:lang w:val="en-US" w:eastAsia="zh-CN"/>
              </w:rPr>
            </w:pPr>
            <w:r>
              <w:rPr>
                <w:rFonts w:hint="eastAsia"/>
                <w:color w:val="auto"/>
                <w:sz w:val="22"/>
                <w:szCs w:val="22"/>
                <w:highlight w:val="none"/>
              </w:rPr>
              <w:t>本项目</w:t>
            </w:r>
            <w:r>
              <w:rPr>
                <w:rFonts w:hint="eastAsia"/>
                <w:color w:val="auto"/>
                <w:sz w:val="22"/>
                <w:szCs w:val="22"/>
                <w:highlight w:val="none"/>
                <w:lang w:val="en-US" w:eastAsia="zh-CN"/>
              </w:rPr>
              <w:t>不涉及重金属排放；本项目不涉及上述地块。</w:t>
            </w:r>
          </w:p>
        </w:tc>
        <w:tc>
          <w:tcPr>
            <w:tcW w:w="906" w:type="dxa"/>
            <w:tcBorders>
              <w:top w:val="single" w:color="auto" w:sz="4" w:space="0"/>
              <w:left w:val="single" w:color="auto" w:sz="4" w:space="0"/>
              <w:bottom w:val="single" w:color="auto" w:sz="4" w:space="0"/>
              <w:right w:val="single" w:color="auto" w:sz="4" w:space="0"/>
            </w:tcBorders>
            <w:vAlign w:val="center"/>
          </w:tcPr>
          <w:p w14:paraId="366F4651">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r w14:paraId="22B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CDE5F6">
            <w:pPr>
              <w:keepNext w:val="0"/>
              <w:keepLines w:val="0"/>
              <w:widowControl/>
              <w:suppressLineNumbers w:val="0"/>
              <w:spacing w:before="0" w:beforeAutospacing="0" w:after="0" w:afterAutospacing="0"/>
              <w:ind w:left="0" w:right="0"/>
              <w:jc w:val="left"/>
              <w:rPr>
                <w:rFonts w:hint="default"/>
                <w:color w:val="auto"/>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141F10F2">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资源开发利用效率</w:t>
            </w:r>
          </w:p>
        </w:tc>
        <w:tc>
          <w:tcPr>
            <w:tcW w:w="8465" w:type="dxa"/>
            <w:tcBorders>
              <w:top w:val="single" w:color="auto" w:sz="4" w:space="0"/>
              <w:left w:val="single" w:color="auto" w:sz="4" w:space="0"/>
              <w:bottom w:val="single" w:color="auto" w:sz="4" w:space="0"/>
              <w:right w:val="single" w:color="auto" w:sz="4" w:space="0"/>
            </w:tcBorders>
            <w:vAlign w:val="center"/>
          </w:tcPr>
          <w:p w14:paraId="0FB76BE0">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default"/>
                <w:color w:val="auto"/>
                <w:sz w:val="22"/>
                <w:szCs w:val="22"/>
                <w:highlight w:val="none"/>
              </w:rPr>
              <w:t>1.以国家、重庆市发布的产业用水定额为指导，加强对高耗水行业的定额管理，开展水效对标达标，进行入区企业节水管理。加强水重复利用率，减少新鲜水用量。火力发电行业和有色金属冶炼和压延加工业等</w:t>
            </w:r>
            <w:r>
              <w:rPr>
                <w:rFonts w:hint="eastAsia"/>
                <w:color w:val="auto"/>
                <w:sz w:val="22"/>
                <w:szCs w:val="22"/>
                <w:highlight w:val="none"/>
                <w:lang w:val="en-US" w:eastAsia="zh-CN"/>
              </w:rPr>
              <w:t>高耗水</w:t>
            </w:r>
            <w:r>
              <w:rPr>
                <w:rFonts w:hint="default"/>
                <w:color w:val="auto"/>
                <w:sz w:val="22"/>
                <w:szCs w:val="22"/>
                <w:highlight w:val="none"/>
              </w:rPr>
              <w:t>行业用水定额应达到《重庆市经济和信息化委员会 重庆市水利局关于印发重庆市火力发电等高耗水行业产品取用水定额的通知》（渝经信发</w:t>
            </w:r>
            <w:r>
              <w:rPr>
                <w:rFonts w:hint="eastAsia"/>
                <w:color w:val="auto"/>
                <w:sz w:val="22"/>
                <w:szCs w:val="22"/>
                <w:highlight w:val="none"/>
                <w:lang w:eastAsia="zh-CN"/>
              </w:rPr>
              <w:t>〔2020〕2号</w:t>
            </w:r>
            <w:r>
              <w:rPr>
                <w:rFonts w:hint="default"/>
                <w:color w:val="auto"/>
                <w:sz w:val="22"/>
                <w:szCs w:val="22"/>
                <w:highlight w:val="none"/>
              </w:rPr>
              <w:t>）中</w:t>
            </w:r>
            <w:r>
              <w:rPr>
                <w:rFonts w:hint="eastAsia"/>
                <w:color w:val="auto"/>
                <w:sz w:val="22"/>
                <w:szCs w:val="22"/>
                <w:highlight w:val="none"/>
                <w:lang w:eastAsia="zh-CN"/>
              </w:rPr>
              <w:t>Ⅱ级</w:t>
            </w:r>
            <w:r>
              <w:rPr>
                <w:rFonts w:hint="default"/>
                <w:color w:val="auto"/>
                <w:sz w:val="22"/>
                <w:szCs w:val="22"/>
                <w:highlight w:val="none"/>
              </w:rPr>
              <w:t xml:space="preserve">及以上标准。 </w:t>
            </w:r>
          </w:p>
          <w:p w14:paraId="6EDE134F">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default"/>
                <w:color w:val="auto"/>
                <w:sz w:val="22"/>
                <w:szCs w:val="22"/>
                <w:highlight w:val="none"/>
              </w:rPr>
              <w:t>2.推动电解铝行业铝液交流电耗，从源头降低减少碳排放，交流电</w:t>
            </w:r>
            <w:r>
              <w:rPr>
                <w:rFonts w:hint="eastAsia"/>
                <w:color w:val="auto"/>
                <w:sz w:val="22"/>
                <w:szCs w:val="22"/>
                <w:highlight w:val="none"/>
                <w:lang w:eastAsia="zh-CN"/>
              </w:rPr>
              <w:t>耗</w:t>
            </w:r>
            <w:r>
              <w:rPr>
                <w:rFonts w:hint="default"/>
                <w:color w:val="auto"/>
                <w:sz w:val="22"/>
                <w:szCs w:val="22"/>
                <w:highlight w:val="none"/>
              </w:rPr>
              <w:t>达到行业基准水平。鼓励再生铝企业采用烟气余热利用等其他先进节能技术、提高金属回收率的先进熔炼炉型，提高资源利用效率。</w:t>
            </w:r>
          </w:p>
          <w:p w14:paraId="6B551C23">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default"/>
                <w:color w:val="auto"/>
                <w:sz w:val="22"/>
                <w:szCs w:val="22"/>
                <w:highlight w:val="none"/>
              </w:rPr>
              <w:t>3.新建、改扩建项目清洁生产水平不低于国内先进水平。</w:t>
            </w:r>
          </w:p>
        </w:tc>
        <w:tc>
          <w:tcPr>
            <w:tcW w:w="3496" w:type="dxa"/>
            <w:tcBorders>
              <w:top w:val="single" w:color="auto" w:sz="4" w:space="0"/>
              <w:left w:val="single" w:color="auto" w:sz="4" w:space="0"/>
              <w:bottom w:val="single" w:color="auto" w:sz="4" w:space="0"/>
              <w:right w:val="single" w:color="auto" w:sz="4" w:space="0"/>
            </w:tcBorders>
            <w:vAlign w:val="center"/>
          </w:tcPr>
          <w:p w14:paraId="3DAE0408">
            <w:pPr>
              <w:keepNext w:val="0"/>
              <w:keepLines w:val="0"/>
              <w:suppressLineNumbers w:val="0"/>
              <w:snapToGrid w:val="0"/>
              <w:spacing w:before="0" w:beforeAutospacing="0" w:after="0" w:afterAutospacing="0" w:line="340" w:lineRule="exact"/>
              <w:ind w:left="0" w:right="0"/>
              <w:jc w:val="both"/>
              <w:rPr>
                <w:rFonts w:hint="default"/>
                <w:color w:val="auto"/>
                <w:sz w:val="22"/>
                <w:szCs w:val="22"/>
                <w:highlight w:val="none"/>
              </w:rPr>
            </w:pPr>
            <w:r>
              <w:rPr>
                <w:rFonts w:hint="eastAsia"/>
                <w:color w:val="auto"/>
                <w:sz w:val="22"/>
                <w:szCs w:val="22"/>
                <w:highlight w:val="none"/>
                <w:lang w:val="en-US" w:eastAsia="zh-CN"/>
              </w:rPr>
              <w:t>本项目不属于高耗水行业，渝经信发〔2020〕2号文不涉及本项目所在行业的用水定额要求，项目清洁生产水平满足要求</w:t>
            </w:r>
            <w:r>
              <w:rPr>
                <w:rFonts w:hint="eastAsia"/>
                <w:color w:val="auto"/>
                <w:sz w:val="22"/>
                <w:szCs w:val="22"/>
                <w:highlight w:val="none"/>
              </w:rPr>
              <w:t>。</w:t>
            </w:r>
          </w:p>
        </w:tc>
        <w:tc>
          <w:tcPr>
            <w:tcW w:w="906" w:type="dxa"/>
            <w:tcBorders>
              <w:top w:val="single" w:color="auto" w:sz="4" w:space="0"/>
              <w:left w:val="single" w:color="auto" w:sz="4" w:space="0"/>
              <w:bottom w:val="single" w:color="auto" w:sz="4" w:space="0"/>
              <w:right w:val="single" w:color="auto" w:sz="4" w:space="0"/>
            </w:tcBorders>
            <w:vAlign w:val="center"/>
          </w:tcPr>
          <w:p w14:paraId="0825D62B">
            <w:pPr>
              <w:keepNext w:val="0"/>
              <w:keepLines w:val="0"/>
              <w:suppressLineNumbers w:val="0"/>
              <w:snapToGrid w:val="0"/>
              <w:spacing w:before="0" w:beforeAutospacing="0" w:after="0" w:afterAutospacing="0" w:line="340" w:lineRule="exact"/>
              <w:ind w:left="0" w:right="0"/>
              <w:jc w:val="center"/>
              <w:rPr>
                <w:rFonts w:hint="default"/>
                <w:color w:val="auto"/>
                <w:sz w:val="22"/>
                <w:szCs w:val="22"/>
                <w:highlight w:val="none"/>
              </w:rPr>
            </w:pPr>
            <w:r>
              <w:rPr>
                <w:rFonts w:hint="eastAsia"/>
                <w:color w:val="auto"/>
                <w:sz w:val="22"/>
                <w:szCs w:val="22"/>
                <w:highlight w:val="none"/>
              </w:rPr>
              <w:t>符合</w:t>
            </w:r>
          </w:p>
        </w:tc>
      </w:tr>
    </w:tbl>
    <w:p w14:paraId="254AF450">
      <w:pPr>
        <w:tabs>
          <w:tab w:val="left" w:pos="1200"/>
        </w:tabs>
        <w:rPr>
          <w:color w:val="auto"/>
          <w:szCs w:val="21"/>
          <w:highlight w:val="none"/>
        </w:rPr>
      </w:pPr>
    </w:p>
    <w:p w14:paraId="1A487176">
      <w:pPr>
        <w:tabs>
          <w:tab w:val="left" w:pos="1200"/>
        </w:tabs>
        <w:rPr>
          <w:color w:val="auto"/>
          <w:szCs w:val="21"/>
          <w:highlight w:val="none"/>
        </w:rPr>
        <w:sectPr>
          <w:pgSz w:w="16838" w:h="11906" w:orient="landscape"/>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9374"/>
      </w:tblGrid>
      <w:tr w14:paraId="613D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0" w:type="dxa"/>
            <w:vAlign w:val="center"/>
          </w:tcPr>
          <w:p w14:paraId="42E33046">
            <w:pPr>
              <w:keepNext w:val="0"/>
              <w:keepLines w:val="0"/>
              <w:suppressLineNumbers w:val="0"/>
              <w:tabs>
                <w:tab w:val="left" w:pos="1200"/>
              </w:tabs>
              <w:spacing w:before="0" w:beforeAutospacing="0" w:after="0" w:afterAutospacing="0"/>
              <w:ind w:left="0" w:right="0"/>
              <w:jc w:val="center"/>
              <w:rPr>
                <w:rFonts w:hint="default"/>
                <w:color w:val="auto"/>
                <w:szCs w:val="21"/>
                <w:highlight w:val="none"/>
              </w:rPr>
            </w:pPr>
            <w:r>
              <w:rPr>
                <w:rFonts w:hint="eastAsia"/>
                <w:color w:val="auto"/>
                <w:kern w:val="0"/>
                <w:sz w:val="26"/>
                <w:szCs w:val="26"/>
                <w:highlight w:val="none"/>
              </w:rPr>
              <w:t>其他符合性分析</w:t>
            </w:r>
          </w:p>
        </w:tc>
        <w:tc>
          <w:tcPr>
            <w:tcW w:w="9374" w:type="dxa"/>
            <w:vAlign w:val="center"/>
          </w:tcPr>
          <w:p w14:paraId="220DC25C">
            <w:pPr>
              <w:pStyle w:val="67"/>
              <w:keepNext w:val="0"/>
              <w:keepLines w:val="0"/>
              <w:suppressLineNumbers w:val="0"/>
              <w:spacing w:before="0" w:beforeAutospacing="0" w:after="0" w:afterAutospacing="0" w:line="400" w:lineRule="exact"/>
              <w:ind w:left="0" w:right="0" w:firstLine="522"/>
              <w:rPr>
                <w:rFonts w:hint="default" w:eastAsia="宋体"/>
                <w:b w:val="0"/>
                <w:bCs/>
                <w:color w:val="auto"/>
                <w:sz w:val="26"/>
                <w:szCs w:val="26"/>
                <w:highlight w:val="none"/>
                <w:lang w:val="en-US" w:eastAsia="zh-CN"/>
              </w:rPr>
            </w:pPr>
            <w:r>
              <w:rPr>
                <w:rFonts w:hint="eastAsia"/>
                <w:b w:val="0"/>
                <w:bCs/>
                <w:color w:val="auto"/>
                <w:sz w:val="26"/>
                <w:szCs w:val="26"/>
                <w:highlight w:val="none"/>
                <w:lang w:val="en-US" w:eastAsia="zh-CN"/>
              </w:rPr>
              <w:t>综上所述，本项目符合重庆市总体管控要求、綦江区总体管控要求及所在的环境管控单元（綦江区工业城镇重点管控单元－北渡片区）的“三线一单”管控要求。</w:t>
            </w:r>
          </w:p>
          <w:p w14:paraId="19480C37">
            <w:pPr>
              <w:pStyle w:val="67"/>
              <w:keepNext w:val="0"/>
              <w:keepLines w:val="0"/>
              <w:suppressLineNumbers w:val="0"/>
              <w:tabs>
                <w:tab w:val="center" w:pos="4579"/>
              </w:tabs>
              <w:spacing w:before="0" w:beforeAutospacing="0" w:after="0" w:afterAutospacing="0" w:line="400" w:lineRule="exact"/>
              <w:ind w:left="0" w:right="0" w:firstLine="522"/>
              <w:rPr>
                <w:rFonts w:hint="eastAsia" w:eastAsia="宋体"/>
                <w:color w:val="auto"/>
                <w:sz w:val="26"/>
                <w:szCs w:val="26"/>
                <w:highlight w:val="none"/>
                <w:lang w:eastAsia="zh-CN"/>
              </w:rPr>
            </w:pPr>
            <w:r>
              <w:rPr>
                <w:rFonts w:hint="default"/>
                <w:color w:val="auto"/>
                <w:sz w:val="26"/>
                <w:szCs w:val="26"/>
                <w:highlight w:val="none"/>
              </w:rPr>
              <w:t>1.5</w:t>
            </w:r>
            <w:r>
              <w:rPr>
                <w:rFonts w:hint="eastAsia"/>
                <w:color w:val="auto"/>
                <w:sz w:val="26"/>
                <w:szCs w:val="26"/>
                <w:highlight w:val="none"/>
              </w:rPr>
              <w:t>选址合理性分析</w:t>
            </w:r>
          </w:p>
          <w:p w14:paraId="38037E1B">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本项目位于</w:t>
            </w:r>
            <w:r>
              <w:rPr>
                <w:rFonts w:hint="eastAsia"/>
                <w:color w:val="auto"/>
                <w:highlight w:val="none"/>
                <w:lang w:val="en-US" w:eastAsia="zh-CN"/>
              </w:rPr>
              <w:t>綦江北渡铝产业园区</w:t>
            </w:r>
            <w:r>
              <w:rPr>
                <w:rFonts w:hint="eastAsia"/>
                <w:color w:val="auto"/>
                <w:highlight w:val="none"/>
              </w:rPr>
              <w:t>，</w:t>
            </w:r>
            <w:r>
              <w:rPr>
                <w:rFonts w:hint="eastAsia"/>
                <w:color w:val="auto"/>
                <w:highlight w:val="none"/>
                <w:lang w:val="en-US" w:eastAsia="zh-CN"/>
              </w:rPr>
              <w:t>其“摩托车离合器、电动车变速器总成及配件建设项目”环境影响报告表于2022年10月获得綦江区生态环境局的批复（渝（綦）环准〔2022〕63号）。在2025年5月，綦江区生态环境局对企业进行现场检查时，发现其存在擅自开工建设超过原环评批复的产能之外的“未批先建”行为，并以《责令改正违法行为决定书》（綦环改〔2025〕24号）责令其立即停止建设。目前，企业已停止建设，经现场核查，企业现状生产设备数量、生产规模等存在重大变动，因此，需开展重新报批环评。</w:t>
            </w:r>
          </w:p>
          <w:p w14:paraId="0F6E76A3">
            <w:pPr>
              <w:pStyle w:val="74"/>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项目拟建成后年产30万套离合器总成、年产2000万套离合器摩擦片。</w:t>
            </w:r>
            <w:r>
              <w:rPr>
                <w:rFonts w:hint="eastAsia"/>
                <w:color w:val="auto"/>
                <w:highlight w:val="none"/>
              </w:rPr>
              <w:t>生产工艺中主要产污环节为</w:t>
            </w:r>
            <w:r>
              <w:rPr>
                <w:rFonts w:hint="eastAsia"/>
                <w:b w:val="0"/>
                <w:bCs w:val="0"/>
                <w:color w:val="auto"/>
                <w:highlight w:val="none"/>
                <w:lang w:val="en-US" w:eastAsia="zh-CN"/>
              </w:rPr>
              <w:t>热熔及除渣工序（产生烟尘、氯化氢）、压铸脱模工序（产生的非甲烷总烃、少量颗粒物）、浸胶工序（产生的乙醇废气）、热压和固化工序（产生的非甲烷总烃）</w:t>
            </w:r>
            <w:r>
              <w:rPr>
                <w:rFonts w:hint="eastAsia"/>
                <w:color w:val="auto"/>
                <w:highlight w:val="none"/>
                <w:lang w:val="en-US" w:eastAsia="zh-CN"/>
              </w:rPr>
              <w:t>、抛丸和磨加工（产生粉尘）、搅拌和挤压（产生颗粒物、非甲烷总烃、臭气浓度）以及食堂油烟</w:t>
            </w:r>
            <w:r>
              <w:rPr>
                <w:rFonts w:hint="eastAsia"/>
                <w:color w:val="auto"/>
                <w:highlight w:val="none"/>
              </w:rPr>
              <w:t>，</w:t>
            </w:r>
            <w:r>
              <w:rPr>
                <w:rFonts w:hint="eastAsia"/>
                <w:color w:val="auto"/>
                <w:highlight w:val="none"/>
                <w:lang w:val="en-US" w:eastAsia="zh-CN"/>
              </w:rPr>
              <w:t>上述废气采取的收集、治理措施如下：（1）</w:t>
            </w:r>
            <w:r>
              <w:rPr>
                <w:rFonts w:hint="eastAsia"/>
                <w:color w:val="auto"/>
                <w:highlight w:val="none"/>
              </w:rPr>
              <w:t>热熔、除渣废气进入一套袋式除尘器处理后经1根15m高的排气筒DA001有组织排放</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压铸脱模产生的有机废气（以非甲烷总烃计）进入1套“过滤棉+除湿装置+两级活性炭吸附”处理，热压和固化产生的有机废气进入1套“干式过滤+两级活性炭吸附”装置处理，浸胶废气（主要成分为乙醇，以非甲烷总烃计）进入一套水喷淋塔处理，上述有机废气经处理后汇集经1根15m高的排气筒DA002有组织排放</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4台抛丸机经设备自带的4套“旋风+滤筒”防爆除尘系统处理后经1根15m高的排气筒DA003有组织排放，其余1台抛丸机、其他磨加工设备产生的粉尘一起进入一套袋式防爆除尘系统（编号为2#）处理后经1根15m高的排气筒DA003有组织排放，另外一台磨加工设备产生的粉尘经单独的一套防爆袋式除尘系统（编号为1#）处理后接入排气筒DA003有组织排放</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搅拌机、挤压机产生的废气设置集气罩收集，废气收集后进入一套“滤筒除尘+两级活性炭吸附”系统处理后，接入1根15m高的排气筒DA004有组织排放。</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油烟净化器+专用排烟管</w:t>
            </w:r>
            <w:r>
              <w:rPr>
                <w:rFonts w:hint="eastAsia"/>
                <w:color w:val="auto"/>
                <w:highlight w:val="none"/>
                <w:lang w:eastAsia="zh-CN"/>
              </w:rPr>
              <w:t>；</w:t>
            </w:r>
            <w:r>
              <w:rPr>
                <w:rFonts w:hint="eastAsia"/>
                <w:color w:val="auto"/>
                <w:highlight w:val="none"/>
              </w:rPr>
              <w:t>在采取</w:t>
            </w:r>
            <w:r>
              <w:rPr>
                <w:rFonts w:hint="eastAsia"/>
                <w:color w:val="auto"/>
                <w:highlight w:val="none"/>
                <w:lang w:val="en-US" w:eastAsia="zh-CN"/>
              </w:rPr>
              <w:t>上述</w:t>
            </w:r>
            <w:r>
              <w:rPr>
                <w:rFonts w:hint="eastAsia"/>
                <w:color w:val="auto"/>
                <w:highlight w:val="none"/>
              </w:rPr>
              <w:t>环保措施的前提下可确保污染物达标排放。</w:t>
            </w:r>
          </w:p>
          <w:p w14:paraId="40165C39">
            <w:pPr>
              <w:pStyle w:val="74"/>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根据《綦江工业园区北渡铝产业园控制性详细规划》（2022），本项目</w:t>
            </w:r>
            <w:r>
              <w:rPr>
                <w:rFonts w:hint="eastAsia"/>
                <w:color w:val="auto"/>
                <w:highlight w:val="none"/>
                <w:lang w:val="en-US" w:eastAsia="zh-CN"/>
              </w:rPr>
              <w:t>厂区</w:t>
            </w:r>
            <w:r>
              <w:rPr>
                <w:rFonts w:hint="eastAsia"/>
                <w:color w:val="auto"/>
                <w:highlight w:val="none"/>
              </w:rPr>
              <w:t>用地性质为工业用地</w:t>
            </w:r>
            <w:r>
              <w:rPr>
                <w:rFonts w:hint="eastAsia"/>
                <w:color w:val="auto"/>
                <w:highlight w:val="none"/>
                <w:lang w:eastAsia="zh-CN"/>
              </w:rPr>
              <w:t>（</w:t>
            </w:r>
            <w:r>
              <w:rPr>
                <w:rFonts w:hint="eastAsia"/>
                <w:color w:val="auto"/>
                <w:highlight w:val="none"/>
                <w:lang w:val="en-US" w:eastAsia="zh-CN"/>
              </w:rPr>
              <w:t>M3</w:t>
            </w:r>
            <w:r>
              <w:rPr>
                <w:rFonts w:hint="eastAsia"/>
                <w:color w:val="auto"/>
                <w:highlight w:val="none"/>
                <w:lang w:eastAsia="zh-CN"/>
              </w:rPr>
              <w:t>）</w:t>
            </w:r>
            <w:r>
              <w:rPr>
                <w:rFonts w:hint="eastAsia"/>
                <w:color w:val="auto"/>
                <w:highlight w:val="none"/>
              </w:rPr>
              <w:t>，不属于规划禁止、限制准入行业；</w:t>
            </w:r>
            <w:r>
              <w:rPr>
                <w:rFonts w:hint="eastAsia"/>
                <w:color w:val="auto"/>
                <w:highlight w:val="none"/>
                <w:lang w:val="en-US" w:eastAsia="zh-CN"/>
              </w:rPr>
              <w:t>经</w:t>
            </w:r>
            <w:r>
              <w:rPr>
                <w:rFonts w:hint="eastAsia"/>
                <w:color w:val="auto"/>
                <w:highlight w:val="none"/>
              </w:rPr>
              <w:t>分析，本项目建设符合规划及规划环评、生态环境分区管控要求及其他环境保护要求。根据环境质量现状监测结果，</w:t>
            </w:r>
            <w:r>
              <w:rPr>
                <w:rFonts w:hint="default" w:ascii="Times New Roman" w:hAnsi="Times New Roman" w:cs="Times New Roman"/>
                <w:color w:val="auto"/>
                <w:highlight w:val="none"/>
              </w:rPr>
              <w:t>项目受纳水体綦江河北渡（綦江河）、石门坎（綦江河）满足《地表水环境质量标准》（GB3838-2002）Ⅲ类水域标准要求，地表水环境质量状况良好</w:t>
            </w:r>
            <w:r>
              <w:rPr>
                <w:rFonts w:hint="eastAsia" w:cs="Times New Roman"/>
                <w:color w:val="auto"/>
                <w:highlight w:val="none"/>
                <w:lang w:eastAsia="zh-CN"/>
              </w:rPr>
              <w:t>；</w:t>
            </w:r>
            <w:r>
              <w:rPr>
                <w:rFonts w:hint="eastAsia"/>
                <w:color w:val="auto"/>
                <w:highlight w:val="none"/>
              </w:rPr>
              <w:t>项目所在区域202</w:t>
            </w:r>
            <w:r>
              <w:rPr>
                <w:rFonts w:hint="eastAsia"/>
                <w:color w:val="auto"/>
                <w:highlight w:val="none"/>
                <w:lang w:val="en-US" w:eastAsia="zh-CN"/>
              </w:rPr>
              <w:t>4</w:t>
            </w:r>
            <w:r>
              <w:rPr>
                <w:rFonts w:hint="eastAsia"/>
                <w:color w:val="auto"/>
                <w:highlight w:val="none"/>
              </w:rPr>
              <w:t>年为环境空气不达标区，綦江区已制定了《重庆市綦江区生态环境保护“十四五”规划》，在实施相应的大气污染防治措施后，区域环境空气将得到改善，环境容量将能够支撑项目的实施。区域非甲烷总烃环境质量现状满足参照执行的《环境空气质量 非甲烷总烃限值》（DB13/1577-2012）二级标准要求。本项目所在区域环境质量现状较好，具有一定的环境容量。</w:t>
            </w:r>
          </w:p>
          <w:p w14:paraId="3213C163">
            <w:pPr>
              <w:pStyle w:val="74"/>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rPr>
              <w:t>根据现场调查，本项目厂界外50米范围内不存在声环境保护目标，厂界外500m范围的大气环境保护目标主要为</w:t>
            </w:r>
            <w:r>
              <w:rPr>
                <w:rFonts w:hint="eastAsia"/>
                <w:color w:val="auto"/>
                <w:highlight w:val="none"/>
                <w:lang w:val="en-US" w:eastAsia="zh-CN"/>
              </w:rPr>
              <w:t>北渡社区、白沙岗的居民</w:t>
            </w:r>
            <w:r>
              <w:rPr>
                <w:rFonts w:hint="eastAsia"/>
                <w:color w:val="auto"/>
                <w:highlight w:val="none"/>
              </w:rPr>
              <w:t>，共计约</w:t>
            </w:r>
            <w:r>
              <w:rPr>
                <w:rFonts w:hint="eastAsia"/>
                <w:color w:val="auto"/>
                <w:highlight w:val="none"/>
                <w:lang w:val="en-US" w:eastAsia="zh-CN"/>
              </w:rPr>
              <w:t>90人</w:t>
            </w:r>
            <w:r>
              <w:rPr>
                <w:rFonts w:hint="eastAsia"/>
                <w:color w:val="auto"/>
                <w:highlight w:val="none"/>
              </w:rPr>
              <w:t>，在采取污染防治设施保证各项污染物达标排放的条件下，项目对周边环境的影响可接受。</w:t>
            </w:r>
          </w:p>
          <w:p w14:paraId="6621A5B6">
            <w:pPr>
              <w:pStyle w:val="74"/>
              <w:keepNext w:val="0"/>
              <w:keepLines w:val="0"/>
              <w:suppressLineNumbers w:val="0"/>
              <w:bidi w:val="0"/>
              <w:spacing w:before="0" w:beforeAutospacing="0" w:after="0" w:afterAutospacing="0"/>
              <w:ind w:left="0" w:right="0"/>
              <w:rPr>
                <w:rFonts w:hint="default"/>
                <w:color w:val="auto"/>
                <w:szCs w:val="21"/>
                <w:highlight w:val="none"/>
              </w:rPr>
            </w:pPr>
            <w:r>
              <w:rPr>
                <w:rFonts w:hint="eastAsia"/>
                <w:color w:val="auto"/>
                <w:highlight w:val="none"/>
              </w:rPr>
              <w:t>综上所述，项目选址合理。</w:t>
            </w:r>
          </w:p>
        </w:tc>
      </w:tr>
    </w:tbl>
    <w:p w14:paraId="2AE541CE">
      <w:pPr>
        <w:tabs>
          <w:tab w:val="left" w:pos="1200"/>
        </w:tabs>
        <w:rPr>
          <w:color w:val="auto"/>
          <w:szCs w:val="21"/>
          <w:highlight w:val="none"/>
        </w:rPr>
        <w:sectPr>
          <w:pgSz w:w="11906" w:h="16838"/>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ab/>
      </w:r>
    </w:p>
    <w:p w14:paraId="05A58CBB">
      <w:pPr>
        <w:pStyle w:val="23"/>
        <w:rPr>
          <w:color w:val="auto"/>
          <w:highlight w:val="none"/>
        </w:rPr>
      </w:pPr>
      <w:r>
        <w:rPr>
          <w:color w:val="auto"/>
          <w:highlight w:val="none"/>
        </w:rPr>
        <w:t>二、建设项目工程分析</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9379"/>
      </w:tblGrid>
      <w:tr w14:paraId="4394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dxa"/>
            <w:vAlign w:val="center"/>
          </w:tcPr>
          <w:p w14:paraId="13A56F24">
            <w:pPr>
              <w:keepNext w:val="0"/>
              <w:keepLines w:val="0"/>
              <w:suppressLineNumbers w:val="0"/>
              <w:tabs>
                <w:tab w:val="left" w:pos="9127"/>
              </w:tabs>
              <w:spacing w:before="0" w:beforeAutospacing="0" w:after="0" w:afterAutospacing="0"/>
              <w:ind w:left="0" w:right="0"/>
              <w:rPr>
                <w:rFonts w:hint="default"/>
                <w:color w:val="auto"/>
                <w:sz w:val="26"/>
                <w:szCs w:val="26"/>
                <w:highlight w:val="none"/>
              </w:rPr>
            </w:pPr>
            <w:r>
              <w:rPr>
                <w:rFonts w:hint="default"/>
                <w:color w:val="auto"/>
                <w:highlight w:val="none"/>
              </w:rPr>
              <w:tab/>
            </w:r>
            <w:r>
              <w:rPr>
                <w:rFonts w:hint="eastAsia"/>
                <w:color w:val="auto"/>
                <w:sz w:val="26"/>
                <w:szCs w:val="26"/>
                <w:highlight w:val="none"/>
              </w:rPr>
              <w:t>建设内容</w:t>
            </w:r>
          </w:p>
        </w:tc>
        <w:tc>
          <w:tcPr>
            <w:tcW w:w="9421" w:type="dxa"/>
            <w:vAlign w:val="center"/>
          </w:tcPr>
          <w:p w14:paraId="6EF018B0">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default"/>
                <w:color w:val="auto"/>
                <w:sz w:val="26"/>
                <w:szCs w:val="26"/>
                <w:highlight w:val="none"/>
              </w:rPr>
              <w:t>2.1</w:t>
            </w:r>
            <w:r>
              <w:rPr>
                <w:rFonts w:hint="eastAsia"/>
                <w:color w:val="auto"/>
                <w:sz w:val="26"/>
                <w:szCs w:val="26"/>
                <w:highlight w:val="none"/>
              </w:rPr>
              <w:t>项目情况</w:t>
            </w:r>
          </w:p>
          <w:p w14:paraId="1EEAD14E">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2</w:t>
            </w:r>
            <w:r>
              <w:rPr>
                <w:rFonts w:hint="default"/>
                <w:color w:val="auto"/>
                <w:sz w:val="26"/>
                <w:szCs w:val="26"/>
                <w:highlight w:val="none"/>
              </w:rPr>
              <w:t>.1.1</w:t>
            </w:r>
            <w:r>
              <w:rPr>
                <w:rFonts w:hint="eastAsia"/>
                <w:color w:val="auto"/>
                <w:sz w:val="26"/>
                <w:szCs w:val="26"/>
                <w:highlight w:val="none"/>
              </w:rPr>
              <w:t>项目由来</w:t>
            </w:r>
          </w:p>
          <w:p w14:paraId="5EECE4D7">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重庆强劲动力技术有限公司（原名“重庆强劲传动科技有限公司”）位于重庆市綦江区古南街道北渡铝产业园</w:t>
            </w:r>
            <w:r>
              <w:rPr>
                <w:rFonts w:hint="eastAsia"/>
                <w:color w:val="auto"/>
                <w:highlight w:val="none"/>
                <w:lang w:val="en-US" w:eastAsia="zh-CN"/>
              </w:rPr>
              <w:t>，2022年重庆强劲传动科技有限公司（现更名为“重庆强劲动力技术有限公司”）投资建设“摩托车离合器、电动车变速器总成及配件建设项目”，</w:t>
            </w:r>
            <w:r>
              <w:rPr>
                <w:rFonts w:hint="eastAsia"/>
                <w:color w:val="auto"/>
                <w:highlight w:val="none"/>
              </w:rPr>
              <w:t>主要从事摩托车离合器、电动车变速器总成及</w:t>
            </w:r>
            <w:r>
              <w:rPr>
                <w:rFonts w:hint="eastAsia"/>
                <w:color w:val="auto"/>
                <w:highlight w:val="none"/>
                <w:lang w:val="en-US" w:eastAsia="zh-CN"/>
              </w:rPr>
              <w:t>配件</w:t>
            </w:r>
            <w:r>
              <w:rPr>
                <w:rFonts w:hint="eastAsia"/>
                <w:color w:val="auto"/>
                <w:highlight w:val="none"/>
              </w:rPr>
              <w:t>生产，</w:t>
            </w:r>
            <w:r>
              <w:rPr>
                <w:rFonts w:hint="eastAsia"/>
                <w:color w:val="auto"/>
                <w:highlight w:val="none"/>
                <w:lang w:val="en-US" w:eastAsia="zh-CN"/>
              </w:rPr>
              <w:t>现有工程的</w:t>
            </w:r>
            <w:r>
              <w:rPr>
                <w:rFonts w:hint="eastAsia"/>
                <w:color w:val="auto"/>
                <w:highlight w:val="none"/>
              </w:rPr>
              <w:t>生产规模为</w:t>
            </w:r>
            <w:r>
              <w:rPr>
                <w:rFonts w:hint="eastAsia"/>
                <w:color w:val="auto"/>
                <w:highlight w:val="none"/>
                <w:lang w:val="en-US" w:eastAsia="zh-CN"/>
              </w:rPr>
              <w:t>200</w:t>
            </w:r>
            <w:r>
              <w:rPr>
                <w:rFonts w:hint="eastAsia"/>
                <w:color w:val="auto"/>
                <w:highlight w:val="none"/>
              </w:rPr>
              <w:t>万</w:t>
            </w:r>
            <w:r>
              <w:rPr>
                <w:rFonts w:hint="eastAsia"/>
                <w:color w:val="auto"/>
                <w:highlight w:val="none"/>
                <w:lang w:val="en-US" w:eastAsia="zh-CN"/>
              </w:rPr>
              <w:t>套</w:t>
            </w:r>
            <w:r>
              <w:rPr>
                <w:rFonts w:hint="eastAsia"/>
                <w:color w:val="auto"/>
                <w:highlight w:val="none"/>
              </w:rPr>
              <w:t>/a摩托车、电动车离合器总成及配件。</w:t>
            </w:r>
          </w:p>
          <w:p w14:paraId="7616E516">
            <w:pPr>
              <w:pStyle w:val="74"/>
              <w:keepNext w:val="0"/>
              <w:keepLines w:val="0"/>
              <w:suppressLineNumbers w:val="0"/>
              <w:spacing w:before="0" w:beforeAutospacing="0" w:after="0" w:afterAutospacing="0"/>
              <w:ind w:left="0" w:right="0" w:firstLine="520"/>
              <w:rPr>
                <w:rFonts w:hint="eastAsia" w:eastAsia="宋体"/>
                <w:color w:val="auto"/>
                <w:highlight w:val="none"/>
                <w:lang w:eastAsia="zh-CN"/>
              </w:rPr>
            </w:pPr>
            <w:r>
              <w:rPr>
                <w:rFonts w:hint="eastAsia"/>
                <w:color w:val="auto"/>
                <w:highlight w:val="none"/>
              </w:rPr>
              <w:t>其“摩托车离合器、电动车变速器总成及配件建设项目”环境影响报告表于2022年10月获得綦江区生态环境局的批复（渝（綦）环准</w:t>
            </w:r>
            <w:r>
              <w:rPr>
                <w:rFonts w:hint="eastAsia"/>
                <w:color w:val="auto"/>
                <w:highlight w:val="none"/>
                <w:lang w:eastAsia="zh-CN"/>
              </w:rPr>
              <w:t>〔2022〕63号</w:t>
            </w:r>
            <w:r>
              <w:rPr>
                <w:rFonts w:hint="eastAsia"/>
                <w:color w:val="auto"/>
                <w:highlight w:val="none"/>
              </w:rPr>
              <w:t>）。在2025年5月，綦江区生态环境局对企业进行现场检查时，发现其存在擅自开工建设超过原环评批复的产能之外的“未批先建”行为，并以《责令改正违法行为决定书》（綦环改〔2025〕24号）责令其立即停止建设。目前，企业已停止建设，经现场核查，企业现状生产设备数量、生产规模等存在重大变动</w:t>
            </w:r>
            <w:r>
              <w:rPr>
                <w:rFonts w:hint="eastAsia"/>
                <w:color w:val="auto"/>
                <w:highlight w:val="none"/>
                <w:lang w:eastAsia="zh-CN"/>
              </w:rPr>
              <w:t>（</w:t>
            </w:r>
            <w:r>
              <w:rPr>
                <w:rFonts w:hint="eastAsia"/>
                <w:color w:val="auto"/>
                <w:highlight w:val="none"/>
                <w:lang w:val="en-US" w:eastAsia="zh-CN"/>
              </w:rPr>
              <w:t>与</w:t>
            </w:r>
            <w:r>
              <w:rPr>
                <w:rFonts w:hint="default"/>
                <w:color w:val="auto"/>
                <w:sz w:val="26"/>
                <w:szCs w:val="26"/>
              </w:rPr>
              <w:t>生态环境部</w:t>
            </w:r>
            <w:r>
              <w:rPr>
                <w:rFonts w:hint="eastAsia"/>
                <w:color w:val="auto"/>
                <w:sz w:val="26"/>
                <w:szCs w:val="26"/>
              </w:rPr>
              <w:t>办公厅关于</w:t>
            </w:r>
            <w:r>
              <w:rPr>
                <w:rFonts w:hint="default"/>
                <w:color w:val="auto"/>
                <w:sz w:val="26"/>
                <w:szCs w:val="26"/>
              </w:rPr>
              <w:t>印发</w:t>
            </w:r>
            <w:r>
              <w:rPr>
                <w:rFonts w:hint="eastAsia"/>
                <w:color w:val="auto"/>
                <w:sz w:val="26"/>
                <w:szCs w:val="26"/>
              </w:rPr>
              <w:t>《污染</w:t>
            </w:r>
            <w:r>
              <w:rPr>
                <w:rFonts w:hint="default"/>
                <w:color w:val="auto"/>
                <w:sz w:val="26"/>
                <w:szCs w:val="26"/>
              </w:rPr>
              <w:t>影响类建设项目重大变动清单（</w:t>
            </w:r>
            <w:r>
              <w:rPr>
                <w:rFonts w:hint="eastAsia"/>
                <w:color w:val="auto"/>
                <w:sz w:val="26"/>
                <w:szCs w:val="26"/>
              </w:rPr>
              <w:t>试行</w:t>
            </w:r>
            <w:r>
              <w:rPr>
                <w:rFonts w:hint="default"/>
                <w:color w:val="auto"/>
                <w:sz w:val="26"/>
                <w:szCs w:val="26"/>
              </w:rPr>
              <w:t>）</w:t>
            </w:r>
            <w:r>
              <w:rPr>
                <w:rFonts w:hint="eastAsia"/>
                <w:color w:val="auto"/>
                <w:sz w:val="26"/>
                <w:szCs w:val="26"/>
              </w:rPr>
              <w:t>》的</w:t>
            </w:r>
            <w:r>
              <w:rPr>
                <w:rFonts w:hint="default"/>
                <w:color w:val="auto"/>
                <w:sz w:val="26"/>
                <w:szCs w:val="26"/>
              </w:rPr>
              <w:t>通知</w:t>
            </w:r>
            <w:r>
              <w:rPr>
                <w:rFonts w:hint="eastAsia"/>
                <w:color w:val="auto"/>
                <w:sz w:val="26"/>
                <w:szCs w:val="26"/>
              </w:rPr>
              <w:t>（环办环评函〔2020〕688号）</w:t>
            </w:r>
            <w:r>
              <w:rPr>
                <w:rFonts w:hint="eastAsia"/>
                <w:color w:val="auto"/>
                <w:sz w:val="26"/>
                <w:szCs w:val="26"/>
                <w:lang w:eastAsia="zh-CN"/>
              </w:rPr>
              <w:t>的</w:t>
            </w:r>
            <w:r>
              <w:rPr>
                <w:rFonts w:hint="eastAsia"/>
                <w:color w:val="auto"/>
                <w:sz w:val="26"/>
                <w:szCs w:val="26"/>
                <w:lang w:val="en-US" w:eastAsia="zh-CN"/>
              </w:rPr>
              <w:t>对照分析详见下表</w:t>
            </w:r>
            <w:r>
              <w:rPr>
                <w:rFonts w:hint="eastAsia"/>
                <w:color w:val="auto"/>
                <w:highlight w:val="none"/>
                <w:lang w:eastAsia="zh-CN"/>
              </w:rPr>
              <w:t>）。</w:t>
            </w:r>
          </w:p>
          <w:p w14:paraId="78C8EF89">
            <w:pPr>
              <w:keepNext w:val="0"/>
              <w:keepLines w:val="0"/>
              <w:suppressLineNumbers w:val="0"/>
              <w:spacing w:before="0" w:beforeAutospacing="0" w:after="0" w:afterAutospacing="0"/>
              <w:ind w:left="0" w:right="0" w:firstLine="520" w:firstLineChars="200"/>
              <w:rPr>
                <w:rFonts w:hint="eastAsia"/>
                <w:color w:val="auto"/>
                <w:sz w:val="26"/>
                <w:szCs w:val="26"/>
              </w:rPr>
            </w:pPr>
          </w:p>
          <w:p w14:paraId="3CED88FE">
            <w:pPr>
              <w:keepNext w:val="0"/>
              <w:keepLines w:val="0"/>
              <w:suppressLineNumbers w:val="0"/>
              <w:spacing w:before="0" w:beforeAutospacing="0" w:after="0" w:afterAutospacing="0" w:line="480" w:lineRule="exact"/>
              <w:ind w:left="0" w:right="0" w:firstLine="520" w:firstLineChars="200"/>
              <w:jc w:val="center"/>
              <w:rPr>
                <w:rFonts w:hint="default"/>
                <w:color w:val="auto"/>
                <w:sz w:val="26"/>
                <w:szCs w:val="26"/>
              </w:rPr>
            </w:pPr>
            <w:r>
              <w:rPr>
                <w:rFonts w:hint="default"/>
                <w:color w:val="auto"/>
                <w:sz w:val="26"/>
                <w:szCs w:val="26"/>
              </w:rPr>
              <w:t>表</w:t>
            </w:r>
            <w:r>
              <w:rPr>
                <w:rFonts w:hint="eastAsia"/>
                <w:color w:val="auto"/>
                <w:sz w:val="26"/>
                <w:szCs w:val="26"/>
                <w:lang w:val="en-US" w:eastAsia="zh-CN"/>
              </w:rPr>
              <w:t xml:space="preserve">2.1-1 </w:t>
            </w:r>
            <w:r>
              <w:rPr>
                <w:rFonts w:hint="default"/>
                <w:color w:val="auto"/>
                <w:sz w:val="26"/>
                <w:szCs w:val="26"/>
              </w:rPr>
              <w:t xml:space="preserve">  重大变动对照分析</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47"/>
              <w:gridCol w:w="3927"/>
              <w:gridCol w:w="1269"/>
            </w:tblGrid>
            <w:tr w14:paraId="2C399B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47" w:type="dxa"/>
                  <w:noWrap w:val="0"/>
                  <w:vAlign w:val="center"/>
                </w:tcPr>
                <w:p w14:paraId="0687182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清单内容</w:t>
                  </w:r>
                </w:p>
              </w:tc>
              <w:tc>
                <w:tcPr>
                  <w:tcW w:w="3927" w:type="dxa"/>
                  <w:noWrap w:val="0"/>
                  <w:vAlign w:val="center"/>
                </w:tcPr>
                <w:p w14:paraId="1322775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本项目变化情况</w:t>
                  </w:r>
                </w:p>
              </w:tc>
              <w:tc>
                <w:tcPr>
                  <w:tcW w:w="1269" w:type="dxa"/>
                  <w:noWrap w:val="0"/>
                  <w:vAlign w:val="center"/>
                </w:tcPr>
                <w:p w14:paraId="6A8BC40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是否属于重大变动</w:t>
                  </w:r>
                </w:p>
              </w:tc>
            </w:tr>
            <w:tr w14:paraId="5CC2D2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143" w:type="dxa"/>
                  <w:gridSpan w:val="3"/>
                  <w:noWrap w:val="0"/>
                  <w:vAlign w:val="center"/>
                </w:tcPr>
                <w:p w14:paraId="3C656A90">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b/>
                      <w:color w:val="auto"/>
                      <w:sz w:val="22"/>
                      <w:szCs w:val="22"/>
                    </w:rPr>
                    <w:t>性质</w:t>
                  </w:r>
                </w:p>
              </w:tc>
            </w:tr>
            <w:tr w14:paraId="65B416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1D7EA959">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建设项目开发、使用功能发生变化的</w:t>
                  </w:r>
                </w:p>
              </w:tc>
              <w:tc>
                <w:tcPr>
                  <w:tcW w:w="3927" w:type="dxa"/>
                  <w:noWrap w:val="0"/>
                  <w:vAlign w:val="center"/>
                </w:tcPr>
                <w:p w14:paraId="62D5DFE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eastAsia"/>
                      <w:color w:val="auto"/>
                      <w:sz w:val="22"/>
                      <w:szCs w:val="22"/>
                    </w:rPr>
                    <w:t>功能无变化</w:t>
                  </w:r>
                </w:p>
              </w:tc>
              <w:tc>
                <w:tcPr>
                  <w:tcW w:w="1269" w:type="dxa"/>
                  <w:noWrap w:val="0"/>
                  <w:vAlign w:val="center"/>
                </w:tcPr>
                <w:p w14:paraId="1447A075">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eastAsia"/>
                      <w:color w:val="auto"/>
                      <w:sz w:val="22"/>
                      <w:szCs w:val="22"/>
                    </w:rPr>
                    <w:t>否</w:t>
                  </w:r>
                </w:p>
              </w:tc>
            </w:tr>
            <w:tr w14:paraId="0E4C59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143" w:type="dxa"/>
                  <w:gridSpan w:val="3"/>
                  <w:noWrap w:val="0"/>
                  <w:vAlign w:val="center"/>
                </w:tcPr>
                <w:p w14:paraId="2A1FBC3E">
                  <w:pPr>
                    <w:keepNext w:val="0"/>
                    <w:keepLines w:val="0"/>
                    <w:suppressLineNumbers w:val="0"/>
                    <w:autoSpaceDE w:val="0"/>
                    <w:autoSpaceDN w:val="0"/>
                    <w:adjustRightInd w:val="0"/>
                    <w:snapToGrid w:val="0"/>
                    <w:spacing w:before="0" w:beforeAutospacing="0" w:after="0" w:afterAutospacing="0"/>
                    <w:ind w:left="0" w:right="0"/>
                    <w:jc w:val="center"/>
                    <w:rPr>
                      <w:rFonts w:hint="default"/>
                      <w:b/>
                      <w:color w:val="auto"/>
                      <w:sz w:val="22"/>
                      <w:szCs w:val="22"/>
                    </w:rPr>
                  </w:pPr>
                  <w:r>
                    <w:rPr>
                      <w:rFonts w:hint="default"/>
                      <w:b/>
                      <w:color w:val="auto"/>
                      <w:sz w:val="22"/>
                      <w:szCs w:val="22"/>
                    </w:rPr>
                    <w:t>规模</w:t>
                  </w:r>
                </w:p>
              </w:tc>
            </w:tr>
            <w:tr w14:paraId="738FC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4C4D22A6">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生产、处置或储存能力增大30%及以上的</w:t>
                  </w:r>
                </w:p>
              </w:tc>
              <w:tc>
                <w:tcPr>
                  <w:tcW w:w="3927" w:type="dxa"/>
                  <w:noWrap w:val="0"/>
                  <w:vAlign w:val="center"/>
                </w:tcPr>
                <w:p w14:paraId="2B8C4AE9">
                  <w:pPr>
                    <w:keepNext w:val="0"/>
                    <w:keepLines w:val="0"/>
                    <w:numPr>
                      <w:ilvl w:val="0"/>
                      <w:numId w:val="0"/>
                    </w:numPr>
                    <w:suppressLineNumbers w:val="0"/>
                    <w:autoSpaceDE w:val="0"/>
                    <w:autoSpaceDN w:val="0"/>
                    <w:adjustRightInd w:val="0"/>
                    <w:snapToGrid w:val="0"/>
                    <w:spacing w:before="0" w:beforeAutospacing="0" w:after="0" w:afterAutospacing="0"/>
                    <w:ind w:left="0" w:right="0"/>
                    <w:jc w:val="both"/>
                    <w:rPr>
                      <w:rFonts w:hint="default"/>
                      <w:b/>
                      <w:bCs/>
                      <w:color w:val="auto"/>
                      <w:sz w:val="22"/>
                      <w:szCs w:val="22"/>
                      <w:lang w:val="en-US" w:eastAsia="zh-CN"/>
                    </w:rPr>
                  </w:pPr>
                  <w:r>
                    <w:rPr>
                      <w:rFonts w:hint="eastAsia"/>
                      <w:b/>
                      <w:bCs/>
                      <w:color w:val="auto"/>
                      <w:sz w:val="22"/>
                      <w:szCs w:val="22"/>
                      <w:lang w:val="en-US" w:eastAsia="zh-CN"/>
                    </w:rPr>
                    <w:t>本项目变动后的生产能力为“年产30万套离合器总成、年产2000万套离合器摩擦片”，相比原环评的“200万套/a摩托车、电动车离合器总成及配件”，生产能力增加超过30%。</w:t>
                  </w:r>
                </w:p>
              </w:tc>
              <w:tc>
                <w:tcPr>
                  <w:tcW w:w="1269" w:type="dxa"/>
                  <w:noWrap w:val="0"/>
                  <w:vAlign w:val="center"/>
                </w:tcPr>
                <w:p w14:paraId="4FBCA7D5">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b/>
                      <w:bCs/>
                      <w:color w:val="auto"/>
                      <w:sz w:val="22"/>
                      <w:szCs w:val="22"/>
                      <w:lang w:eastAsia="zh-CN"/>
                    </w:rPr>
                  </w:pPr>
                  <w:r>
                    <w:rPr>
                      <w:rFonts w:hint="eastAsia"/>
                      <w:b/>
                      <w:bCs/>
                      <w:color w:val="auto"/>
                      <w:sz w:val="22"/>
                      <w:szCs w:val="22"/>
                      <w:lang w:eastAsia="zh-CN"/>
                    </w:rPr>
                    <w:t>是</w:t>
                  </w:r>
                </w:p>
              </w:tc>
            </w:tr>
            <w:tr w14:paraId="7CDE0C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4BFC3A31">
                  <w:pPr>
                    <w:keepNext w:val="0"/>
                    <w:keepLines w:val="0"/>
                    <w:suppressLineNumbers w:val="0"/>
                    <w:autoSpaceDE w:val="0"/>
                    <w:autoSpaceDN w:val="0"/>
                    <w:adjustRightInd w:val="0"/>
                    <w:snapToGrid w:val="0"/>
                    <w:spacing w:before="0" w:beforeAutospacing="0" w:after="0" w:afterAutospacing="0"/>
                    <w:ind w:left="0" w:right="0"/>
                    <w:jc w:val="both"/>
                    <w:rPr>
                      <w:rFonts w:hint="eastAsia"/>
                      <w:color w:val="auto"/>
                      <w:sz w:val="22"/>
                      <w:szCs w:val="22"/>
                    </w:rPr>
                  </w:pPr>
                  <w:r>
                    <w:rPr>
                      <w:rFonts w:hint="default"/>
                      <w:color w:val="auto"/>
                      <w:sz w:val="22"/>
                      <w:szCs w:val="22"/>
                    </w:rPr>
                    <w:t>生产、处置或储存能力增大，导致废水第一类污染物排放量增加的</w:t>
                  </w:r>
                </w:p>
              </w:tc>
              <w:tc>
                <w:tcPr>
                  <w:tcW w:w="3927" w:type="dxa"/>
                  <w:noWrap w:val="0"/>
                  <w:vAlign w:val="center"/>
                </w:tcPr>
                <w:p w14:paraId="4024592B">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2"/>
                      <w:szCs w:val="22"/>
                      <w:lang w:val="en-US" w:eastAsia="zh-CN"/>
                    </w:rPr>
                  </w:pPr>
                  <w:r>
                    <w:rPr>
                      <w:rFonts w:hint="eastAsia"/>
                      <w:color w:val="auto"/>
                      <w:sz w:val="22"/>
                      <w:szCs w:val="22"/>
                      <w:lang w:val="en-US" w:eastAsia="zh-CN"/>
                    </w:rPr>
                    <w:t>本项目不涉及废水第一类污染物排放</w:t>
                  </w:r>
                </w:p>
              </w:tc>
              <w:tc>
                <w:tcPr>
                  <w:tcW w:w="1269" w:type="dxa"/>
                  <w:noWrap w:val="0"/>
                  <w:vAlign w:val="center"/>
                </w:tcPr>
                <w:p w14:paraId="6D4E0B4A">
                  <w:pPr>
                    <w:keepNext w:val="0"/>
                    <w:keepLines w:val="0"/>
                    <w:suppressLineNumbers w:val="0"/>
                    <w:autoSpaceDE w:val="0"/>
                    <w:autoSpaceDN w:val="0"/>
                    <w:adjustRightInd w:val="0"/>
                    <w:snapToGrid w:val="0"/>
                    <w:spacing w:before="0" w:beforeAutospacing="0" w:after="0" w:afterAutospacing="0"/>
                    <w:ind w:left="0" w:right="0"/>
                    <w:jc w:val="center"/>
                    <w:rPr>
                      <w:rFonts w:hint="eastAsia"/>
                      <w:color w:val="auto"/>
                      <w:sz w:val="22"/>
                      <w:szCs w:val="22"/>
                    </w:rPr>
                  </w:pPr>
                  <w:r>
                    <w:rPr>
                      <w:rFonts w:hint="eastAsia"/>
                      <w:color w:val="auto"/>
                      <w:sz w:val="22"/>
                      <w:szCs w:val="22"/>
                    </w:rPr>
                    <w:t>否</w:t>
                  </w:r>
                </w:p>
              </w:tc>
            </w:tr>
            <w:tr w14:paraId="0AD0A9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7BA6A06C">
                  <w:pPr>
                    <w:keepNext w:val="0"/>
                    <w:keepLines w:val="0"/>
                    <w:suppressLineNumbers w:val="0"/>
                    <w:autoSpaceDE w:val="0"/>
                    <w:autoSpaceDN w:val="0"/>
                    <w:adjustRightInd w:val="0"/>
                    <w:snapToGrid w:val="0"/>
                    <w:spacing w:before="0" w:beforeAutospacing="0" w:after="0" w:afterAutospacing="0"/>
                    <w:ind w:left="0" w:right="0"/>
                    <w:jc w:val="both"/>
                    <w:rPr>
                      <w:rFonts w:hint="eastAsia"/>
                      <w:color w:val="auto"/>
                      <w:sz w:val="22"/>
                      <w:szCs w:val="22"/>
                    </w:rPr>
                  </w:pPr>
                  <w:r>
                    <w:rPr>
                      <w:rFonts w:hint="default"/>
                      <w:color w:val="auto"/>
                      <w:sz w:val="22"/>
                      <w:szCs w:val="22"/>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3927" w:type="dxa"/>
                  <w:noWrap w:val="0"/>
                  <w:vAlign w:val="center"/>
                </w:tcPr>
                <w:p w14:paraId="33CDF73F">
                  <w:pPr>
                    <w:keepNext w:val="0"/>
                    <w:keepLines w:val="0"/>
                    <w:suppressLineNumbers w:val="0"/>
                    <w:autoSpaceDE w:val="0"/>
                    <w:autoSpaceDN w:val="0"/>
                    <w:adjustRightInd w:val="0"/>
                    <w:snapToGrid w:val="0"/>
                    <w:spacing w:before="0" w:beforeAutospacing="0" w:after="0" w:afterAutospacing="0"/>
                    <w:ind w:left="0" w:right="0"/>
                    <w:jc w:val="both"/>
                    <w:rPr>
                      <w:rFonts w:hint="eastAsia"/>
                      <w:b/>
                      <w:bCs/>
                      <w:color w:val="auto"/>
                      <w:sz w:val="22"/>
                      <w:szCs w:val="22"/>
                    </w:rPr>
                  </w:pPr>
                  <w:r>
                    <w:rPr>
                      <w:rFonts w:hint="eastAsia"/>
                      <w:b/>
                      <w:bCs/>
                      <w:color w:val="auto"/>
                      <w:sz w:val="22"/>
                      <w:szCs w:val="22"/>
                    </w:rPr>
                    <w:t>根据《202</w:t>
                  </w:r>
                  <w:r>
                    <w:rPr>
                      <w:rFonts w:hint="eastAsia"/>
                      <w:b/>
                      <w:bCs/>
                      <w:color w:val="auto"/>
                      <w:sz w:val="22"/>
                      <w:szCs w:val="22"/>
                      <w:lang w:val="en-US" w:eastAsia="zh-CN"/>
                    </w:rPr>
                    <w:t>4</w:t>
                  </w:r>
                  <w:r>
                    <w:rPr>
                      <w:rFonts w:hint="eastAsia"/>
                      <w:b/>
                      <w:bCs/>
                      <w:color w:val="auto"/>
                      <w:sz w:val="22"/>
                      <w:szCs w:val="22"/>
                    </w:rPr>
                    <w:t>年重庆市生态环境状况公报》，项目</w:t>
                  </w:r>
                  <w:r>
                    <w:rPr>
                      <w:rFonts w:hint="default"/>
                      <w:b/>
                      <w:bCs/>
                      <w:color w:val="auto"/>
                      <w:sz w:val="22"/>
                      <w:szCs w:val="22"/>
                    </w:rPr>
                    <w:t>位于</w:t>
                  </w:r>
                  <w:r>
                    <w:rPr>
                      <w:rFonts w:hint="eastAsia"/>
                      <w:b/>
                      <w:bCs/>
                      <w:color w:val="auto"/>
                      <w:sz w:val="22"/>
                      <w:szCs w:val="22"/>
                      <w:lang w:val="en-US" w:eastAsia="zh-CN"/>
                    </w:rPr>
                    <w:t>綦江区</w:t>
                  </w:r>
                  <w:r>
                    <w:rPr>
                      <w:rFonts w:hint="default"/>
                      <w:b/>
                      <w:bCs/>
                      <w:color w:val="auto"/>
                      <w:sz w:val="22"/>
                      <w:szCs w:val="22"/>
                    </w:rPr>
                    <w:t>，</w:t>
                  </w:r>
                  <w:r>
                    <w:rPr>
                      <w:rFonts w:hint="eastAsia"/>
                      <w:b/>
                      <w:bCs/>
                      <w:color w:val="auto"/>
                      <w:sz w:val="22"/>
                      <w:szCs w:val="22"/>
                    </w:rPr>
                    <w:t>綦江区2024年PM</w:t>
                  </w:r>
                  <w:r>
                    <w:rPr>
                      <w:rFonts w:hint="eastAsia"/>
                      <w:b/>
                      <w:bCs/>
                      <w:color w:val="auto"/>
                      <w:sz w:val="22"/>
                      <w:szCs w:val="22"/>
                      <w:vertAlign w:val="subscript"/>
                    </w:rPr>
                    <w:t>2.5</w:t>
                  </w:r>
                  <w:r>
                    <w:rPr>
                      <w:rFonts w:hint="eastAsia"/>
                      <w:b/>
                      <w:bCs/>
                      <w:color w:val="auto"/>
                      <w:sz w:val="22"/>
                      <w:szCs w:val="22"/>
                    </w:rPr>
                    <w:t>不满足《环境空气质量标准》（GB3095-2012）中二级标准</w:t>
                  </w:r>
                  <w:r>
                    <w:rPr>
                      <w:rFonts w:hint="eastAsia"/>
                      <w:b/>
                      <w:bCs/>
                      <w:color w:val="auto"/>
                      <w:sz w:val="22"/>
                      <w:szCs w:val="22"/>
                      <w:lang w:eastAsia="zh-CN"/>
                    </w:rPr>
                    <w:t>，</w:t>
                  </w:r>
                  <w:r>
                    <w:rPr>
                      <w:rFonts w:hint="eastAsia"/>
                      <w:b/>
                      <w:bCs/>
                      <w:color w:val="auto"/>
                      <w:sz w:val="22"/>
                      <w:szCs w:val="22"/>
                      <w:lang w:val="en-US" w:eastAsia="zh-CN"/>
                    </w:rPr>
                    <w:t>为不达标区，变动后相应污染物的排放量增加，属于不达标区内相应污染物排放量增加的情形。</w:t>
                  </w:r>
                </w:p>
              </w:tc>
              <w:tc>
                <w:tcPr>
                  <w:tcW w:w="1269" w:type="dxa"/>
                  <w:noWrap w:val="0"/>
                  <w:vAlign w:val="center"/>
                </w:tcPr>
                <w:p w14:paraId="4C617434">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b/>
                      <w:bCs/>
                      <w:color w:val="auto"/>
                      <w:sz w:val="22"/>
                      <w:szCs w:val="22"/>
                      <w:lang w:eastAsia="zh-CN"/>
                    </w:rPr>
                  </w:pPr>
                  <w:r>
                    <w:rPr>
                      <w:rFonts w:hint="eastAsia"/>
                      <w:b/>
                      <w:bCs/>
                      <w:color w:val="auto"/>
                      <w:sz w:val="22"/>
                      <w:szCs w:val="22"/>
                      <w:lang w:eastAsia="zh-CN"/>
                    </w:rPr>
                    <w:t>是</w:t>
                  </w:r>
                </w:p>
              </w:tc>
            </w:tr>
            <w:tr w14:paraId="008BCE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143" w:type="dxa"/>
                  <w:gridSpan w:val="3"/>
                  <w:noWrap w:val="0"/>
                  <w:vAlign w:val="center"/>
                </w:tcPr>
                <w:p w14:paraId="02C38A00">
                  <w:pPr>
                    <w:keepNext w:val="0"/>
                    <w:keepLines w:val="0"/>
                    <w:suppressLineNumbers w:val="0"/>
                    <w:autoSpaceDE w:val="0"/>
                    <w:autoSpaceDN w:val="0"/>
                    <w:adjustRightInd w:val="0"/>
                    <w:snapToGrid w:val="0"/>
                    <w:spacing w:before="0" w:beforeAutospacing="0" w:after="0" w:afterAutospacing="0"/>
                    <w:ind w:left="0" w:right="0"/>
                    <w:jc w:val="center"/>
                    <w:rPr>
                      <w:rFonts w:hint="eastAsia"/>
                      <w:b/>
                      <w:color w:val="auto"/>
                      <w:sz w:val="22"/>
                      <w:szCs w:val="22"/>
                    </w:rPr>
                  </w:pPr>
                  <w:r>
                    <w:rPr>
                      <w:rFonts w:hint="default"/>
                      <w:b/>
                      <w:color w:val="auto"/>
                      <w:sz w:val="22"/>
                      <w:szCs w:val="22"/>
                    </w:rPr>
                    <w:t>地点</w:t>
                  </w:r>
                </w:p>
              </w:tc>
            </w:tr>
            <w:tr w14:paraId="72039E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41B76D82">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重新选址；在原厂址附近调整（包括总平面布置变化）导致环境防护距离范围变化且新增敏感点的</w:t>
                  </w:r>
                </w:p>
              </w:tc>
              <w:tc>
                <w:tcPr>
                  <w:tcW w:w="3927" w:type="dxa"/>
                  <w:noWrap w:val="0"/>
                  <w:vAlign w:val="center"/>
                </w:tcPr>
                <w:p w14:paraId="2A65AB41">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2"/>
                      <w:szCs w:val="22"/>
                      <w:lang w:val="en-US" w:eastAsia="zh-CN"/>
                    </w:rPr>
                  </w:pPr>
                  <w:r>
                    <w:rPr>
                      <w:rFonts w:hint="eastAsia"/>
                      <w:color w:val="auto"/>
                      <w:sz w:val="22"/>
                      <w:szCs w:val="22"/>
                    </w:rPr>
                    <w:t>厂址不变，仅平面布置总体无变化</w:t>
                  </w:r>
                  <w:r>
                    <w:rPr>
                      <w:rFonts w:hint="eastAsia"/>
                      <w:color w:val="auto"/>
                      <w:sz w:val="22"/>
                      <w:szCs w:val="22"/>
                      <w:lang w:eastAsia="zh-CN"/>
                    </w:rPr>
                    <w:t>、</w:t>
                  </w:r>
                  <w:r>
                    <w:rPr>
                      <w:rFonts w:hint="eastAsia"/>
                      <w:color w:val="auto"/>
                      <w:sz w:val="22"/>
                      <w:szCs w:val="22"/>
                      <w:lang w:val="en-US" w:eastAsia="zh-CN"/>
                    </w:rPr>
                    <w:t>局部微调</w:t>
                  </w:r>
                  <w:r>
                    <w:rPr>
                      <w:rFonts w:hint="eastAsia"/>
                      <w:color w:val="auto"/>
                      <w:sz w:val="22"/>
                      <w:szCs w:val="22"/>
                    </w:rPr>
                    <w:t>，</w:t>
                  </w:r>
                  <w:r>
                    <w:rPr>
                      <w:rFonts w:hint="eastAsia"/>
                      <w:color w:val="auto"/>
                      <w:sz w:val="22"/>
                      <w:szCs w:val="22"/>
                      <w:lang w:val="en-US" w:eastAsia="zh-CN"/>
                    </w:rPr>
                    <w:t>且本项目不涉及环境防护距离</w:t>
                  </w:r>
                </w:p>
              </w:tc>
              <w:tc>
                <w:tcPr>
                  <w:tcW w:w="1269" w:type="dxa"/>
                  <w:noWrap w:val="0"/>
                  <w:vAlign w:val="center"/>
                </w:tcPr>
                <w:p w14:paraId="26ED0FCA">
                  <w:pPr>
                    <w:keepNext w:val="0"/>
                    <w:keepLines w:val="0"/>
                    <w:suppressLineNumbers w:val="0"/>
                    <w:autoSpaceDE w:val="0"/>
                    <w:autoSpaceDN w:val="0"/>
                    <w:adjustRightInd w:val="0"/>
                    <w:snapToGrid w:val="0"/>
                    <w:spacing w:before="0" w:beforeAutospacing="0" w:after="0" w:afterAutospacing="0"/>
                    <w:ind w:left="0" w:right="0"/>
                    <w:jc w:val="center"/>
                    <w:rPr>
                      <w:rFonts w:hint="default"/>
                      <w:b/>
                      <w:color w:val="auto"/>
                      <w:sz w:val="22"/>
                      <w:szCs w:val="22"/>
                    </w:rPr>
                  </w:pPr>
                  <w:r>
                    <w:rPr>
                      <w:rFonts w:hint="eastAsia"/>
                      <w:b w:val="0"/>
                      <w:bCs/>
                      <w:color w:val="auto"/>
                      <w:sz w:val="22"/>
                      <w:szCs w:val="22"/>
                    </w:rPr>
                    <w:t>否</w:t>
                  </w:r>
                </w:p>
              </w:tc>
            </w:tr>
            <w:tr w14:paraId="50BBD2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143" w:type="dxa"/>
                  <w:gridSpan w:val="3"/>
                  <w:noWrap w:val="0"/>
                  <w:vAlign w:val="center"/>
                </w:tcPr>
                <w:p w14:paraId="27E2F5A7">
                  <w:pPr>
                    <w:keepNext w:val="0"/>
                    <w:keepLines w:val="0"/>
                    <w:suppressLineNumbers w:val="0"/>
                    <w:autoSpaceDE w:val="0"/>
                    <w:autoSpaceDN w:val="0"/>
                    <w:adjustRightInd w:val="0"/>
                    <w:snapToGrid w:val="0"/>
                    <w:spacing w:before="0" w:beforeAutospacing="0" w:after="0" w:afterAutospacing="0"/>
                    <w:ind w:left="0" w:right="0"/>
                    <w:jc w:val="center"/>
                    <w:rPr>
                      <w:rFonts w:hint="eastAsia"/>
                      <w:color w:val="auto"/>
                      <w:sz w:val="22"/>
                      <w:szCs w:val="22"/>
                    </w:rPr>
                  </w:pPr>
                  <w:r>
                    <w:rPr>
                      <w:rFonts w:hint="default"/>
                      <w:b/>
                      <w:color w:val="auto"/>
                      <w:sz w:val="22"/>
                      <w:szCs w:val="22"/>
                    </w:rPr>
                    <w:t>生产工艺</w:t>
                  </w:r>
                </w:p>
              </w:tc>
            </w:tr>
            <w:tr w14:paraId="482529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4CBF2F4D">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新增产品品种或生产工艺（含主要生产装置、设备及配套设施）、主要原辅材料、燃料变化，导致以下情形之一：</w:t>
                  </w:r>
                </w:p>
                <w:p w14:paraId="799282AD">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（1）新增排放污染物种类的（毒性、挥发性降低的除外）；</w:t>
                  </w:r>
                </w:p>
                <w:p w14:paraId="39572A2A">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（2）位于环境质量不达标区的建设项目相应污染物排放量增加的；</w:t>
                  </w:r>
                </w:p>
                <w:p w14:paraId="3A3AEA84">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（3）废水第一类污染物排放量增加的；</w:t>
                  </w:r>
                </w:p>
                <w:p w14:paraId="7EF6B219">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（4）其他污染物排放量增加10%及以上的。</w:t>
                  </w:r>
                </w:p>
              </w:tc>
              <w:tc>
                <w:tcPr>
                  <w:tcW w:w="3927" w:type="dxa"/>
                  <w:noWrap w:val="0"/>
                  <w:vAlign w:val="center"/>
                </w:tcPr>
                <w:p w14:paraId="5C61CAA0">
                  <w:pPr>
                    <w:keepNext w:val="0"/>
                    <w:keepLines w:val="0"/>
                    <w:suppressLineNumbers w:val="0"/>
                    <w:autoSpaceDE w:val="0"/>
                    <w:autoSpaceDN w:val="0"/>
                    <w:adjustRightInd w:val="0"/>
                    <w:snapToGrid w:val="0"/>
                    <w:spacing w:before="0" w:beforeAutospacing="0" w:after="0" w:afterAutospacing="0"/>
                    <w:ind w:left="0" w:right="0"/>
                    <w:rPr>
                      <w:rFonts w:hint="default" w:eastAsia="宋体"/>
                      <w:b/>
                      <w:bCs/>
                      <w:color w:val="auto"/>
                      <w:sz w:val="22"/>
                      <w:szCs w:val="22"/>
                      <w:lang w:val="en-US" w:eastAsia="zh-CN"/>
                    </w:rPr>
                  </w:pPr>
                  <w:r>
                    <w:rPr>
                      <w:rFonts w:hint="default"/>
                      <w:b/>
                      <w:bCs/>
                      <w:color w:val="auto"/>
                      <w:sz w:val="22"/>
                      <w:szCs w:val="22"/>
                    </w:rPr>
                    <w:t>生产工艺变化</w:t>
                  </w:r>
                  <w:r>
                    <w:rPr>
                      <w:rFonts w:hint="eastAsia"/>
                      <w:b/>
                      <w:bCs/>
                      <w:color w:val="auto"/>
                      <w:sz w:val="22"/>
                      <w:szCs w:val="22"/>
                      <w:lang w:val="en-US" w:eastAsia="zh-CN"/>
                    </w:rPr>
                    <w:t>导致位于不达标区的相应污染物排放量增加的。</w:t>
                  </w:r>
                </w:p>
              </w:tc>
              <w:tc>
                <w:tcPr>
                  <w:tcW w:w="1269" w:type="dxa"/>
                  <w:noWrap w:val="0"/>
                  <w:vAlign w:val="center"/>
                </w:tcPr>
                <w:p w14:paraId="3A9BD1CD">
                  <w:pPr>
                    <w:keepNext w:val="0"/>
                    <w:keepLines w:val="0"/>
                    <w:suppressLineNumbers w:val="0"/>
                    <w:autoSpaceDE w:val="0"/>
                    <w:autoSpaceDN w:val="0"/>
                    <w:adjustRightInd w:val="0"/>
                    <w:snapToGrid w:val="0"/>
                    <w:spacing w:before="0" w:beforeAutospacing="0" w:after="0" w:afterAutospacing="0"/>
                    <w:ind w:left="0" w:right="0"/>
                    <w:jc w:val="center"/>
                    <w:rPr>
                      <w:rFonts w:hint="eastAsia" w:eastAsia="宋体"/>
                      <w:b/>
                      <w:bCs/>
                      <w:color w:val="auto"/>
                      <w:sz w:val="22"/>
                      <w:szCs w:val="22"/>
                      <w:lang w:eastAsia="zh-CN"/>
                    </w:rPr>
                  </w:pPr>
                  <w:r>
                    <w:rPr>
                      <w:rFonts w:hint="eastAsia"/>
                      <w:b/>
                      <w:bCs/>
                      <w:color w:val="auto"/>
                      <w:sz w:val="22"/>
                      <w:szCs w:val="22"/>
                      <w:lang w:eastAsia="zh-CN"/>
                    </w:rPr>
                    <w:t>是</w:t>
                  </w:r>
                </w:p>
              </w:tc>
            </w:tr>
            <w:tr w14:paraId="6D18C6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72C1F019">
                  <w:pPr>
                    <w:keepNext w:val="0"/>
                    <w:keepLines w:val="0"/>
                    <w:suppressLineNumbers w:val="0"/>
                    <w:autoSpaceDE w:val="0"/>
                    <w:autoSpaceDN w:val="0"/>
                    <w:adjustRightInd w:val="0"/>
                    <w:snapToGrid w:val="0"/>
                    <w:spacing w:before="0" w:beforeAutospacing="0" w:after="0" w:afterAutospacing="0"/>
                    <w:ind w:left="0" w:right="0"/>
                    <w:jc w:val="both"/>
                    <w:rPr>
                      <w:rFonts w:hint="default"/>
                      <w:color w:val="auto"/>
                      <w:sz w:val="22"/>
                      <w:szCs w:val="22"/>
                    </w:rPr>
                  </w:pPr>
                  <w:r>
                    <w:rPr>
                      <w:rFonts w:hint="default"/>
                      <w:color w:val="auto"/>
                      <w:sz w:val="22"/>
                      <w:szCs w:val="22"/>
                    </w:rPr>
                    <w:t>物料运输、装卸、贮存方式变化，导致大气污染物无组织排放量增加10%及以上的</w:t>
                  </w:r>
                </w:p>
              </w:tc>
              <w:tc>
                <w:tcPr>
                  <w:tcW w:w="3927" w:type="dxa"/>
                  <w:noWrap w:val="0"/>
                  <w:vAlign w:val="center"/>
                </w:tcPr>
                <w:p w14:paraId="3C909DFB">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2"/>
                      <w:szCs w:val="22"/>
                      <w:lang w:val="en-US" w:eastAsia="zh-CN"/>
                    </w:rPr>
                  </w:pPr>
                  <w:r>
                    <w:rPr>
                      <w:rFonts w:hint="default"/>
                      <w:color w:val="auto"/>
                      <w:sz w:val="22"/>
                      <w:szCs w:val="22"/>
                    </w:rPr>
                    <w:t>物料运输、装卸、贮存方式</w:t>
                  </w:r>
                  <w:r>
                    <w:rPr>
                      <w:rFonts w:hint="eastAsia"/>
                      <w:color w:val="auto"/>
                      <w:sz w:val="22"/>
                      <w:szCs w:val="22"/>
                    </w:rPr>
                    <w:t>无</w:t>
                  </w:r>
                  <w:r>
                    <w:rPr>
                      <w:rFonts w:hint="default"/>
                      <w:color w:val="auto"/>
                      <w:sz w:val="22"/>
                      <w:szCs w:val="22"/>
                    </w:rPr>
                    <w:t>变化</w:t>
                  </w:r>
                  <w:r>
                    <w:rPr>
                      <w:rFonts w:hint="eastAsia"/>
                      <w:color w:val="auto"/>
                      <w:sz w:val="22"/>
                      <w:szCs w:val="22"/>
                      <w:lang w:val="en-US" w:eastAsia="zh-CN"/>
                    </w:rPr>
                    <w:t>。</w:t>
                  </w:r>
                </w:p>
              </w:tc>
              <w:tc>
                <w:tcPr>
                  <w:tcW w:w="1269" w:type="dxa"/>
                  <w:noWrap w:val="0"/>
                  <w:vAlign w:val="center"/>
                </w:tcPr>
                <w:p w14:paraId="4D02109B">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eastAsia"/>
                      <w:b w:val="0"/>
                      <w:bCs/>
                      <w:color w:val="auto"/>
                      <w:sz w:val="22"/>
                      <w:szCs w:val="22"/>
                    </w:rPr>
                    <w:t>否</w:t>
                  </w:r>
                </w:p>
              </w:tc>
            </w:tr>
            <w:tr w14:paraId="1C9C6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143" w:type="dxa"/>
                  <w:gridSpan w:val="3"/>
                  <w:noWrap w:val="0"/>
                  <w:vAlign w:val="center"/>
                </w:tcPr>
                <w:p w14:paraId="7F637460">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b/>
                      <w:color w:val="auto"/>
                      <w:sz w:val="22"/>
                      <w:szCs w:val="22"/>
                    </w:rPr>
                    <w:t>环境保护措施</w:t>
                  </w:r>
                </w:p>
              </w:tc>
            </w:tr>
            <w:tr w14:paraId="61FAE7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25006A87">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废气、废水污染防治措施变化，导致第6条中所列情形之一（废气无组织排放改为有组织排放、污染防治措施强化或改进的除外）或大气污染物无组织排放量增加10%及以上的</w:t>
                  </w:r>
                </w:p>
              </w:tc>
              <w:tc>
                <w:tcPr>
                  <w:tcW w:w="3927" w:type="dxa"/>
                  <w:noWrap w:val="0"/>
                  <w:vAlign w:val="center"/>
                </w:tcPr>
                <w:p w14:paraId="7BFBDB6E">
                  <w:pPr>
                    <w:keepNext w:val="0"/>
                    <w:keepLines w:val="0"/>
                    <w:suppressLineNumbers w:val="0"/>
                    <w:autoSpaceDE w:val="0"/>
                    <w:autoSpaceDN w:val="0"/>
                    <w:adjustRightInd w:val="0"/>
                    <w:snapToGrid w:val="0"/>
                    <w:spacing w:before="0" w:beforeAutospacing="0" w:after="0" w:afterAutospacing="0"/>
                    <w:ind w:left="0" w:right="0"/>
                    <w:rPr>
                      <w:rFonts w:hint="eastAsia"/>
                      <w:color w:val="auto"/>
                      <w:sz w:val="22"/>
                      <w:szCs w:val="22"/>
                    </w:rPr>
                  </w:pPr>
                  <w:r>
                    <w:rPr>
                      <w:rFonts w:hint="eastAsia"/>
                      <w:color w:val="auto"/>
                      <w:sz w:val="22"/>
                      <w:szCs w:val="22"/>
                    </w:rPr>
                    <w:t>废水</w:t>
                  </w:r>
                  <w:r>
                    <w:rPr>
                      <w:rFonts w:hint="default"/>
                      <w:color w:val="auto"/>
                      <w:sz w:val="22"/>
                      <w:szCs w:val="22"/>
                    </w:rPr>
                    <w:t>防治措施无变化；</w:t>
                  </w:r>
                  <w:r>
                    <w:rPr>
                      <w:rFonts w:hint="eastAsia"/>
                      <w:color w:val="auto"/>
                      <w:sz w:val="22"/>
                      <w:szCs w:val="22"/>
                      <w:lang w:val="en-US" w:eastAsia="zh-CN"/>
                    </w:rPr>
                    <w:t>废气污染措施有所调整，但未弱化污染治理措施从而导致上述6条情形及无组织排放量增加，企业的废气污染物排放量增加是由于生产工艺、产能变化等导致的</w:t>
                  </w:r>
                  <w:r>
                    <w:rPr>
                      <w:rFonts w:hint="eastAsia"/>
                      <w:color w:val="auto"/>
                      <w:sz w:val="22"/>
                      <w:szCs w:val="22"/>
                    </w:rPr>
                    <w:t>。</w:t>
                  </w:r>
                </w:p>
              </w:tc>
              <w:tc>
                <w:tcPr>
                  <w:tcW w:w="1269" w:type="dxa"/>
                  <w:noWrap w:val="0"/>
                  <w:vAlign w:val="center"/>
                </w:tcPr>
                <w:p w14:paraId="178E3EFA">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2"/>
                      <w:szCs w:val="22"/>
                      <w:lang w:val="en-US" w:eastAsia="zh-CN"/>
                    </w:rPr>
                  </w:pPr>
                  <w:r>
                    <w:rPr>
                      <w:rFonts w:hint="eastAsia"/>
                      <w:color w:val="auto"/>
                      <w:sz w:val="22"/>
                      <w:szCs w:val="22"/>
                      <w:lang w:val="en-US" w:eastAsia="zh-CN"/>
                    </w:rPr>
                    <w:t>否</w:t>
                  </w:r>
                </w:p>
              </w:tc>
            </w:tr>
            <w:tr w14:paraId="188254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01EDA14F">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新增废水直接排放口；废水由间接排放改为直接排放；废水直接排放口位置变化，导致不利环境影响加重的</w:t>
                  </w:r>
                </w:p>
              </w:tc>
              <w:tc>
                <w:tcPr>
                  <w:tcW w:w="3927" w:type="dxa"/>
                  <w:noWrap w:val="0"/>
                  <w:vAlign w:val="center"/>
                </w:tcPr>
                <w:p w14:paraId="0A08AC29">
                  <w:pPr>
                    <w:keepNext w:val="0"/>
                    <w:keepLines w:val="0"/>
                    <w:suppressLineNumbers w:val="0"/>
                    <w:autoSpaceDE w:val="0"/>
                    <w:autoSpaceDN w:val="0"/>
                    <w:adjustRightInd w:val="0"/>
                    <w:snapToGrid w:val="0"/>
                    <w:spacing w:before="0" w:beforeAutospacing="0" w:after="0" w:afterAutospacing="0"/>
                    <w:ind w:left="0" w:right="0"/>
                    <w:jc w:val="center"/>
                    <w:rPr>
                      <w:rFonts w:hint="eastAsia"/>
                      <w:color w:val="auto"/>
                      <w:sz w:val="22"/>
                      <w:szCs w:val="22"/>
                    </w:rPr>
                  </w:pPr>
                  <w:r>
                    <w:rPr>
                      <w:rFonts w:hint="eastAsia"/>
                      <w:color w:val="auto"/>
                      <w:sz w:val="22"/>
                      <w:szCs w:val="22"/>
                    </w:rPr>
                    <w:t>未</w:t>
                  </w:r>
                  <w:r>
                    <w:rPr>
                      <w:rFonts w:hint="default"/>
                      <w:color w:val="auto"/>
                      <w:sz w:val="22"/>
                      <w:szCs w:val="22"/>
                    </w:rPr>
                    <w:t>新增废水</w:t>
                  </w:r>
                  <w:r>
                    <w:rPr>
                      <w:rFonts w:hint="eastAsia"/>
                      <w:color w:val="auto"/>
                      <w:sz w:val="22"/>
                      <w:szCs w:val="22"/>
                    </w:rPr>
                    <w:t>直接</w:t>
                  </w:r>
                  <w:r>
                    <w:rPr>
                      <w:rFonts w:hint="default"/>
                      <w:color w:val="auto"/>
                      <w:sz w:val="22"/>
                      <w:szCs w:val="22"/>
                    </w:rPr>
                    <w:t>排放口</w:t>
                  </w:r>
                </w:p>
              </w:tc>
              <w:tc>
                <w:tcPr>
                  <w:tcW w:w="1269" w:type="dxa"/>
                  <w:noWrap w:val="0"/>
                  <w:vAlign w:val="center"/>
                </w:tcPr>
                <w:p w14:paraId="7AEF3961">
                  <w:pPr>
                    <w:keepNext w:val="0"/>
                    <w:keepLines w:val="0"/>
                    <w:suppressLineNumbers w:val="0"/>
                    <w:autoSpaceDE w:val="0"/>
                    <w:autoSpaceDN w:val="0"/>
                    <w:adjustRightInd w:val="0"/>
                    <w:snapToGrid w:val="0"/>
                    <w:spacing w:before="0" w:beforeAutospacing="0" w:after="0" w:afterAutospacing="0"/>
                    <w:ind w:left="0" w:right="0"/>
                    <w:jc w:val="center"/>
                    <w:rPr>
                      <w:rFonts w:hint="default"/>
                      <w:b w:val="0"/>
                      <w:bCs/>
                      <w:color w:val="auto"/>
                      <w:sz w:val="22"/>
                      <w:szCs w:val="22"/>
                    </w:rPr>
                  </w:pPr>
                  <w:r>
                    <w:rPr>
                      <w:rFonts w:hint="eastAsia"/>
                      <w:b w:val="0"/>
                      <w:bCs/>
                      <w:color w:val="auto"/>
                      <w:sz w:val="22"/>
                      <w:szCs w:val="22"/>
                    </w:rPr>
                    <w:t>否</w:t>
                  </w:r>
                </w:p>
              </w:tc>
            </w:tr>
            <w:tr w14:paraId="34C9C6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2495BB1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新增废气主要排放口（废气无组织排放改为有组织排放的除外）；主要排放口排气筒高度降低10%及以上的</w:t>
                  </w:r>
                </w:p>
              </w:tc>
              <w:tc>
                <w:tcPr>
                  <w:tcW w:w="3927" w:type="dxa"/>
                  <w:noWrap w:val="0"/>
                  <w:vAlign w:val="center"/>
                </w:tcPr>
                <w:p w14:paraId="61007CBC">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2"/>
                      <w:szCs w:val="22"/>
                      <w:lang w:val="en-US" w:eastAsia="zh-CN"/>
                    </w:rPr>
                  </w:pPr>
                  <w:r>
                    <w:rPr>
                      <w:rFonts w:hint="eastAsia"/>
                      <w:color w:val="auto"/>
                      <w:sz w:val="22"/>
                      <w:szCs w:val="22"/>
                      <w:lang w:val="en-US" w:eastAsia="zh-CN"/>
                    </w:rPr>
                    <w:t>本项目不涉及新增废气主要排放口以及主要排放口高度变化，本项目排气筒均为一般排放口</w:t>
                  </w:r>
                </w:p>
              </w:tc>
              <w:tc>
                <w:tcPr>
                  <w:tcW w:w="1269" w:type="dxa"/>
                  <w:noWrap w:val="0"/>
                  <w:vAlign w:val="center"/>
                </w:tcPr>
                <w:p w14:paraId="0739A005">
                  <w:pPr>
                    <w:keepNext w:val="0"/>
                    <w:keepLines w:val="0"/>
                    <w:suppressLineNumbers w:val="0"/>
                    <w:autoSpaceDE w:val="0"/>
                    <w:autoSpaceDN w:val="0"/>
                    <w:adjustRightInd w:val="0"/>
                    <w:snapToGrid w:val="0"/>
                    <w:spacing w:before="0" w:beforeAutospacing="0" w:after="0" w:afterAutospacing="0"/>
                    <w:ind w:left="0" w:right="0"/>
                    <w:jc w:val="center"/>
                    <w:rPr>
                      <w:rFonts w:hint="default"/>
                      <w:b w:val="0"/>
                      <w:bCs/>
                      <w:color w:val="auto"/>
                      <w:sz w:val="22"/>
                      <w:szCs w:val="22"/>
                    </w:rPr>
                  </w:pPr>
                  <w:r>
                    <w:rPr>
                      <w:rFonts w:hint="eastAsia"/>
                      <w:b w:val="0"/>
                      <w:bCs/>
                      <w:color w:val="auto"/>
                      <w:sz w:val="22"/>
                      <w:szCs w:val="22"/>
                    </w:rPr>
                    <w:t>否</w:t>
                  </w:r>
                </w:p>
              </w:tc>
            </w:tr>
            <w:tr w14:paraId="798E14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188F2C0D">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噪声、土壤或地下水污染防治措施变化，导致不利环境影响加重的</w:t>
                  </w:r>
                </w:p>
              </w:tc>
              <w:tc>
                <w:tcPr>
                  <w:tcW w:w="3927" w:type="dxa"/>
                  <w:noWrap w:val="0"/>
                  <w:vAlign w:val="center"/>
                </w:tcPr>
                <w:p w14:paraId="78DD4598">
                  <w:pPr>
                    <w:keepNext w:val="0"/>
                    <w:keepLines w:val="0"/>
                    <w:suppressLineNumbers w:val="0"/>
                    <w:autoSpaceDE w:val="0"/>
                    <w:autoSpaceDN w:val="0"/>
                    <w:adjustRightInd w:val="0"/>
                    <w:snapToGrid w:val="0"/>
                    <w:spacing w:before="0" w:beforeAutospacing="0" w:after="0" w:afterAutospacing="0"/>
                    <w:ind w:left="0" w:right="0"/>
                    <w:jc w:val="center"/>
                    <w:rPr>
                      <w:rFonts w:hint="default" w:eastAsia="宋体"/>
                      <w:color w:val="auto"/>
                      <w:sz w:val="22"/>
                      <w:szCs w:val="22"/>
                      <w:lang w:val="en-US" w:eastAsia="zh-CN"/>
                    </w:rPr>
                  </w:pPr>
                  <w:r>
                    <w:rPr>
                      <w:rFonts w:hint="eastAsia"/>
                      <w:color w:val="auto"/>
                      <w:sz w:val="22"/>
                      <w:szCs w:val="22"/>
                    </w:rPr>
                    <w:t>噪声</w:t>
                  </w:r>
                  <w:r>
                    <w:rPr>
                      <w:rFonts w:hint="default"/>
                      <w:color w:val="auto"/>
                      <w:sz w:val="22"/>
                      <w:szCs w:val="22"/>
                    </w:rPr>
                    <w:t>、土壤及地下水污染防治措施与环评一致</w:t>
                  </w:r>
                </w:p>
              </w:tc>
              <w:tc>
                <w:tcPr>
                  <w:tcW w:w="1269" w:type="dxa"/>
                  <w:noWrap w:val="0"/>
                  <w:vAlign w:val="center"/>
                </w:tcPr>
                <w:p w14:paraId="1F20F518">
                  <w:pPr>
                    <w:keepNext w:val="0"/>
                    <w:keepLines w:val="0"/>
                    <w:suppressLineNumbers w:val="0"/>
                    <w:autoSpaceDE w:val="0"/>
                    <w:autoSpaceDN w:val="0"/>
                    <w:adjustRightInd w:val="0"/>
                    <w:snapToGrid w:val="0"/>
                    <w:spacing w:before="0" w:beforeAutospacing="0" w:after="0" w:afterAutospacing="0"/>
                    <w:ind w:left="0" w:right="0"/>
                    <w:jc w:val="center"/>
                    <w:rPr>
                      <w:rFonts w:hint="default"/>
                      <w:b w:val="0"/>
                      <w:bCs/>
                      <w:color w:val="auto"/>
                      <w:sz w:val="22"/>
                      <w:szCs w:val="22"/>
                    </w:rPr>
                  </w:pPr>
                  <w:r>
                    <w:rPr>
                      <w:rFonts w:hint="eastAsia"/>
                      <w:b w:val="0"/>
                      <w:bCs/>
                      <w:color w:val="auto"/>
                      <w:sz w:val="22"/>
                      <w:szCs w:val="22"/>
                    </w:rPr>
                    <w:t>否</w:t>
                  </w:r>
                </w:p>
              </w:tc>
            </w:tr>
            <w:tr w14:paraId="5829A0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3FE097EE">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固体废物利用处置方式由委托外单位利用处置改为自行利用处置的（自行利用处置设施单独开展环境影响评价的除外）；固体废物自行处置方式变化，导致不利环境影响加重的</w:t>
                  </w:r>
                </w:p>
              </w:tc>
              <w:tc>
                <w:tcPr>
                  <w:tcW w:w="3927" w:type="dxa"/>
                  <w:noWrap w:val="0"/>
                  <w:vAlign w:val="center"/>
                </w:tcPr>
                <w:p w14:paraId="75582D19">
                  <w:pPr>
                    <w:keepNext w:val="0"/>
                    <w:keepLines w:val="0"/>
                    <w:suppressLineNumbers w:val="0"/>
                    <w:autoSpaceDE w:val="0"/>
                    <w:autoSpaceDN w:val="0"/>
                    <w:adjustRightInd w:val="0"/>
                    <w:snapToGrid w:val="0"/>
                    <w:spacing w:before="0" w:beforeAutospacing="0" w:after="0" w:afterAutospacing="0"/>
                    <w:ind w:left="0" w:right="0"/>
                    <w:jc w:val="center"/>
                    <w:rPr>
                      <w:rFonts w:hint="eastAsia"/>
                      <w:color w:val="auto"/>
                      <w:sz w:val="22"/>
                      <w:szCs w:val="22"/>
                    </w:rPr>
                  </w:pPr>
                  <w:r>
                    <w:rPr>
                      <w:rFonts w:hint="eastAsia"/>
                      <w:color w:val="auto"/>
                      <w:sz w:val="22"/>
                      <w:szCs w:val="22"/>
                    </w:rPr>
                    <w:t>固体</w:t>
                  </w:r>
                  <w:r>
                    <w:rPr>
                      <w:rFonts w:hint="default"/>
                      <w:color w:val="auto"/>
                      <w:sz w:val="22"/>
                      <w:szCs w:val="22"/>
                    </w:rPr>
                    <w:t>废物处置方式与环评一致</w:t>
                  </w:r>
                </w:p>
              </w:tc>
              <w:tc>
                <w:tcPr>
                  <w:tcW w:w="1269" w:type="dxa"/>
                  <w:noWrap w:val="0"/>
                  <w:vAlign w:val="center"/>
                </w:tcPr>
                <w:p w14:paraId="1C1BD862">
                  <w:pPr>
                    <w:keepNext w:val="0"/>
                    <w:keepLines w:val="0"/>
                    <w:suppressLineNumbers w:val="0"/>
                    <w:autoSpaceDE w:val="0"/>
                    <w:autoSpaceDN w:val="0"/>
                    <w:adjustRightInd w:val="0"/>
                    <w:snapToGrid w:val="0"/>
                    <w:spacing w:before="0" w:beforeAutospacing="0" w:after="0" w:afterAutospacing="0"/>
                    <w:ind w:left="0" w:right="0"/>
                    <w:jc w:val="center"/>
                    <w:rPr>
                      <w:rFonts w:hint="default"/>
                      <w:b w:val="0"/>
                      <w:bCs/>
                      <w:color w:val="auto"/>
                      <w:sz w:val="22"/>
                      <w:szCs w:val="22"/>
                    </w:rPr>
                  </w:pPr>
                  <w:r>
                    <w:rPr>
                      <w:rFonts w:hint="eastAsia"/>
                      <w:b w:val="0"/>
                      <w:bCs/>
                      <w:color w:val="auto"/>
                      <w:sz w:val="22"/>
                      <w:szCs w:val="22"/>
                    </w:rPr>
                    <w:t>否</w:t>
                  </w:r>
                </w:p>
              </w:tc>
            </w:tr>
            <w:tr w14:paraId="4D36C1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3947" w:type="dxa"/>
                  <w:noWrap w:val="0"/>
                  <w:vAlign w:val="center"/>
                </w:tcPr>
                <w:p w14:paraId="0FEDAB4C">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auto"/>
                      <w:sz w:val="22"/>
                      <w:szCs w:val="22"/>
                    </w:rPr>
                  </w:pPr>
                  <w:r>
                    <w:rPr>
                      <w:rFonts w:hint="default"/>
                      <w:color w:val="auto"/>
                      <w:sz w:val="22"/>
                      <w:szCs w:val="22"/>
                    </w:rPr>
                    <w:t>事故废水暂存能力或拦截设施变化，导致环境风险防范能力弱化或降低的</w:t>
                  </w:r>
                </w:p>
              </w:tc>
              <w:tc>
                <w:tcPr>
                  <w:tcW w:w="3927" w:type="dxa"/>
                  <w:noWrap w:val="0"/>
                  <w:vAlign w:val="center"/>
                </w:tcPr>
                <w:p w14:paraId="61A45E11">
                  <w:pPr>
                    <w:keepNext w:val="0"/>
                    <w:keepLines w:val="0"/>
                    <w:suppressLineNumbers w:val="0"/>
                    <w:autoSpaceDE w:val="0"/>
                    <w:autoSpaceDN w:val="0"/>
                    <w:adjustRightInd w:val="0"/>
                    <w:snapToGrid w:val="0"/>
                    <w:spacing w:before="0" w:beforeAutospacing="0" w:after="0" w:afterAutospacing="0"/>
                    <w:ind w:left="0" w:right="0"/>
                    <w:jc w:val="center"/>
                    <w:rPr>
                      <w:rFonts w:hint="eastAsia"/>
                      <w:color w:val="auto"/>
                      <w:sz w:val="22"/>
                      <w:szCs w:val="22"/>
                    </w:rPr>
                  </w:pPr>
                  <w:r>
                    <w:rPr>
                      <w:rFonts w:hint="eastAsia"/>
                      <w:color w:val="auto"/>
                      <w:sz w:val="22"/>
                      <w:szCs w:val="22"/>
                    </w:rPr>
                    <w:t>风险</w:t>
                  </w:r>
                  <w:r>
                    <w:rPr>
                      <w:rFonts w:hint="default"/>
                      <w:color w:val="auto"/>
                      <w:sz w:val="22"/>
                      <w:szCs w:val="22"/>
                    </w:rPr>
                    <w:t>防范措施</w:t>
                  </w:r>
                  <w:r>
                    <w:rPr>
                      <w:rFonts w:hint="eastAsia"/>
                      <w:color w:val="auto"/>
                      <w:sz w:val="22"/>
                      <w:szCs w:val="22"/>
                    </w:rPr>
                    <w:t>与</w:t>
                  </w:r>
                  <w:r>
                    <w:rPr>
                      <w:rFonts w:hint="default"/>
                      <w:color w:val="auto"/>
                      <w:sz w:val="22"/>
                      <w:szCs w:val="22"/>
                    </w:rPr>
                    <w:t>环评一致</w:t>
                  </w:r>
                </w:p>
              </w:tc>
              <w:tc>
                <w:tcPr>
                  <w:tcW w:w="1269" w:type="dxa"/>
                  <w:noWrap w:val="0"/>
                  <w:vAlign w:val="center"/>
                </w:tcPr>
                <w:p w14:paraId="44C77EF4">
                  <w:pPr>
                    <w:keepNext w:val="0"/>
                    <w:keepLines w:val="0"/>
                    <w:suppressLineNumbers w:val="0"/>
                    <w:autoSpaceDE w:val="0"/>
                    <w:autoSpaceDN w:val="0"/>
                    <w:adjustRightInd w:val="0"/>
                    <w:snapToGrid w:val="0"/>
                    <w:spacing w:before="0" w:beforeAutospacing="0" w:after="0" w:afterAutospacing="0"/>
                    <w:ind w:left="0" w:right="0"/>
                    <w:jc w:val="center"/>
                    <w:rPr>
                      <w:rFonts w:hint="default"/>
                      <w:b w:val="0"/>
                      <w:bCs/>
                      <w:color w:val="auto"/>
                      <w:sz w:val="22"/>
                      <w:szCs w:val="22"/>
                    </w:rPr>
                  </w:pPr>
                  <w:r>
                    <w:rPr>
                      <w:rFonts w:hint="eastAsia"/>
                      <w:b w:val="0"/>
                      <w:bCs/>
                      <w:color w:val="auto"/>
                      <w:sz w:val="22"/>
                      <w:szCs w:val="22"/>
                    </w:rPr>
                    <w:t>否</w:t>
                  </w:r>
                </w:p>
              </w:tc>
            </w:tr>
          </w:tbl>
          <w:p w14:paraId="6F613222">
            <w:pPr>
              <w:pStyle w:val="74"/>
              <w:keepNext w:val="0"/>
              <w:keepLines w:val="0"/>
              <w:suppressLineNumbers w:val="0"/>
              <w:spacing w:before="0" w:beforeAutospacing="0" w:after="0" w:afterAutospacing="0"/>
              <w:ind w:left="0" w:right="0" w:firstLine="520"/>
              <w:rPr>
                <w:rFonts w:hint="eastAsia"/>
                <w:color w:val="auto"/>
                <w:highlight w:val="none"/>
              </w:rPr>
            </w:pPr>
          </w:p>
          <w:p w14:paraId="7AABA053">
            <w:pPr>
              <w:pStyle w:val="74"/>
              <w:keepNext w:val="0"/>
              <w:keepLines w:val="0"/>
              <w:suppressLineNumbers w:val="0"/>
              <w:spacing w:before="0" w:beforeAutospacing="0" w:after="0" w:afterAutospacing="0"/>
              <w:ind w:left="0" w:right="0" w:firstLine="520"/>
              <w:rPr>
                <w:rFonts w:hint="eastAsia"/>
                <w:color w:val="auto"/>
                <w:highlight w:val="none"/>
                <w:lang w:val="en-US" w:eastAsia="zh-CN"/>
              </w:rPr>
            </w:pPr>
            <w:r>
              <w:rPr>
                <w:rFonts w:hint="eastAsia"/>
                <w:color w:val="auto"/>
                <w:highlight w:val="none"/>
                <w:lang w:val="en-US" w:eastAsia="zh-CN"/>
              </w:rPr>
              <w:t>因此，对照《关于印发污染影响类建设项目重大变动清单（试行）的通知》（环办环评函〔2020〕688号），企业存在第2条“生产、处置或储存能力增大30%及以上的”、第4条“位于环境质量不达标区的建设项目生产、处置或储存能力增大，导致相应污染物排放量增加的”、第6条“生产工艺（含主要生产装置、设备及配套设施）、主要原辅材料、燃料变化，导致位于环境质量不达标区的建设项目相应污染物排放量增加的”等情形，应界定为重大变动。根据《中华人民共和国环境影响评价法》：“建设项目的环境影响评价文件经批准后，建设项目的性质、规模、地点、采用的生产工艺或者防治污染、防止生态破坏的措施发生重大变动的，建设单位应当重新报批建设项目的环境影响评价文件”，该项目需重新报批环境影响评价文件。</w:t>
            </w:r>
          </w:p>
          <w:p w14:paraId="3D56482F">
            <w:pPr>
              <w:pStyle w:val="74"/>
              <w:keepNext w:val="0"/>
              <w:keepLines w:val="0"/>
              <w:suppressLineNumbers w:val="0"/>
              <w:spacing w:before="0" w:beforeAutospacing="0" w:after="0" w:afterAutospacing="0"/>
              <w:ind w:left="0" w:right="0" w:firstLine="520"/>
              <w:rPr>
                <w:rFonts w:hint="default"/>
                <w:color w:val="auto"/>
              </w:rPr>
            </w:pPr>
            <w:r>
              <w:rPr>
                <w:rFonts w:hint="eastAsia"/>
                <w:color w:val="auto"/>
                <w:highlight w:val="none"/>
                <w:lang w:val="en-US" w:eastAsia="zh-CN"/>
              </w:rPr>
              <w:t>该项目建设内容与原环评批复内容变化较大，</w:t>
            </w:r>
            <w:r>
              <w:rPr>
                <w:rFonts w:hint="eastAsia"/>
                <w:color w:val="auto"/>
                <w:highlight w:val="none"/>
                <w:u w:val="single"/>
                <w:lang w:val="en-US" w:eastAsia="zh-CN"/>
              </w:rPr>
              <w:t>本次评价对变更后的整体规模进行重新评价，包括项目组成、产排污等均从整体工程进行分析</w:t>
            </w:r>
            <w:r>
              <w:rPr>
                <w:rFonts w:hint="eastAsia"/>
                <w:color w:val="auto"/>
                <w:highlight w:val="none"/>
                <w:lang w:val="en-US" w:eastAsia="zh-CN"/>
              </w:rPr>
              <w:t>。</w:t>
            </w:r>
          </w:p>
          <w:p w14:paraId="66681168">
            <w:pPr>
              <w:pStyle w:val="74"/>
              <w:keepNext w:val="0"/>
              <w:keepLines w:val="0"/>
              <w:suppressLineNumbers w:val="0"/>
              <w:spacing w:before="0" w:beforeAutospacing="0" w:after="0" w:afterAutospacing="0"/>
              <w:ind w:left="0" w:right="0" w:firstLine="520"/>
              <w:rPr>
                <w:rFonts w:hint="default" w:eastAsia="宋体"/>
                <w:color w:val="auto"/>
                <w:lang w:val="en-US" w:eastAsia="zh-CN"/>
              </w:rPr>
            </w:pPr>
            <w:r>
              <w:rPr>
                <w:rFonts w:hint="eastAsia"/>
                <w:color w:val="auto"/>
                <w:lang w:val="en-US" w:eastAsia="zh-CN"/>
              </w:rPr>
              <w:t>对照《建设项目环境影响评价分类管理名录》（2021年版），本项目所属的行业类别为“三十四、铁路、船舶、航空航天和其他运输设备制造37中的摩托车制造375—其他（年用非溶剂型低VOCs含量涂料10吨以下的除外）”“三十四、铁路、船舶、航空航天和其他运输设备制造37中的助动车制造 377—其他（仅分割、焊接、组装的除外；年用非溶剂型低VOCs含量涂料10吨以下的除外）”“三十、金属制品业 33中的铸造及其他金属制品制造 339其他（仅分割、焊接、组装的除外）”，环境影响评价分类管理均对应为“报告表”，因此，应开展环境影响评价报告表的编制。</w:t>
            </w:r>
          </w:p>
          <w:p w14:paraId="408C46AC">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2</w:t>
            </w:r>
            <w:r>
              <w:rPr>
                <w:rFonts w:hint="default"/>
                <w:color w:val="auto"/>
                <w:sz w:val="26"/>
                <w:szCs w:val="26"/>
                <w:highlight w:val="none"/>
              </w:rPr>
              <w:t>.1.</w:t>
            </w:r>
            <w:r>
              <w:rPr>
                <w:rFonts w:hint="eastAsia"/>
                <w:color w:val="auto"/>
                <w:sz w:val="26"/>
                <w:szCs w:val="26"/>
                <w:highlight w:val="none"/>
                <w:lang w:val="en-US" w:eastAsia="zh-CN"/>
              </w:rPr>
              <w:t>2</w:t>
            </w:r>
            <w:r>
              <w:rPr>
                <w:rFonts w:hint="eastAsia"/>
                <w:color w:val="auto"/>
                <w:sz w:val="26"/>
                <w:szCs w:val="26"/>
                <w:highlight w:val="none"/>
              </w:rPr>
              <w:t>项目基本情况</w:t>
            </w:r>
          </w:p>
          <w:p w14:paraId="0E26935D">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项目名称：摩托车离合器、电动车变速器总成及配件建设项目；</w:t>
            </w:r>
          </w:p>
          <w:p w14:paraId="0591ABF5">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建设单位：重庆强劲动力技术有限公司（原名“重庆强劲传动科技有限公司”）；</w:t>
            </w:r>
          </w:p>
          <w:p w14:paraId="3EB6E613">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项目性质：</w:t>
            </w:r>
            <w:r>
              <w:rPr>
                <w:rFonts w:hint="eastAsia"/>
                <w:b w:val="0"/>
                <w:color w:val="auto"/>
                <w:sz w:val="26"/>
                <w:szCs w:val="26"/>
                <w:highlight w:val="none"/>
                <w:lang w:val="en-US" w:eastAsia="zh-CN"/>
              </w:rPr>
              <w:t>新建</w:t>
            </w:r>
            <w:r>
              <w:rPr>
                <w:rFonts w:hint="eastAsia"/>
                <w:b w:val="0"/>
                <w:color w:val="auto"/>
                <w:sz w:val="26"/>
                <w:szCs w:val="26"/>
                <w:highlight w:val="none"/>
              </w:rPr>
              <w:t>；</w:t>
            </w:r>
          </w:p>
          <w:p w14:paraId="38D205CF">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建设地点：重庆市綦江区古南街道北渡铝产业园A04-03/02部分地块；</w:t>
            </w:r>
          </w:p>
          <w:p w14:paraId="2E1A00F1">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建设规模：年产30万套离合器总成、年产2000万套离合器摩擦片。</w:t>
            </w:r>
          </w:p>
          <w:p w14:paraId="43344A96">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lang w:val="en-US" w:eastAsia="zh-CN"/>
              </w:rPr>
              <w:t>占地</w:t>
            </w:r>
            <w:r>
              <w:rPr>
                <w:rFonts w:hint="eastAsia"/>
                <w:b w:val="0"/>
                <w:color w:val="auto"/>
                <w:sz w:val="26"/>
                <w:szCs w:val="26"/>
                <w:highlight w:val="none"/>
              </w:rPr>
              <w:t>面积：</w:t>
            </w:r>
            <w:r>
              <w:rPr>
                <w:rFonts w:hint="eastAsia"/>
                <w:b w:val="0"/>
                <w:color w:val="auto"/>
                <w:sz w:val="26"/>
                <w:szCs w:val="26"/>
                <w:highlight w:val="none"/>
                <w:lang w:val="en-US" w:eastAsia="zh-CN"/>
              </w:rPr>
              <w:t>厂区总占地</w:t>
            </w:r>
            <w:r>
              <w:rPr>
                <w:rFonts w:hint="eastAsia"/>
                <w:b w:val="0"/>
                <w:color w:val="auto"/>
                <w:sz w:val="26"/>
                <w:szCs w:val="26"/>
                <w:highlight w:val="none"/>
              </w:rPr>
              <w:t>35701.00m</w:t>
            </w:r>
            <w:r>
              <w:rPr>
                <w:rFonts w:hint="eastAsia"/>
                <w:b w:val="0"/>
                <w:color w:val="auto"/>
                <w:sz w:val="26"/>
                <w:szCs w:val="26"/>
                <w:highlight w:val="none"/>
                <w:vertAlign w:val="superscript"/>
              </w:rPr>
              <w:t>2</w:t>
            </w:r>
            <w:r>
              <w:rPr>
                <w:rFonts w:hint="eastAsia"/>
                <w:b w:val="0"/>
                <w:color w:val="auto"/>
                <w:sz w:val="26"/>
                <w:szCs w:val="26"/>
                <w:highlight w:val="none"/>
              </w:rPr>
              <w:t>。</w:t>
            </w:r>
          </w:p>
          <w:p w14:paraId="123B9782">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总投资：</w:t>
            </w:r>
            <w:r>
              <w:rPr>
                <w:rFonts w:hint="eastAsia"/>
                <w:b w:val="0"/>
                <w:color w:val="auto"/>
                <w:sz w:val="26"/>
                <w:szCs w:val="26"/>
                <w:highlight w:val="none"/>
                <w:lang w:val="en-US" w:eastAsia="zh-CN"/>
              </w:rPr>
              <w:t>12000</w:t>
            </w:r>
            <w:r>
              <w:rPr>
                <w:rFonts w:hint="eastAsia"/>
                <w:b w:val="0"/>
                <w:color w:val="auto"/>
                <w:sz w:val="26"/>
                <w:szCs w:val="26"/>
                <w:highlight w:val="none"/>
              </w:rPr>
              <w:t>万元；</w:t>
            </w:r>
          </w:p>
          <w:p w14:paraId="4E735978">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劳动定员：</w:t>
            </w:r>
            <w:r>
              <w:rPr>
                <w:rFonts w:hint="eastAsia"/>
                <w:b w:val="0"/>
                <w:color w:val="auto"/>
                <w:sz w:val="26"/>
                <w:szCs w:val="26"/>
                <w:highlight w:val="none"/>
                <w:lang w:val="en-US" w:eastAsia="zh-CN"/>
              </w:rPr>
              <w:t>170人</w:t>
            </w:r>
            <w:r>
              <w:rPr>
                <w:rFonts w:hint="eastAsia"/>
                <w:b w:val="0"/>
                <w:color w:val="auto"/>
                <w:sz w:val="26"/>
                <w:szCs w:val="26"/>
                <w:highlight w:val="none"/>
              </w:rPr>
              <w:t>；</w:t>
            </w:r>
          </w:p>
          <w:p w14:paraId="69002B35">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rPr>
              <w:t>工作制度：</w:t>
            </w:r>
            <w:r>
              <w:rPr>
                <w:rFonts w:hint="eastAsia"/>
                <w:b w:val="0"/>
                <w:bCs w:val="0"/>
                <w:color w:val="auto"/>
                <w:sz w:val="26"/>
                <w:szCs w:val="26"/>
                <w:highlight w:val="none"/>
                <w:lang w:val="en-US" w:eastAsia="zh-CN"/>
              </w:rPr>
              <w:t>四班三运，</w:t>
            </w:r>
            <w:r>
              <w:rPr>
                <w:rFonts w:hint="eastAsia"/>
                <w:b w:val="0"/>
                <w:color w:val="auto"/>
                <w:sz w:val="26"/>
                <w:szCs w:val="26"/>
                <w:highlight w:val="none"/>
              </w:rPr>
              <w:t>年工作</w:t>
            </w:r>
            <w:r>
              <w:rPr>
                <w:rFonts w:hint="eastAsia"/>
                <w:b w:val="0"/>
                <w:color w:val="auto"/>
                <w:sz w:val="26"/>
                <w:szCs w:val="26"/>
                <w:highlight w:val="none"/>
                <w:lang w:val="en-US" w:eastAsia="zh-CN"/>
              </w:rPr>
              <w:t>250</w:t>
            </w:r>
            <w:r>
              <w:rPr>
                <w:rFonts w:hint="eastAsia"/>
                <w:b w:val="0"/>
                <w:color w:val="auto"/>
                <w:sz w:val="26"/>
                <w:szCs w:val="26"/>
                <w:highlight w:val="none"/>
              </w:rPr>
              <w:t>d，年生产时间</w:t>
            </w:r>
            <w:r>
              <w:rPr>
                <w:rFonts w:hint="eastAsia"/>
                <w:b w:val="0"/>
                <w:color w:val="auto"/>
                <w:sz w:val="26"/>
                <w:szCs w:val="26"/>
                <w:highlight w:val="none"/>
                <w:lang w:val="en-US" w:eastAsia="zh-CN"/>
              </w:rPr>
              <w:t>6000</w:t>
            </w:r>
            <w:r>
              <w:rPr>
                <w:rFonts w:hint="eastAsia"/>
                <w:b w:val="0"/>
                <w:color w:val="auto"/>
                <w:sz w:val="26"/>
                <w:szCs w:val="26"/>
                <w:highlight w:val="none"/>
              </w:rPr>
              <w:t>h。</w:t>
            </w:r>
          </w:p>
          <w:p w14:paraId="081CD875">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2</w:t>
            </w:r>
            <w:r>
              <w:rPr>
                <w:rFonts w:hint="default"/>
                <w:color w:val="auto"/>
                <w:sz w:val="26"/>
                <w:szCs w:val="26"/>
                <w:highlight w:val="none"/>
              </w:rPr>
              <w:t>.1.</w:t>
            </w:r>
            <w:r>
              <w:rPr>
                <w:rFonts w:hint="eastAsia"/>
                <w:color w:val="auto"/>
                <w:sz w:val="26"/>
                <w:szCs w:val="26"/>
                <w:highlight w:val="none"/>
                <w:lang w:val="en-US" w:eastAsia="zh-CN"/>
              </w:rPr>
              <w:t xml:space="preserve">3 </w:t>
            </w:r>
            <w:r>
              <w:rPr>
                <w:rFonts w:hint="eastAsia"/>
                <w:color w:val="auto"/>
                <w:sz w:val="26"/>
                <w:szCs w:val="26"/>
                <w:highlight w:val="none"/>
              </w:rPr>
              <w:t>项目组成</w:t>
            </w:r>
          </w:p>
          <w:p w14:paraId="5A85057C">
            <w:pPr>
              <w:keepNext w:val="0"/>
              <w:keepLines w:val="0"/>
              <w:suppressLineNumbers w:val="0"/>
              <w:adjustRightInd w:val="0"/>
              <w:snapToGrid w:val="0"/>
              <w:spacing w:before="0" w:beforeAutospacing="0" w:after="0" w:afterAutospacing="0" w:line="400" w:lineRule="exact"/>
              <w:ind w:left="0" w:right="0" w:firstLine="520" w:firstLineChars="200"/>
              <w:rPr>
                <w:rFonts w:hint="default"/>
                <w:bCs/>
                <w:color w:val="auto"/>
                <w:sz w:val="26"/>
                <w:szCs w:val="26"/>
                <w:highlight w:val="none"/>
              </w:rPr>
            </w:pPr>
            <w:r>
              <w:rPr>
                <w:rFonts w:hint="eastAsia"/>
                <w:bCs/>
                <w:color w:val="auto"/>
                <w:sz w:val="26"/>
                <w:szCs w:val="26"/>
                <w:highlight w:val="none"/>
                <w:lang w:val="en-US" w:eastAsia="zh-CN"/>
              </w:rPr>
              <w:t>项目组成情况见下表</w:t>
            </w:r>
            <w:r>
              <w:rPr>
                <w:rFonts w:hint="eastAsia"/>
                <w:bCs/>
                <w:color w:val="auto"/>
                <w:sz w:val="26"/>
                <w:szCs w:val="26"/>
                <w:highlight w:val="none"/>
              </w:rPr>
              <w:t>。</w:t>
            </w:r>
          </w:p>
          <w:p w14:paraId="300584D8">
            <w:pPr>
              <w:pStyle w:val="65"/>
              <w:keepNext w:val="0"/>
              <w:keepLines w:val="0"/>
              <w:suppressLineNumbers w:val="0"/>
              <w:spacing w:before="0" w:beforeAutospacing="0" w:after="0" w:afterAutospacing="0"/>
              <w:ind w:left="0" w:right="0"/>
              <w:rPr>
                <w:rFonts w:hint="default"/>
                <w:color w:val="auto"/>
                <w:highlight w:val="none"/>
              </w:rPr>
            </w:pPr>
          </w:p>
          <w:p w14:paraId="4C27A1FE">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表2</w:t>
            </w:r>
            <w:r>
              <w:rPr>
                <w:rFonts w:hint="default"/>
                <w:color w:val="auto"/>
                <w:sz w:val="26"/>
                <w:szCs w:val="26"/>
                <w:highlight w:val="none"/>
              </w:rPr>
              <w:t>.1-</w:t>
            </w:r>
            <w:r>
              <w:rPr>
                <w:rFonts w:hint="eastAsia"/>
                <w:color w:val="auto"/>
                <w:sz w:val="26"/>
                <w:szCs w:val="26"/>
                <w:highlight w:val="none"/>
                <w:lang w:val="en-US" w:eastAsia="zh-CN"/>
              </w:rPr>
              <w:t xml:space="preserve">2  </w:t>
            </w:r>
            <w:r>
              <w:rPr>
                <w:rFonts w:hint="default"/>
                <w:color w:val="auto"/>
                <w:sz w:val="26"/>
                <w:szCs w:val="26"/>
                <w:highlight w:val="none"/>
              </w:rPr>
              <w:t xml:space="preserve"> </w:t>
            </w:r>
            <w:r>
              <w:rPr>
                <w:rFonts w:hint="eastAsia"/>
                <w:color w:val="auto"/>
                <w:sz w:val="26"/>
                <w:szCs w:val="26"/>
                <w:highlight w:val="none"/>
              </w:rPr>
              <w:t>项目组成表</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492"/>
              <w:gridCol w:w="173"/>
              <w:gridCol w:w="57"/>
              <w:gridCol w:w="694"/>
              <w:gridCol w:w="5474"/>
              <w:gridCol w:w="1585"/>
              <w:tblGridChange w:id="0">
                <w:tblGrid>
                  <w:gridCol w:w="678"/>
                  <w:gridCol w:w="492"/>
                  <w:gridCol w:w="173"/>
                  <w:gridCol w:w="57"/>
                  <w:gridCol w:w="694"/>
                  <w:gridCol w:w="5473"/>
                  <w:gridCol w:w="1"/>
                  <w:gridCol w:w="1584"/>
                  <w:gridCol w:w="1"/>
                </w:tblGrid>
              </w:tblGridChange>
            </w:tblGrid>
            <w:tr w14:paraId="7FD5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4" w:type="dxa"/>
                  <w:gridSpan w:val="5"/>
                  <w:noWrap w:val="0"/>
                  <w:vAlign w:val="center"/>
                </w:tcPr>
                <w:p w14:paraId="4986DA8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项目组成</w:t>
                  </w:r>
                </w:p>
              </w:tc>
              <w:tc>
                <w:tcPr>
                  <w:tcW w:w="5474" w:type="dxa"/>
                  <w:noWrap w:val="0"/>
                  <w:vAlign w:val="center"/>
                </w:tcPr>
                <w:p w14:paraId="516A175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工程内容</w:t>
                  </w:r>
                </w:p>
              </w:tc>
              <w:tc>
                <w:tcPr>
                  <w:tcW w:w="1585" w:type="dxa"/>
                  <w:noWrap w:val="0"/>
                  <w:vAlign w:val="center"/>
                </w:tcPr>
                <w:p w14:paraId="54AF50F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备注</w:t>
                  </w:r>
                </w:p>
              </w:tc>
            </w:tr>
            <w:tr w14:paraId="3805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restart"/>
                  <w:noWrap w:val="0"/>
                  <w:vAlign w:val="center"/>
                </w:tcPr>
                <w:p w14:paraId="0064F01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主体工程</w:t>
                  </w:r>
                </w:p>
              </w:tc>
              <w:tc>
                <w:tcPr>
                  <w:tcW w:w="1416" w:type="dxa"/>
                  <w:gridSpan w:val="4"/>
                  <w:noWrap w:val="0"/>
                  <w:vAlign w:val="center"/>
                </w:tcPr>
                <w:p w14:paraId="4F5B7C1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1号厂房</w:t>
                  </w:r>
                </w:p>
              </w:tc>
              <w:tc>
                <w:tcPr>
                  <w:tcW w:w="5474" w:type="dxa"/>
                  <w:noWrap w:val="0"/>
                  <w:vAlign w:val="center"/>
                </w:tcPr>
                <w:p w14:paraId="61879CBF">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位于</w:t>
                  </w:r>
                  <w:r>
                    <w:rPr>
                      <w:rFonts w:hint="default"/>
                      <w:color w:val="auto"/>
                      <w:highlight w:val="none"/>
                    </w:rPr>
                    <w:t>厂区西侧，建筑面积约9865.16m</w:t>
                  </w:r>
                  <w:r>
                    <w:rPr>
                      <w:rFonts w:hint="default"/>
                      <w:color w:val="auto"/>
                      <w:highlight w:val="none"/>
                      <w:vertAlign w:val="superscript"/>
                    </w:rPr>
                    <w:t>2</w:t>
                  </w:r>
                  <w:r>
                    <w:rPr>
                      <w:rFonts w:hint="default"/>
                      <w:color w:val="auto"/>
                      <w:highlight w:val="none"/>
                    </w:rPr>
                    <w:t>，高12.3m；钢架结构，暂时不布置设备，不进行生产，</w:t>
                  </w:r>
                  <w:r>
                    <w:rPr>
                      <w:rFonts w:hint="eastAsia"/>
                      <w:color w:val="auto"/>
                      <w:highlight w:val="none"/>
                      <w:lang w:val="en-US" w:eastAsia="zh-CN"/>
                    </w:rPr>
                    <w:t>作为预留</w:t>
                  </w:r>
                  <w:r>
                    <w:rPr>
                      <w:rFonts w:hint="default"/>
                      <w:color w:val="auto"/>
                      <w:highlight w:val="none"/>
                    </w:rPr>
                    <w:t>。</w:t>
                  </w:r>
                </w:p>
              </w:tc>
              <w:tc>
                <w:tcPr>
                  <w:tcW w:w="1585" w:type="dxa"/>
                  <w:noWrap w:val="0"/>
                  <w:vAlign w:val="center"/>
                </w:tcPr>
                <w:p w14:paraId="21C3E52E">
                  <w:pPr>
                    <w:pStyle w:val="86"/>
                    <w:keepNext w:val="0"/>
                    <w:keepLines w:val="0"/>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在建</w:t>
                  </w:r>
                </w:p>
              </w:tc>
            </w:tr>
            <w:tr w14:paraId="5ABC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46E895D2">
                  <w:pPr>
                    <w:pStyle w:val="86"/>
                    <w:keepNext w:val="0"/>
                    <w:keepLines w:val="0"/>
                    <w:suppressLineNumbers w:val="0"/>
                    <w:bidi w:val="0"/>
                    <w:spacing w:before="0" w:beforeAutospacing="0" w:after="0" w:afterAutospacing="0"/>
                    <w:ind w:left="0" w:right="0"/>
                    <w:rPr>
                      <w:rFonts w:hint="default"/>
                      <w:color w:val="auto"/>
                      <w:highlight w:val="none"/>
                    </w:rPr>
                  </w:pPr>
                </w:p>
              </w:tc>
              <w:tc>
                <w:tcPr>
                  <w:tcW w:w="492" w:type="dxa"/>
                  <w:vMerge w:val="restart"/>
                  <w:noWrap w:val="0"/>
                  <w:vAlign w:val="center"/>
                </w:tcPr>
                <w:p w14:paraId="23467F0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2号厂房</w:t>
                  </w:r>
                </w:p>
              </w:tc>
              <w:tc>
                <w:tcPr>
                  <w:tcW w:w="924" w:type="dxa"/>
                  <w:gridSpan w:val="3"/>
                  <w:noWrap w:val="0"/>
                  <w:vAlign w:val="center"/>
                </w:tcPr>
                <w:p w14:paraId="4841224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建筑</w:t>
                  </w:r>
                </w:p>
              </w:tc>
              <w:tc>
                <w:tcPr>
                  <w:tcW w:w="5474" w:type="dxa"/>
                  <w:noWrap w:val="0"/>
                  <w:vAlign w:val="center"/>
                </w:tcPr>
                <w:p w14:paraId="50F755AE">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位于厂区东侧，钢架结构，建筑面积约8168.94m</w:t>
                  </w:r>
                  <w:r>
                    <w:rPr>
                      <w:rFonts w:hint="default"/>
                      <w:color w:val="auto"/>
                      <w:highlight w:val="none"/>
                      <w:vertAlign w:val="superscript"/>
                    </w:rPr>
                    <w:t>2</w:t>
                  </w:r>
                  <w:r>
                    <w:rPr>
                      <w:rFonts w:hint="default"/>
                      <w:color w:val="auto"/>
                      <w:highlight w:val="none"/>
                    </w:rPr>
                    <w:t>，高12.3m；布置离合器总成装配区、摩擦片生产区。</w:t>
                  </w:r>
                </w:p>
              </w:tc>
              <w:tc>
                <w:tcPr>
                  <w:tcW w:w="1585" w:type="dxa"/>
                  <w:noWrap w:val="0"/>
                  <w:vAlign w:val="center"/>
                </w:tcPr>
                <w:p w14:paraId="1355D73F">
                  <w:pPr>
                    <w:pStyle w:val="86"/>
                    <w:keepNext w:val="0"/>
                    <w:keepLines w:val="0"/>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已建</w:t>
                  </w:r>
                </w:p>
              </w:tc>
            </w:tr>
            <w:tr w14:paraId="4D7B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4B8C1B8B">
                  <w:pPr>
                    <w:pStyle w:val="86"/>
                    <w:keepNext w:val="0"/>
                    <w:keepLines w:val="0"/>
                    <w:suppressLineNumbers w:val="0"/>
                    <w:bidi w:val="0"/>
                    <w:spacing w:before="0" w:beforeAutospacing="0" w:after="0" w:afterAutospacing="0"/>
                    <w:ind w:left="0" w:right="0"/>
                    <w:rPr>
                      <w:rFonts w:hint="default"/>
                      <w:color w:val="auto"/>
                      <w:highlight w:val="none"/>
                    </w:rPr>
                  </w:pPr>
                </w:p>
              </w:tc>
              <w:tc>
                <w:tcPr>
                  <w:tcW w:w="492" w:type="dxa"/>
                  <w:vMerge w:val="continue"/>
                  <w:noWrap w:val="0"/>
                  <w:vAlign w:val="center"/>
                </w:tcPr>
                <w:p w14:paraId="0EDA20AE">
                  <w:pPr>
                    <w:pStyle w:val="86"/>
                    <w:keepNext w:val="0"/>
                    <w:keepLines w:val="0"/>
                    <w:suppressLineNumbers w:val="0"/>
                    <w:bidi w:val="0"/>
                    <w:spacing w:before="0" w:beforeAutospacing="0" w:after="0" w:afterAutospacing="0"/>
                    <w:ind w:left="0" w:right="0"/>
                    <w:rPr>
                      <w:rFonts w:hint="default"/>
                      <w:color w:val="auto"/>
                      <w:highlight w:val="none"/>
                    </w:rPr>
                  </w:pPr>
                </w:p>
              </w:tc>
              <w:tc>
                <w:tcPr>
                  <w:tcW w:w="924" w:type="dxa"/>
                  <w:gridSpan w:val="3"/>
                  <w:noWrap w:val="0"/>
                  <w:vAlign w:val="center"/>
                </w:tcPr>
                <w:p w14:paraId="5347B20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离合器总成装配区</w:t>
                  </w:r>
                </w:p>
              </w:tc>
              <w:tc>
                <w:tcPr>
                  <w:tcW w:w="5474" w:type="dxa"/>
                  <w:noWrap w:val="0"/>
                  <w:vAlign w:val="center"/>
                </w:tcPr>
                <w:p w14:paraId="447954BA">
                  <w:pPr>
                    <w:pStyle w:val="86"/>
                    <w:keepNext w:val="0"/>
                    <w:keepLines w:val="0"/>
                    <w:suppressLineNumbers w:val="0"/>
                    <w:bidi w:val="0"/>
                    <w:spacing w:before="0" w:beforeAutospacing="0" w:after="0" w:afterAutospacing="0"/>
                    <w:ind w:left="0" w:right="0"/>
                    <w:jc w:val="both"/>
                    <w:rPr>
                      <w:rFonts w:hint="default"/>
                      <w:color w:val="auto"/>
                      <w:highlight w:val="none"/>
                      <w:lang w:val="en-US" w:eastAsia="zh-CN"/>
                    </w:rPr>
                  </w:pPr>
                  <w:r>
                    <w:rPr>
                      <w:rFonts w:hint="eastAsia"/>
                      <w:color w:val="auto"/>
                      <w:highlight w:val="none"/>
                      <w:lang w:val="en-US" w:eastAsia="zh-CN"/>
                    </w:rPr>
                    <w:t>位于</w:t>
                  </w:r>
                  <w:r>
                    <w:rPr>
                      <w:rFonts w:hint="default"/>
                      <w:color w:val="auto"/>
                      <w:highlight w:val="none"/>
                    </w:rPr>
                    <w:t>2号厂房</w:t>
                  </w:r>
                  <w:r>
                    <w:rPr>
                      <w:rFonts w:hint="eastAsia"/>
                      <w:color w:val="auto"/>
                      <w:highlight w:val="none"/>
                      <w:lang w:val="en-US" w:eastAsia="zh-CN"/>
                    </w:rPr>
                    <w:t>内部</w:t>
                  </w:r>
                  <w:r>
                    <w:rPr>
                      <w:rFonts w:hint="default"/>
                      <w:color w:val="auto"/>
                      <w:highlight w:val="none"/>
                    </w:rPr>
                    <w:t>西</w:t>
                  </w:r>
                  <w:r>
                    <w:rPr>
                      <w:rFonts w:hint="eastAsia"/>
                      <w:color w:val="auto"/>
                      <w:highlight w:val="none"/>
                      <w:lang w:val="en-US" w:eastAsia="zh-CN"/>
                    </w:rPr>
                    <w:t>北部</w:t>
                  </w:r>
                  <w:r>
                    <w:rPr>
                      <w:rFonts w:hint="default"/>
                      <w:color w:val="auto"/>
                      <w:highlight w:val="none"/>
                    </w:rPr>
                    <w:t>，面积约</w:t>
                  </w:r>
                  <w:r>
                    <w:rPr>
                      <w:rFonts w:hint="eastAsia"/>
                      <w:color w:val="auto"/>
                      <w:highlight w:val="none"/>
                      <w:lang w:val="en-US" w:eastAsia="zh-CN"/>
                    </w:rPr>
                    <w:t>1</w:t>
                  </w:r>
                  <w:r>
                    <w:rPr>
                      <w:rFonts w:hint="default"/>
                      <w:color w:val="auto"/>
                      <w:highlight w:val="none"/>
                    </w:rPr>
                    <w:t>00</w:t>
                  </w:r>
                  <w:r>
                    <w:rPr>
                      <w:rFonts w:hint="eastAsia"/>
                      <w:color w:val="auto"/>
                      <w:highlight w:val="none"/>
                      <w:lang w:val="en-US" w:eastAsia="zh-CN"/>
                    </w:rPr>
                    <w:t>0</w:t>
                  </w:r>
                  <w:r>
                    <w:rPr>
                      <w:rFonts w:hint="default"/>
                      <w:color w:val="auto"/>
                      <w:highlight w:val="none"/>
                    </w:rPr>
                    <w:t>m</w:t>
                  </w:r>
                  <w:r>
                    <w:rPr>
                      <w:rFonts w:hint="default"/>
                      <w:color w:val="auto"/>
                      <w:highlight w:val="none"/>
                      <w:vertAlign w:val="superscript"/>
                    </w:rPr>
                    <w:t>2</w:t>
                  </w:r>
                  <w:r>
                    <w:rPr>
                      <w:rFonts w:hint="default"/>
                      <w:color w:val="auto"/>
                      <w:highlight w:val="none"/>
                    </w:rPr>
                    <w:t>，离合器总成装配区内布置摩托车、电动车离合器总成装配生产线一条，涉及主（从）动片安装、压盘安装、升级安装、螺丝拧入及紧固</w:t>
                  </w:r>
                  <w:r>
                    <w:rPr>
                      <w:rFonts w:hint="eastAsia"/>
                      <w:color w:val="auto"/>
                      <w:highlight w:val="none"/>
                      <w:lang w:eastAsia="zh-CN"/>
                    </w:rPr>
                    <w:t>，以及</w:t>
                  </w:r>
                  <w:r>
                    <w:rPr>
                      <w:rFonts w:hint="default"/>
                      <w:color w:val="auto"/>
                      <w:highlight w:val="none"/>
                    </w:rPr>
                    <w:t>检验、清洗等生产工序。</w:t>
                  </w:r>
                </w:p>
              </w:tc>
              <w:tc>
                <w:tcPr>
                  <w:tcW w:w="1585" w:type="dxa"/>
                  <w:noWrap w:val="0"/>
                  <w:vAlign w:val="center"/>
                </w:tcPr>
                <w:p w14:paraId="738CBE42">
                  <w:pPr>
                    <w:pStyle w:val="86"/>
                    <w:keepNext w:val="0"/>
                    <w:keepLines w:val="0"/>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已建</w:t>
                  </w:r>
                </w:p>
              </w:tc>
            </w:tr>
            <w:tr w14:paraId="0F5A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78" w:type="dxa"/>
                  <w:vMerge w:val="continue"/>
                  <w:noWrap w:val="0"/>
                  <w:vAlign w:val="center"/>
                </w:tcPr>
                <w:p w14:paraId="1FE56B9C">
                  <w:pPr>
                    <w:pStyle w:val="86"/>
                    <w:keepNext w:val="0"/>
                    <w:keepLines w:val="0"/>
                    <w:suppressLineNumbers w:val="0"/>
                    <w:bidi w:val="0"/>
                    <w:spacing w:before="0" w:beforeAutospacing="0" w:after="0" w:afterAutospacing="0"/>
                    <w:ind w:left="0" w:right="0"/>
                    <w:rPr>
                      <w:rFonts w:hint="default"/>
                      <w:color w:val="auto"/>
                      <w:highlight w:val="none"/>
                    </w:rPr>
                  </w:pPr>
                </w:p>
              </w:tc>
              <w:tc>
                <w:tcPr>
                  <w:tcW w:w="492" w:type="dxa"/>
                  <w:vMerge w:val="continue"/>
                  <w:noWrap w:val="0"/>
                  <w:vAlign w:val="center"/>
                </w:tcPr>
                <w:p w14:paraId="388776C0">
                  <w:pPr>
                    <w:pStyle w:val="86"/>
                    <w:keepNext w:val="0"/>
                    <w:keepLines w:val="0"/>
                    <w:suppressLineNumbers w:val="0"/>
                    <w:bidi w:val="0"/>
                    <w:spacing w:before="0" w:beforeAutospacing="0" w:after="0" w:afterAutospacing="0"/>
                    <w:ind w:left="0" w:right="0"/>
                    <w:rPr>
                      <w:rFonts w:hint="default"/>
                      <w:color w:val="auto"/>
                      <w:highlight w:val="none"/>
                    </w:rPr>
                  </w:pPr>
                </w:p>
              </w:tc>
              <w:tc>
                <w:tcPr>
                  <w:tcW w:w="924" w:type="dxa"/>
                  <w:gridSpan w:val="3"/>
                  <w:noWrap w:val="0"/>
                  <w:vAlign w:val="center"/>
                </w:tcPr>
                <w:p w14:paraId="77C086F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摩擦片生产区</w:t>
                  </w:r>
                </w:p>
              </w:tc>
              <w:tc>
                <w:tcPr>
                  <w:tcW w:w="5474" w:type="dxa"/>
                  <w:noWrap w:val="0"/>
                  <w:vAlign w:val="center"/>
                </w:tcPr>
                <w:p w14:paraId="7F211515">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位于2号厂房内部南部及东北部</w:t>
                  </w:r>
                  <w:r>
                    <w:rPr>
                      <w:rFonts w:hint="default"/>
                      <w:color w:val="auto"/>
                      <w:highlight w:val="none"/>
                    </w:rPr>
                    <w:t>，面积约</w:t>
                  </w:r>
                  <w:r>
                    <w:rPr>
                      <w:rFonts w:hint="eastAsia"/>
                      <w:color w:val="auto"/>
                      <w:highlight w:val="none"/>
                      <w:lang w:val="en-US" w:eastAsia="zh-CN"/>
                    </w:rPr>
                    <w:t>5000</w:t>
                  </w:r>
                  <w:r>
                    <w:rPr>
                      <w:rFonts w:hint="default"/>
                      <w:color w:val="auto"/>
                      <w:highlight w:val="none"/>
                    </w:rPr>
                    <w:t>m</w:t>
                  </w:r>
                  <w:r>
                    <w:rPr>
                      <w:rFonts w:hint="default"/>
                      <w:color w:val="auto"/>
                      <w:highlight w:val="none"/>
                      <w:vertAlign w:val="superscript"/>
                    </w:rPr>
                    <w:t>2</w:t>
                  </w:r>
                  <w:r>
                    <w:rPr>
                      <w:rFonts w:hint="default"/>
                      <w:color w:val="auto"/>
                      <w:highlight w:val="none"/>
                    </w:rPr>
                    <w:t>，摩擦片生产区内设置离合器摩擦片生产线一条，</w:t>
                  </w:r>
                  <w:r>
                    <w:rPr>
                      <w:rFonts w:hint="eastAsia"/>
                      <w:color w:val="auto"/>
                      <w:highlight w:val="none"/>
                      <w:lang w:val="en-US" w:eastAsia="zh-CN"/>
                    </w:rPr>
                    <w:t>摩擦片生产区</w:t>
                  </w:r>
                  <w:r>
                    <w:rPr>
                      <w:rFonts w:hint="default"/>
                      <w:color w:val="auto"/>
                      <w:highlight w:val="none"/>
                    </w:rPr>
                    <w:t>有热熔、压铸、冲裁、抛丸、浸胶、热压、固化、磨加工</w:t>
                  </w:r>
                  <w:r>
                    <w:rPr>
                      <w:rFonts w:hint="eastAsia"/>
                      <w:color w:val="auto"/>
                      <w:highlight w:val="none"/>
                      <w:lang w:eastAsia="zh-CN"/>
                    </w:rPr>
                    <w:t>、</w:t>
                  </w:r>
                  <w:r>
                    <w:rPr>
                      <w:rFonts w:hint="eastAsia"/>
                      <w:color w:val="auto"/>
                      <w:highlight w:val="none"/>
                      <w:lang w:val="en-US" w:eastAsia="zh-CN"/>
                    </w:rPr>
                    <w:t>挤压制片</w:t>
                  </w:r>
                  <w:r>
                    <w:rPr>
                      <w:rFonts w:hint="default"/>
                      <w:color w:val="auto"/>
                      <w:highlight w:val="none"/>
                    </w:rPr>
                    <w:t>等生产</w:t>
                  </w:r>
                  <w:r>
                    <w:rPr>
                      <w:rFonts w:hint="eastAsia"/>
                      <w:color w:val="auto"/>
                      <w:highlight w:val="none"/>
                      <w:lang w:val="en-US" w:eastAsia="zh-CN"/>
                    </w:rPr>
                    <w:t>工序</w:t>
                  </w:r>
                  <w:r>
                    <w:rPr>
                      <w:rFonts w:hint="default"/>
                      <w:color w:val="auto"/>
                      <w:highlight w:val="none"/>
                    </w:rPr>
                    <w:t>。</w:t>
                  </w:r>
                </w:p>
              </w:tc>
              <w:tc>
                <w:tcPr>
                  <w:tcW w:w="1585" w:type="dxa"/>
                  <w:noWrap w:val="0"/>
                  <w:vAlign w:val="center"/>
                </w:tcPr>
                <w:p w14:paraId="696FB435">
                  <w:pPr>
                    <w:pStyle w:val="86"/>
                    <w:keepNext w:val="0"/>
                    <w:keepLines w:val="0"/>
                    <w:suppressLineNumbers w:val="0"/>
                    <w:bidi w:val="0"/>
                    <w:spacing w:before="0" w:beforeAutospacing="0" w:after="0" w:afterAutospacing="0"/>
                    <w:ind w:left="0" w:right="0"/>
                    <w:jc w:val="center"/>
                    <w:rPr>
                      <w:rFonts w:hint="default"/>
                      <w:color w:val="auto"/>
                      <w:highlight w:val="none"/>
                      <w:lang w:val="en-US"/>
                    </w:rPr>
                  </w:pPr>
                  <w:r>
                    <w:rPr>
                      <w:rFonts w:hint="eastAsia"/>
                      <w:color w:val="auto"/>
                      <w:highlight w:val="none"/>
                      <w:lang w:val="en-US" w:eastAsia="zh-CN"/>
                    </w:rPr>
                    <w:t>已建</w:t>
                  </w:r>
                </w:p>
              </w:tc>
            </w:tr>
            <w:tr w14:paraId="0FA8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78" w:type="dxa"/>
                  <w:vMerge w:val="continue"/>
                  <w:noWrap w:val="0"/>
                  <w:vAlign w:val="center"/>
                </w:tcPr>
                <w:p w14:paraId="45DAB2D6">
                  <w:pPr>
                    <w:pStyle w:val="86"/>
                    <w:keepNext w:val="0"/>
                    <w:keepLines w:val="0"/>
                    <w:suppressLineNumbers w:val="0"/>
                    <w:bidi w:val="0"/>
                    <w:spacing w:before="0" w:beforeAutospacing="0" w:after="0" w:afterAutospacing="0"/>
                    <w:ind w:left="0" w:right="0"/>
                    <w:rPr>
                      <w:rFonts w:hint="default"/>
                      <w:color w:val="auto"/>
                      <w:highlight w:val="none"/>
                    </w:rPr>
                  </w:pPr>
                </w:p>
              </w:tc>
              <w:tc>
                <w:tcPr>
                  <w:tcW w:w="492" w:type="dxa"/>
                  <w:vMerge w:val="continue"/>
                  <w:noWrap w:val="0"/>
                  <w:vAlign w:val="center"/>
                </w:tcPr>
                <w:p w14:paraId="35545F05">
                  <w:pPr>
                    <w:pStyle w:val="86"/>
                    <w:keepNext w:val="0"/>
                    <w:keepLines w:val="0"/>
                    <w:suppressLineNumbers w:val="0"/>
                    <w:bidi w:val="0"/>
                    <w:spacing w:before="0" w:beforeAutospacing="0" w:after="0" w:afterAutospacing="0"/>
                    <w:ind w:left="0" w:right="0"/>
                    <w:rPr>
                      <w:rFonts w:hint="default"/>
                      <w:color w:val="auto"/>
                      <w:highlight w:val="none"/>
                    </w:rPr>
                  </w:pPr>
                </w:p>
              </w:tc>
              <w:tc>
                <w:tcPr>
                  <w:tcW w:w="924" w:type="dxa"/>
                  <w:gridSpan w:val="3"/>
                  <w:noWrap w:val="0"/>
                  <w:vAlign w:val="center"/>
                </w:tcPr>
                <w:p w14:paraId="03761BC3">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模具</w:t>
                  </w:r>
                </w:p>
                <w:p w14:paraId="4D5CFB83">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维修区</w:t>
                  </w:r>
                </w:p>
              </w:tc>
              <w:tc>
                <w:tcPr>
                  <w:tcW w:w="5474" w:type="dxa"/>
                  <w:noWrap w:val="0"/>
                  <w:vAlign w:val="center"/>
                </w:tcPr>
                <w:p w14:paraId="0EAC36BD">
                  <w:pPr>
                    <w:pStyle w:val="86"/>
                    <w:keepNext w:val="0"/>
                    <w:keepLines w:val="0"/>
                    <w:suppressLineNumbers w:val="0"/>
                    <w:bidi w:val="0"/>
                    <w:spacing w:before="0" w:beforeAutospacing="0" w:after="0" w:afterAutospacing="0"/>
                    <w:ind w:left="0" w:right="0"/>
                    <w:jc w:val="both"/>
                    <w:rPr>
                      <w:rFonts w:hint="eastAsia"/>
                      <w:color w:val="auto"/>
                      <w:highlight w:val="none"/>
                      <w:lang w:val="en-US" w:eastAsia="zh-CN"/>
                    </w:rPr>
                  </w:pPr>
                  <w:r>
                    <w:rPr>
                      <w:rFonts w:hint="default"/>
                      <w:color w:val="auto"/>
                      <w:highlight w:val="none"/>
                    </w:rPr>
                    <w:t>位于2号厂房</w:t>
                  </w:r>
                  <w:r>
                    <w:rPr>
                      <w:rFonts w:hint="eastAsia"/>
                      <w:color w:val="auto"/>
                      <w:highlight w:val="none"/>
                      <w:lang w:val="en-US" w:eastAsia="zh-CN"/>
                    </w:rPr>
                    <w:t>内压铸区南</w:t>
                  </w:r>
                  <w:r>
                    <w:rPr>
                      <w:rFonts w:hint="default"/>
                      <w:color w:val="auto"/>
                      <w:highlight w:val="none"/>
                    </w:rPr>
                    <w:t>侧，面积约100m</w:t>
                  </w:r>
                  <w:r>
                    <w:rPr>
                      <w:rFonts w:hint="default"/>
                      <w:color w:val="auto"/>
                      <w:highlight w:val="none"/>
                      <w:vertAlign w:val="superscript"/>
                    </w:rPr>
                    <w:t>2</w:t>
                  </w:r>
                  <w:r>
                    <w:rPr>
                      <w:rFonts w:hint="default"/>
                      <w:color w:val="auto"/>
                      <w:highlight w:val="none"/>
                    </w:rPr>
                    <w:t>，用于压铸模具的维修。</w:t>
                  </w:r>
                </w:p>
              </w:tc>
              <w:tc>
                <w:tcPr>
                  <w:tcW w:w="1585" w:type="dxa"/>
                  <w:noWrap w:val="0"/>
                  <w:vAlign w:val="center"/>
                </w:tcPr>
                <w:p w14:paraId="25D99C62">
                  <w:pPr>
                    <w:pStyle w:val="86"/>
                    <w:keepNext w:val="0"/>
                    <w:keepLines w:val="0"/>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已建</w:t>
                  </w:r>
                </w:p>
              </w:tc>
            </w:tr>
            <w:tr w14:paraId="5127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restart"/>
                  <w:noWrap w:val="0"/>
                  <w:vAlign w:val="center"/>
                </w:tcPr>
                <w:p w14:paraId="4D1EF6F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辅助工程</w:t>
                  </w:r>
                </w:p>
              </w:tc>
              <w:tc>
                <w:tcPr>
                  <w:tcW w:w="1416" w:type="dxa"/>
                  <w:gridSpan w:val="4"/>
                  <w:noWrap w:val="0"/>
                  <w:vAlign w:val="center"/>
                </w:tcPr>
                <w:p w14:paraId="38C5FB7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综合楼</w:t>
                  </w:r>
                </w:p>
              </w:tc>
              <w:tc>
                <w:tcPr>
                  <w:tcW w:w="5474" w:type="dxa"/>
                  <w:noWrap w:val="0"/>
                  <w:vAlign w:val="center"/>
                </w:tcPr>
                <w:p w14:paraId="1FB25875">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位于2号厂房北侧，框架结构，总建筑面积约1849.69m</w:t>
                  </w:r>
                  <w:r>
                    <w:rPr>
                      <w:rFonts w:hint="default"/>
                      <w:color w:val="auto"/>
                      <w:highlight w:val="none"/>
                      <w:vertAlign w:val="superscript"/>
                    </w:rPr>
                    <w:t>2</w:t>
                  </w:r>
                  <w:r>
                    <w:rPr>
                      <w:rFonts w:hint="default"/>
                      <w:color w:val="auto"/>
                      <w:highlight w:val="none"/>
                    </w:rPr>
                    <w:t>，共4F，其中1F设食堂，2</w:t>
                  </w:r>
                  <w:r>
                    <w:rPr>
                      <w:rFonts w:hint="eastAsia"/>
                      <w:color w:val="auto"/>
                      <w:highlight w:val="none"/>
                      <w:lang w:eastAsia="zh-CN"/>
                    </w:rPr>
                    <w:t>～</w:t>
                  </w:r>
                  <w:r>
                    <w:rPr>
                      <w:rFonts w:hint="default"/>
                      <w:color w:val="auto"/>
                      <w:highlight w:val="none"/>
                    </w:rPr>
                    <w:t>4F主要用于办公。</w:t>
                  </w:r>
                </w:p>
              </w:tc>
              <w:tc>
                <w:tcPr>
                  <w:tcW w:w="1585" w:type="dxa"/>
                  <w:noWrap w:val="0"/>
                  <w:vAlign w:val="center"/>
                </w:tcPr>
                <w:p w14:paraId="1707F8EC">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未建设，本次新建</w:t>
                  </w:r>
                </w:p>
              </w:tc>
            </w:tr>
            <w:tr w14:paraId="31C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153BFE15">
                  <w:pPr>
                    <w:pStyle w:val="86"/>
                    <w:keepNext w:val="0"/>
                    <w:keepLines w:val="0"/>
                    <w:suppressLineNumbers w:val="0"/>
                    <w:bidi w:val="0"/>
                    <w:spacing w:before="0" w:beforeAutospacing="0" w:after="0" w:afterAutospacing="0"/>
                    <w:ind w:left="0" w:right="0"/>
                    <w:rPr>
                      <w:rFonts w:hint="default"/>
                      <w:color w:val="auto"/>
                      <w:highlight w:val="none"/>
                    </w:rPr>
                  </w:pPr>
                </w:p>
              </w:tc>
              <w:tc>
                <w:tcPr>
                  <w:tcW w:w="722" w:type="dxa"/>
                  <w:gridSpan w:val="3"/>
                  <w:vMerge w:val="restart"/>
                  <w:noWrap w:val="0"/>
                  <w:vAlign w:val="center"/>
                </w:tcPr>
                <w:p w14:paraId="540F5D9C">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循环</w:t>
                  </w:r>
                  <w:r>
                    <w:rPr>
                      <w:rFonts w:hint="default"/>
                      <w:color w:val="auto"/>
                      <w:highlight w:val="none"/>
                    </w:rPr>
                    <w:t>冷却</w:t>
                  </w:r>
                  <w:r>
                    <w:rPr>
                      <w:rFonts w:hint="eastAsia"/>
                      <w:color w:val="auto"/>
                      <w:highlight w:val="none"/>
                      <w:lang w:val="en-US" w:eastAsia="zh-CN"/>
                    </w:rPr>
                    <w:t>水系统</w:t>
                  </w:r>
                </w:p>
              </w:tc>
              <w:tc>
                <w:tcPr>
                  <w:tcW w:w="694" w:type="dxa"/>
                  <w:noWrap w:val="0"/>
                  <w:vAlign w:val="center"/>
                </w:tcPr>
                <w:p w14:paraId="2DDAC4EA">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压铸模具冷却</w:t>
                  </w:r>
                </w:p>
              </w:tc>
              <w:tc>
                <w:tcPr>
                  <w:tcW w:w="5474" w:type="dxa"/>
                  <w:noWrap w:val="0"/>
                  <w:vAlign w:val="center"/>
                </w:tcPr>
                <w:p w14:paraId="00F1B667">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color w:val="auto"/>
                      <w:highlight w:val="none"/>
                    </w:rPr>
                    <w:t>压铸模具</w:t>
                  </w:r>
                  <w:r>
                    <w:rPr>
                      <w:rFonts w:hint="eastAsia"/>
                      <w:color w:val="auto"/>
                      <w:highlight w:val="none"/>
                      <w:lang w:val="en-US" w:eastAsia="zh-CN"/>
                    </w:rPr>
                    <w:t>采用循环冷却</w:t>
                  </w:r>
                  <w:r>
                    <w:rPr>
                      <w:rFonts w:hint="default"/>
                      <w:color w:val="auto"/>
                      <w:highlight w:val="none"/>
                    </w:rPr>
                    <w:t>水</w:t>
                  </w:r>
                  <w:r>
                    <w:rPr>
                      <w:rFonts w:hint="eastAsia"/>
                      <w:color w:val="auto"/>
                      <w:highlight w:val="none"/>
                      <w:lang w:val="en-US" w:eastAsia="zh-CN"/>
                    </w:rPr>
                    <w:t>间接</w:t>
                  </w:r>
                  <w:r>
                    <w:rPr>
                      <w:rFonts w:hint="default"/>
                      <w:color w:val="auto"/>
                      <w:highlight w:val="none"/>
                    </w:rPr>
                    <w:t>冷却，</w:t>
                  </w:r>
                  <w:r>
                    <w:rPr>
                      <w:rFonts w:hint="eastAsia"/>
                      <w:color w:val="auto"/>
                      <w:highlight w:val="none"/>
                      <w:lang w:val="en-US" w:eastAsia="zh-CN"/>
                    </w:rPr>
                    <w:t>配套50</w:t>
                  </w:r>
                  <w:r>
                    <w:rPr>
                      <w:rFonts w:hint="default"/>
                      <w:color w:val="auto"/>
                      <w:highlight w:val="none"/>
                    </w:rPr>
                    <w:t>m</w:t>
                  </w:r>
                  <w:r>
                    <w:rPr>
                      <w:rFonts w:hint="default"/>
                      <w:color w:val="auto"/>
                      <w:highlight w:val="none"/>
                      <w:vertAlign w:val="superscript"/>
                    </w:rPr>
                    <w:t>3</w:t>
                  </w:r>
                  <w:r>
                    <w:rPr>
                      <w:rFonts w:hint="default"/>
                      <w:color w:val="auto"/>
                      <w:highlight w:val="none"/>
                    </w:rPr>
                    <w:t>的</w:t>
                  </w:r>
                  <w:r>
                    <w:rPr>
                      <w:rFonts w:hint="eastAsia"/>
                      <w:color w:val="auto"/>
                      <w:highlight w:val="none"/>
                      <w:lang w:val="en-US" w:eastAsia="zh-CN"/>
                    </w:rPr>
                    <w:t>循环</w:t>
                  </w:r>
                  <w:r>
                    <w:rPr>
                      <w:rFonts w:hint="default"/>
                      <w:color w:val="auto"/>
                      <w:highlight w:val="none"/>
                    </w:rPr>
                    <w:t>水池</w:t>
                  </w:r>
                  <w:r>
                    <w:rPr>
                      <w:rFonts w:hint="eastAsia"/>
                      <w:color w:val="auto"/>
                      <w:highlight w:val="none"/>
                      <w:lang w:val="en-US" w:eastAsia="zh-CN"/>
                    </w:rPr>
                    <w:t>1座</w:t>
                  </w:r>
                  <w:r>
                    <w:rPr>
                      <w:rFonts w:hint="eastAsia"/>
                      <w:color w:val="auto"/>
                      <w:highlight w:val="none"/>
                      <w:lang w:eastAsia="zh-CN"/>
                    </w:rPr>
                    <w:t>、</w:t>
                  </w:r>
                  <w:r>
                    <w:rPr>
                      <w:rFonts w:hint="default"/>
                      <w:color w:val="auto"/>
                      <w:highlight w:val="none"/>
                    </w:rPr>
                    <w:t>冷却塔</w:t>
                  </w:r>
                  <w:r>
                    <w:rPr>
                      <w:rFonts w:hint="eastAsia"/>
                      <w:color w:val="auto"/>
                      <w:highlight w:val="none"/>
                      <w:lang w:val="en-US" w:eastAsia="zh-CN"/>
                    </w:rPr>
                    <w:t>1座</w:t>
                  </w:r>
                  <w:r>
                    <w:rPr>
                      <w:rFonts w:hint="default"/>
                      <w:color w:val="auto"/>
                      <w:highlight w:val="none"/>
                    </w:rPr>
                    <w:t>。</w:t>
                  </w:r>
                  <w:r>
                    <w:rPr>
                      <w:rFonts w:hint="eastAsia"/>
                      <w:color w:val="auto"/>
                      <w:highlight w:val="none"/>
                      <w:lang w:val="en-US" w:eastAsia="zh-CN"/>
                    </w:rPr>
                    <w:t>间冷</w:t>
                  </w:r>
                  <w:r>
                    <w:rPr>
                      <w:rFonts w:hint="default"/>
                      <w:color w:val="auto"/>
                      <w:highlight w:val="none"/>
                    </w:rPr>
                    <w:t>开式循环</w:t>
                  </w:r>
                  <w:r>
                    <w:rPr>
                      <w:rFonts w:hint="eastAsia"/>
                      <w:color w:val="auto"/>
                      <w:highlight w:val="none"/>
                      <w:lang w:val="en-US" w:eastAsia="zh-CN"/>
                    </w:rPr>
                    <w:t>冷却水</w:t>
                  </w:r>
                  <w:r>
                    <w:rPr>
                      <w:rFonts w:hint="default"/>
                      <w:color w:val="auto"/>
                      <w:highlight w:val="none"/>
                    </w:rPr>
                    <w:t>系统</w:t>
                  </w:r>
                  <w:r>
                    <w:rPr>
                      <w:rFonts w:hint="eastAsia"/>
                      <w:color w:val="auto"/>
                      <w:highlight w:val="none"/>
                      <w:lang w:eastAsia="zh-CN"/>
                    </w:rPr>
                    <w:t>，</w:t>
                  </w:r>
                  <w:r>
                    <w:rPr>
                      <w:rFonts w:hint="eastAsia"/>
                      <w:color w:val="auto"/>
                      <w:highlight w:val="none"/>
                      <w:lang w:val="en-US" w:eastAsia="zh-CN"/>
                    </w:rPr>
                    <w:t>循环次数为2次/h，不涉及水质处理工艺及各类药剂添加、不涉及水质监测系统，考虑蒸发水系数、风吹水系数、排污水量等，补充水量约为循环水量的1.133%。</w:t>
                  </w:r>
                </w:p>
              </w:tc>
              <w:tc>
                <w:tcPr>
                  <w:tcW w:w="1585" w:type="dxa"/>
                  <w:noWrap w:val="0"/>
                  <w:vAlign w:val="center"/>
                </w:tcPr>
                <w:p w14:paraId="78677D93">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w:t>
                  </w:r>
                </w:p>
              </w:tc>
            </w:tr>
            <w:tr w14:paraId="527B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36A3CF3E">
                  <w:pPr>
                    <w:pStyle w:val="86"/>
                    <w:keepNext w:val="0"/>
                    <w:keepLines w:val="0"/>
                    <w:suppressLineNumbers w:val="0"/>
                    <w:bidi w:val="0"/>
                    <w:spacing w:before="0" w:beforeAutospacing="0" w:after="0" w:afterAutospacing="0"/>
                    <w:ind w:left="0" w:right="0"/>
                    <w:rPr>
                      <w:rFonts w:hint="default"/>
                      <w:color w:val="auto"/>
                      <w:highlight w:val="none"/>
                    </w:rPr>
                  </w:pPr>
                </w:p>
              </w:tc>
              <w:tc>
                <w:tcPr>
                  <w:tcW w:w="722" w:type="dxa"/>
                  <w:gridSpan w:val="3"/>
                  <w:vMerge w:val="continue"/>
                  <w:noWrap w:val="0"/>
                  <w:vAlign w:val="center"/>
                </w:tcPr>
                <w:p w14:paraId="01288776">
                  <w:pPr>
                    <w:pStyle w:val="86"/>
                    <w:keepNext w:val="0"/>
                    <w:keepLines w:val="0"/>
                    <w:suppressLineNumbers w:val="0"/>
                    <w:bidi w:val="0"/>
                    <w:spacing w:before="0" w:beforeAutospacing="0" w:after="0" w:afterAutospacing="0"/>
                    <w:ind w:left="0" w:right="0"/>
                    <w:rPr>
                      <w:rFonts w:hint="default"/>
                      <w:color w:val="auto"/>
                      <w:highlight w:val="none"/>
                    </w:rPr>
                  </w:pPr>
                </w:p>
              </w:tc>
              <w:tc>
                <w:tcPr>
                  <w:tcW w:w="694" w:type="dxa"/>
                  <w:noWrap w:val="0"/>
                  <w:vAlign w:val="center"/>
                </w:tcPr>
                <w:p w14:paraId="55E2401C">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挤压工序冷却</w:t>
                  </w:r>
                </w:p>
              </w:tc>
              <w:tc>
                <w:tcPr>
                  <w:tcW w:w="5474" w:type="dxa"/>
                  <w:noWrap w:val="0"/>
                  <w:vAlign w:val="center"/>
                </w:tcPr>
                <w:p w14:paraId="56429B85">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lang w:val="en-US" w:eastAsia="zh-CN"/>
                    </w:rPr>
                    <w:t>挤压机采用循环冷却水间接冷却，配套10m</w:t>
                  </w:r>
                  <w:r>
                    <w:rPr>
                      <w:rFonts w:hint="eastAsia"/>
                      <w:color w:val="auto"/>
                      <w:highlight w:val="none"/>
                      <w:vertAlign w:val="superscript"/>
                      <w:lang w:val="en-US" w:eastAsia="zh-CN"/>
                    </w:rPr>
                    <w:t>3</w:t>
                  </w:r>
                  <w:r>
                    <w:rPr>
                      <w:rFonts w:hint="eastAsia"/>
                      <w:color w:val="auto"/>
                      <w:highlight w:val="none"/>
                      <w:lang w:val="en-US" w:eastAsia="zh-CN"/>
                    </w:rPr>
                    <w:t>循环水池1座、冷却塔1座，冷却塔、循环冷却水池设置在2号厂房外（靠近厂房内东北部的挤压区）。间冷开式循环冷却水系统，循环次数为2次/h，不涉及水质处理工艺及各类药剂添加、不涉及水质监测系统，考虑蒸发水系数、风吹水系数、排污水量等，补充水量约为循环水量的1.133%。</w:t>
                  </w:r>
                </w:p>
              </w:tc>
              <w:tc>
                <w:tcPr>
                  <w:tcW w:w="1585" w:type="dxa"/>
                  <w:noWrap w:val="0"/>
                  <w:vAlign w:val="center"/>
                </w:tcPr>
                <w:p w14:paraId="30F64D2C">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已建</w:t>
                  </w:r>
                </w:p>
              </w:tc>
            </w:tr>
            <w:tr w14:paraId="6B3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3FC98F7B">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409772A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食堂</w:t>
                  </w:r>
                </w:p>
              </w:tc>
              <w:tc>
                <w:tcPr>
                  <w:tcW w:w="5474" w:type="dxa"/>
                  <w:noWrap w:val="0"/>
                  <w:vAlign w:val="center"/>
                </w:tcPr>
                <w:p w14:paraId="5FC18290">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位于综合楼1F，提供一餐，不涉及住宿。</w:t>
                  </w:r>
                </w:p>
              </w:tc>
              <w:tc>
                <w:tcPr>
                  <w:tcW w:w="1585" w:type="dxa"/>
                  <w:noWrap w:val="0"/>
                  <w:vAlign w:val="center"/>
                </w:tcPr>
                <w:p w14:paraId="76E0F380">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未建设，本次新建</w:t>
                  </w:r>
                </w:p>
              </w:tc>
            </w:tr>
            <w:tr w14:paraId="498C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47159610">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3EA113F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门卫房</w:t>
                  </w:r>
                </w:p>
              </w:tc>
              <w:tc>
                <w:tcPr>
                  <w:tcW w:w="5474" w:type="dxa"/>
                  <w:noWrap w:val="0"/>
                  <w:vAlign w:val="center"/>
                </w:tcPr>
                <w:p w14:paraId="77E42393">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位于厂区西北侧的厂区入口处，面积约为34.13m</w:t>
                  </w:r>
                  <w:r>
                    <w:rPr>
                      <w:rFonts w:hint="default"/>
                      <w:color w:val="auto"/>
                      <w:highlight w:val="none"/>
                      <w:vertAlign w:val="superscript"/>
                    </w:rPr>
                    <w:t>2</w:t>
                  </w:r>
                </w:p>
              </w:tc>
              <w:tc>
                <w:tcPr>
                  <w:tcW w:w="1585" w:type="dxa"/>
                  <w:noWrap w:val="0"/>
                  <w:vAlign w:val="center"/>
                </w:tcPr>
                <w:p w14:paraId="637A50CD">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已建</w:t>
                  </w:r>
                </w:p>
              </w:tc>
            </w:tr>
            <w:tr w14:paraId="11F7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3AA72021">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27B0507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空压机房</w:t>
                  </w:r>
                </w:p>
              </w:tc>
              <w:tc>
                <w:tcPr>
                  <w:tcW w:w="5474" w:type="dxa"/>
                  <w:noWrap w:val="0"/>
                  <w:vAlign w:val="center"/>
                </w:tcPr>
                <w:p w14:paraId="0ADC8851">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空压机房设置在2号厂房外的东南角，配备有3台风冷式</w:t>
                  </w:r>
                  <w:r>
                    <w:rPr>
                      <w:rFonts w:hint="eastAsia"/>
                      <w:color w:val="auto"/>
                      <w:highlight w:val="none"/>
                      <w:lang w:eastAsia="zh-CN"/>
                    </w:rPr>
                    <w:t>（</w:t>
                  </w:r>
                  <w:r>
                    <w:rPr>
                      <w:rFonts w:hint="eastAsia"/>
                      <w:color w:val="auto"/>
                      <w:highlight w:val="none"/>
                      <w:lang w:val="en-US" w:eastAsia="zh-CN"/>
                    </w:rPr>
                    <w:t>含油</w:t>
                  </w:r>
                  <w:r>
                    <w:rPr>
                      <w:rFonts w:hint="eastAsia"/>
                      <w:color w:val="auto"/>
                      <w:highlight w:val="none"/>
                      <w:lang w:eastAsia="zh-CN"/>
                    </w:rPr>
                    <w:t>）</w:t>
                  </w:r>
                  <w:r>
                    <w:rPr>
                      <w:rFonts w:hint="default"/>
                      <w:color w:val="auto"/>
                      <w:highlight w:val="none"/>
                    </w:rPr>
                    <w:t>螺杆空气压缩机，2用1备。</w:t>
                  </w:r>
                </w:p>
              </w:tc>
              <w:tc>
                <w:tcPr>
                  <w:tcW w:w="1585" w:type="dxa"/>
                  <w:noWrap w:val="0"/>
                  <w:vAlign w:val="center"/>
                </w:tcPr>
                <w:p w14:paraId="27722459">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已建</w:t>
                  </w:r>
                </w:p>
              </w:tc>
            </w:tr>
            <w:tr w14:paraId="069B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restart"/>
                  <w:noWrap w:val="0"/>
                  <w:vAlign w:val="center"/>
                </w:tcPr>
                <w:p w14:paraId="20A3B1A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公用工程</w:t>
                  </w:r>
                </w:p>
              </w:tc>
              <w:tc>
                <w:tcPr>
                  <w:tcW w:w="1416" w:type="dxa"/>
                  <w:gridSpan w:val="4"/>
                  <w:noWrap w:val="0"/>
                  <w:vAlign w:val="center"/>
                </w:tcPr>
                <w:p w14:paraId="211A732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供电</w:t>
                  </w:r>
                </w:p>
              </w:tc>
              <w:tc>
                <w:tcPr>
                  <w:tcW w:w="5474" w:type="dxa"/>
                  <w:noWrap w:val="0"/>
                  <w:vAlign w:val="center"/>
                </w:tcPr>
                <w:p w14:paraId="08DD49F9">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依托市政供电，配套建设配电房1座，位于2号厂房内东南角。</w:t>
                  </w:r>
                </w:p>
              </w:tc>
              <w:tc>
                <w:tcPr>
                  <w:tcW w:w="1585" w:type="dxa"/>
                  <w:noWrap w:val="0"/>
                  <w:vAlign w:val="center"/>
                </w:tcPr>
                <w:p w14:paraId="6F03387B">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依托+已建</w:t>
                  </w:r>
                </w:p>
              </w:tc>
            </w:tr>
            <w:tr w14:paraId="7E0B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2FDF24D6">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5EB683B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供水</w:t>
                  </w:r>
                </w:p>
              </w:tc>
              <w:tc>
                <w:tcPr>
                  <w:tcW w:w="5474" w:type="dxa"/>
                  <w:noWrap w:val="0"/>
                  <w:vAlign w:val="center"/>
                </w:tcPr>
                <w:p w14:paraId="56D8D81D">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依托市政管网给水，配套建设生产生活消防给水管网与设施。</w:t>
                  </w:r>
                </w:p>
              </w:tc>
              <w:tc>
                <w:tcPr>
                  <w:tcW w:w="1585" w:type="dxa"/>
                  <w:noWrap w:val="0"/>
                  <w:vAlign w:val="center"/>
                </w:tcPr>
                <w:p w14:paraId="6EAC1F1A">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依托+已建</w:t>
                  </w:r>
                </w:p>
              </w:tc>
            </w:tr>
            <w:tr w14:paraId="7D44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234E5375">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6285A33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排水</w:t>
                  </w:r>
                </w:p>
              </w:tc>
              <w:tc>
                <w:tcPr>
                  <w:tcW w:w="5474" w:type="dxa"/>
                  <w:noWrap w:val="0"/>
                  <w:vAlign w:val="center"/>
                </w:tcPr>
                <w:p w14:paraId="657208B3">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排水系统实行雨污分流制；</w:t>
                  </w:r>
                </w:p>
                <w:p w14:paraId="6D4D6207">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雨水经雨水管收集后接入市政雨水管网；</w:t>
                  </w:r>
                </w:p>
                <w:p w14:paraId="379FD006">
                  <w:pPr>
                    <w:pStyle w:val="86"/>
                    <w:keepNext w:val="0"/>
                    <w:keepLines w:val="0"/>
                    <w:suppressLineNumbers w:val="0"/>
                    <w:bidi w:val="0"/>
                    <w:spacing w:before="0" w:beforeAutospacing="0" w:after="0" w:afterAutospacing="0"/>
                    <w:ind w:left="0" w:right="0"/>
                    <w:jc w:val="both"/>
                    <w:rPr>
                      <w:rFonts w:hint="eastAsia"/>
                      <w:color w:val="auto"/>
                      <w:sz w:val="22"/>
                      <w:szCs w:val="22"/>
                      <w:highlight w:val="none"/>
                      <w:lang w:eastAsia="zh-CN"/>
                    </w:rPr>
                  </w:pPr>
                  <w:r>
                    <w:rPr>
                      <w:rFonts w:hint="default"/>
                      <w:color w:val="auto"/>
                      <w:sz w:val="22"/>
                      <w:szCs w:val="22"/>
                      <w:highlight w:val="none"/>
                    </w:rPr>
                    <w:t>厂区西南侧设1</w:t>
                  </w:r>
                  <w:r>
                    <w:rPr>
                      <w:rFonts w:hint="eastAsia"/>
                      <w:color w:val="auto"/>
                      <w:sz w:val="22"/>
                      <w:szCs w:val="22"/>
                      <w:highlight w:val="none"/>
                      <w:lang w:val="en-US" w:eastAsia="zh-CN"/>
                    </w:rPr>
                    <w:t>座</w:t>
                  </w:r>
                  <w:r>
                    <w:rPr>
                      <w:rFonts w:hint="default"/>
                      <w:color w:val="auto"/>
                      <w:sz w:val="22"/>
                      <w:szCs w:val="22"/>
                      <w:highlight w:val="none"/>
                    </w:rPr>
                    <w:t>生化池（处理能力50m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val="en-US" w:eastAsia="zh-CN"/>
                    </w:rPr>
                    <w:t>厂区北侧设置1座“</w:t>
                  </w:r>
                  <w:r>
                    <w:rPr>
                      <w:rFonts w:hint="eastAsia"/>
                      <w:color w:val="auto"/>
                      <w:sz w:val="22"/>
                      <w:szCs w:val="22"/>
                      <w:highlight w:val="none"/>
                      <w:vertAlign w:val="baseline"/>
                      <w:lang w:val="en-US" w:eastAsia="zh-CN"/>
                    </w:rPr>
                    <w:t>酸碱中和+隔油”设备（</w:t>
                  </w:r>
                  <w:r>
                    <w:rPr>
                      <w:rFonts w:hint="default"/>
                      <w:color w:val="auto"/>
                      <w:sz w:val="22"/>
                      <w:szCs w:val="22"/>
                      <w:highlight w:val="none"/>
                    </w:rPr>
                    <w:t>处理能力</w:t>
                  </w:r>
                  <w:r>
                    <w:rPr>
                      <w:rFonts w:hint="eastAsia"/>
                      <w:color w:val="auto"/>
                      <w:sz w:val="22"/>
                      <w:szCs w:val="22"/>
                      <w:highlight w:val="none"/>
                      <w:lang w:val="en-US" w:eastAsia="zh-CN"/>
                    </w:rPr>
                    <w:t>2</w:t>
                  </w:r>
                  <w:r>
                    <w:rPr>
                      <w:rFonts w:hint="default"/>
                      <w:color w:val="auto"/>
                      <w:sz w:val="22"/>
                      <w:szCs w:val="22"/>
                      <w:highlight w:val="none"/>
                    </w:rPr>
                    <w:t>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vertAlign w:val="baseline"/>
                      <w:lang w:val="en-US" w:eastAsia="zh-CN"/>
                    </w:rPr>
                    <w:t>）、</w:t>
                  </w:r>
                  <w:r>
                    <w:rPr>
                      <w:rFonts w:hint="eastAsia"/>
                      <w:color w:val="auto"/>
                      <w:sz w:val="22"/>
                      <w:szCs w:val="22"/>
                      <w:highlight w:val="none"/>
                      <w:lang w:val="en-US" w:eastAsia="zh-CN"/>
                    </w:rPr>
                    <w:t>1座隔油池</w:t>
                  </w:r>
                  <w:r>
                    <w:rPr>
                      <w:rFonts w:hint="default"/>
                      <w:color w:val="auto"/>
                      <w:sz w:val="22"/>
                      <w:szCs w:val="22"/>
                      <w:highlight w:val="none"/>
                    </w:rPr>
                    <w:t>（处理能力10m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eastAsia="zh-CN"/>
                    </w:rPr>
                    <w:t>、</w:t>
                  </w:r>
                  <w:r>
                    <w:rPr>
                      <w:rFonts w:hint="eastAsia"/>
                      <w:color w:val="auto"/>
                      <w:sz w:val="22"/>
                      <w:szCs w:val="22"/>
                      <w:highlight w:val="none"/>
                      <w:lang w:val="en-US" w:eastAsia="zh-CN"/>
                    </w:rPr>
                    <w:t>1座生产废水预处理设施（处理能力0.1m</w:t>
                  </w:r>
                  <w:r>
                    <w:rPr>
                      <w:rFonts w:hint="eastAsia"/>
                      <w:color w:val="auto"/>
                      <w:sz w:val="22"/>
                      <w:szCs w:val="22"/>
                      <w:highlight w:val="none"/>
                      <w:vertAlign w:val="superscript"/>
                      <w:lang w:val="en-US" w:eastAsia="zh-CN"/>
                    </w:rPr>
                    <w:t>3</w:t>
                  </w:r>
                  <w:r>
                    <w:rPr>
                      <w:rFonts w:hint="eastAsia"/>
                      <w:color w:val="auto"/>
                      <w:sz w:val="22"/>
                      <w:szCs w:val="22"/>
                      <w:highlight w:val="none"/>
                      <w:lang w:val="en-US" w:eastAsia="zh-CN"/>
                    </w:rPr>
                    <w:t>/d）</w:t>
                  </w:r>
                  <w:r>
                    <w:rPr>
                      <w:rFonts w:hint="eastAsia"/>
                      <w:color w:val="auto"/>
                      <w:sz w:val="22"/>
                      <w:szCs w:val="22"/>
                      <w:highlight w:val="none"/>
                      <w:lang w:eastAsia="zh-CN"/>
                    </w:rPr>
                    <w:t>；</w:t>
                  </w:r>
                </w:p>
                <w:p w14:paraId="042A0673">
                  <w:pPr>
                    <w:pStyle w:val="86"/>
                    <w:keepNext w:val="0"/>
                    <w:keepLines w:val="0"/>
                    <w:numPr>
                      <w:ilvl w:val="0"/>
                      <w:numId w:val="0"/>
                    </w:numPr>
                    <w:suppressLineNumbers w:val="0"/>
                    <w:bidi w:val="0"/>
                    <w:spacing w:before="0" w:beforeAutospacing="0" w:after="0" w:afterAutospacing="0"/>
                    <w:ind w:left="0" w:leftChars="0" w:right="0" w:rightChars="0" w:firstLine="0" w:firstLineChars="0"/>
                    <w:jc w:val="both"/>
                    <w:rPr>
                      <w:rFonts w:hint="eastAsia"/>
                      <w:color w:val="auto"/>
                      <w:sz w:val="22"/>
                      <w:szCs w:val="22"/>
                      <w:highlight w:val="none"/>
                      <w:lang w:eastAsia="zh-CN"/>
                    </w:rPr>
                  </w:pPr>
                  <w:r>
                    <w:rPr>
                      <w:rFonts w:hint="eastAsia" w:ascii="Times New Roman" w:hAnsi="Times New Roman" w:eastAsia="宋体" w:cs="Times New Roman"/>
                      <w:color w:val="auto"/>
                      <w:kern w:val="0"/>
                      <w:sz w:val="22"/>
                      <w:szCs w:val="22"/>
                      <w:lang w:val="en-US" w:eastAsia="zh-CN" w:bidi="ar-SA"/>
                    </w:rPr>
                    <w:t>（1）</w:t>
                  </w:r>
                  <w:r>
                    <w:rPr>
                      <w:rFonts w:hint="eastAsia"/>
                      <w:color w:val="auto"/>
                      <w:sz w:val="22"/>
                      <w:szCs w:val="22"/>
                      <w:highlight w:val="none"/>
                      <w:lang w:eastAsia="zh-CN"/>
                    </w:rPr>
                    <w:t>近期，北渡园区污水处理厂未正式投运前，近期，喷淋废水经一套生产废水处理设施（收集池+混凝沉淀+厌氧+好氧+MBR+紫外消毒）预处理，其他生产废水经酸碱中和+隔油预处理，而后一起由重庆宁态环保科技有限公司拉运并处置；近期的食堂餐饮废水进入隔油池预处理后餐饮废水与员工生活污水、综合楼地面清洁废水一同进入生化池处理达《橡胶制品工业污染物排放标准》（GB27632-2011）的间接排放标准后（“动植物油”执行《污水综合排放标准》（GB8978-1996）三级标准），接入旗能电铝污水处理站（接纳证明详见附件11）处理达标后回用，不外排；</w:t>
                  </w:r>
                </w:p>
                <w:p w14:paraId="18C82956">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ascii="Times New Roman" w:hAnsi="Times New Roman" w:eastAsia="宋体" w:cs="Times New Roman"/>
                      <w:color w:val="auto"/>
                      <w:kern w:val="0"/>
                      <w:sz w:val="22"/>
                      <w:szCs w:val="22"/>
                      <w:lang w:val="en-US" w:eastAsia="zh-CN" w:bidi="ar-SA"/>
                    </w:rPr>
                    <w:t>（2）</w:t>
                  </w:r>
                  <w:r>
                    <w:rPr>
                      <w:rFonts w:hint="eastAsia"/>
                      <w:color w:val="auto"/>
                      <w:sz w:val="22"/>
                      <w:szCs w:val="22"/>
                      <w:highlight w:val="none"/>
                      <w:lang w:val="en-US" w:eastAsia="zh-CN"/>
                    </w:rPr>
                    <w:t>远期，北渡园区污水处理厂正式投运后，喷淋废水经一套生产废水处理设施（收集池+混凝沉淀+厌氧+好氧+MBR+紫外消毒）预处理，其他生产废水经酸碱中和+隔油预处理，而后一起经生产废水排放口排入园区污水处理厂；食堂含油废水一同隔油池处理后，而后同生活污水、综合楼地面清洁废水经生化池处理达参照执行的《橡胶制品工业污染物排放标准》（GB27632-2011）的间接排放标准（“动植物油”执行《污水综合排放标准》（GB8978-1996）三级标准）后，通过园区污水管网排入园区污水处理厂进一步处理达《城镇污水处理厂污染物排放标准》（GB18918-2002）一级B标后排入綦江河</w:t>
                  </w:r>
                  <w:r>
                    <w:rPr>
                      <w:rFonts w:hint="default"/>
                      <w:color w:val="auto"/>
                      <w:sz w:val="22"/>
                      <w:szCs w:val="22"/>
                      <w:highlight w:val="none"/>
                    </w:rPr>
                    <w:t>。</w:t>
                  </w:r>
                </w:p>
              </w:tc>
              <w:tc>
                <w:tcPr>
                  <w:tcW w:w="1585" w:type="dxa"/>
                  <w:noWrap w:val="0"/>
                  <w:vAlign w:val="center"/>
                </w:tcPr>
                <w:p w14:paraId="6DF9B808">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lang w:val="en-US" w:eastAsia="zh-CN"/>
                    </w:rPr>
                    <w:t>已建隔油池（处理能力10m</w:t>
                  </w:r>
                  <w:r>
                    <w:rPr>
                      <w:rFonts w:hint="eastAsia"/>
                      <w:color w:val="auto"/>
                      <w:highlight w:val="none"/>
                      <w:vertAlign w:val="superscript"/>
                      <w:lang w:val="en-US" w:eastAsia="zh-CN"/>
                    </w:rPr>
                    <w:t>3</w:t>
                  </w:r>
                  <w:r>
                    <w:rPr>
                      <w:rFonts w:hint="eastAsia"/>
                      <w:color w:val="auto"/>
                      <w:highlight w:val="none"/>
                      <w:lang w:val="en-US" w:eastAsia="zh-CN"/>
                    </w:rPr>
                    <w:t>/d）、生化池，拟新建1座“酸碱中和+隔油”设备、1座生产废水预处理设施。</w:t>
                  </w:r>
                </w:p>
              </w:tc>
            </w:tr>
            <w:tr w14:paraId="02A2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restart"/>
                  <w:noWrap w:val="0"/>
                  <w:vAlign w:val="center"/>
                </w:tcPr>
                <w:p w14:paraId="3FC1250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储运工程</w:t>
                  </w:r>
                </w:p>
              </w:tc>
              <w:tc>
                <w:tcPr>
                  <w:tcW w:w="1416" w:type="dxa"/>
                  <w:gridSpan w:val="4"/>
                  <w:noWrap w:val="0"/>
                  <w:vAlign w:val="center"/>
                </w:tcPr>
                <w:p w14:paraId="1E0C93E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铝合金库</w:t>
                  </w:r>
                </w:p>
              </w:tc>
              <w:tc>
                <w:tcPr>
                  <w:tcW w:w="5474" w:type="dxa"/>
                  <w:noWrap w:val="0"/>
                  <w:vAlign w:val="center"/>
                </w:tcPr>
                <w:p w14:paraId="456536A9">
                  <w:pPr>
                    <w:pStyle w:val="86"/>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default"/>
                      <w:color w:val="auto"/>
                      <w:highlight w:val="none"/>
                    </w:rPr>
                    <w:t>位于2号厂房</w:t>
                  </w:r>
                  <w:r>
                    <w:rPr>
                      <w:rFonts w:hint="eastAsia"/>
                      <w:color w:val="auto"/>
                      <w:highlight w:val="none"/>
                      <w:lang w:val="en-US" w:eastAsia="zh-CN"/>
                    </w:rPr>
                    <w:t>内</w:t>
                  </w:r>
                  <w:r>
                    <w:rPr>
                      <w:rFonts w:hint="default"/>
                      <w:color w:val="auto"/>
                      <w:highlight w:val="none"/>
                    </w:rPr>
                    <w:t>南</w:t>
                  </w:r>
                  <w:r>
                    <w:rPr>
                      <w:rFonts w:hint="eastAsia"/>
                      <w:color w:val="auto"/>
                      <w:highlight w:val="none"/>
                      <w:lang w:val="en-US" w:eastAsia="zh-CN"/>
                    </w:rPr>
                    <w:t>部区域</w:t>
                  </w:r>
                  <w:r>
                    <w:rPr>
                      <w:rFonts w:hint="default"/>
                      <w:color w:val="auto"/>
                      <w:highlight w:val="none"/>
                    </w:rPr>
                    <w:t>，面积约50m</w:t>
                  </w:r>
                  <w:r>
                    <w:rPr>
                      <w:rFonts w:hint="default"/>
                      <w:color w:val="auto"/>
                      <w:highlight w:val="none"/>
                      <w:vertAlign w:val="superscript"/>
                    </w:rPr>
                    <w:t>2</w:t>
                  </w:r>
                  <w:r>
                    <w:rPr>
                      <w:rFonts w:hint="eastAsia"/>
                      <w:color w:val="auto"/>
                      <w:highlight w:val="none"/>
                      <w:lang w:eastAsia="zh-CN"/>
                    </w:rPr>
                    <w:t>。</w:t>
                  </w:r>
                </w:p>
              </w:tc>
              <w:tc>
                <w:tcPr>
                  <w:tcW w:w="1585" w:type="dxa"/>
                  <w:noWrap w:val="0"/>
                  <w:vAlign w:val="center"/>
                </w:tcPr>
                <w:p w14:paraId="3DBA6F7C">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w:t>
                  </w:r>
                </w:p>
              </w:tc>
            </w:tr>
            <w:tr w14:paraId="7D70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5303D09E">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61FE9C9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回炉料堆放区</w:t>
                  </w:r>
                </w:p>
              </w:tc>
              <w:tc>
                <w:tcPr>
                  <w:tcW w:w="5474" w:type="dxa"/>
                  <w:noWrap w:val="0"/>
                  <w:vAlign w:val="center"/>
                </w:tcPr>
                <w:p w14:paraId="05A18941">
                  <w:pPr>
                    <w:pStyle w:val="86"/>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default"/>
                      <w:color w:val="auto"/>
                      <w:highlight w:val="none"/>
                    </w:rPr>
                    <w:t>位于铝合金库</w:t>
                  </w:r>
                  <w:r>
                    <w:rPr>
                      <w:rFonts w:hint="eastAsia"/>
                      <w:color w:val="auto"/>
                      <w:highlight w:val="none"/>
                      <w:lang w:val="en-US" w:eastAsia="zh-CN"/>
                    </w:rPr>
                    <w:t>旁</w:t>
                  </w:r>
                  <w:r>
                    <w:rPr>
                      <w:rFonts w:hint="default"/>
                      <w:color w:val="auto"/>
                      <w:highlight w:val="none"/>
                    </w:rPr>
                    <w:t>，面积约30m</w:t>
                  </w:r>
                  <w:r>
                    <w:rPr>
                      <w:rFonts w:hint="default"/>
                      <w:color w:val="auto"/>
                      <w:highlight w:val="none"/>
                      <w:vertAlign w:val="superscript"/>
                    </w:rPr>
                    <w:t>2</w:t>
                  </w:r>
                  <w:r>
                    <w:rPr>
                      <w:rFonts w:hint="eastAsia"/>
                      <w:color w:val="auto"/>
                      <w:highlight w:val="none"/>
                      <w:lang w:eastAsia="zh-CN"/>
                    </w:rPr>
                    <w:t>。</w:t>
                  </w:r>
                </w:p>
              </w:tc>
              <w:tc>
                <w:tcPr>
                  <w:tcW w:w="1585" w:type="dxa"/>
                  <w:noWrap w:val="0"/>
                  <w:vAlign w:val="center"/>
                </w:tcPr>
                <w:p w14:paraId="110F71A1">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已建</w:t>
                  </w:r>
                </w:p>
              </w:tc>
            </w:tr>
            <w:tr w14:paraId="331D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60EC154D">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4882F1B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库房区</w:t>
                  </w:r>
                </w:p>
              </w:tc>
              <w:tc>
                <w:tcPr>
                  <w:tcW w:w="5474" w:type="dxa"/>
                  <w:noWrap w:val="0"/>
                  <w:vAlign w:val="center"/>
                </w:tcPr>
                <w:p w14:paraId="76352D82">
                  <w:pPr>
                    <w:pStyle w:val="86"/>
                    <w:keepNext w:val="0"/>
                    <w:keepLines w:val="0"/>
                    <w:suppressLineNumbers w:val="0"/>
                    <w:bidi w:val="0"/>
                    <w:spacing w:before="0" w:beforeAutospacing="0" w:after="0" w:afterAutospacing="0"/>
                    <w:ind w:left="0" w:right="0"/>
                    <w:jc w:val="both"/>
                    <w:rPr>
                      <w:rFonts w:hint="default"/>
                      <w:color w:val="auto"/>
                      <w:highlight w:val="none"/>
                      <w:lang w:val="en-US"/>
                    </w:rPr>
                  </w:pPr>
                  <w:r>
                    <w:rPr>
                      <w:rFonts w:hint="eastAsia"/>
                      <w:color w:val="auto"/>
                      <w:highlight w:val="none"/>
                      <w:lang w:val="en-US" w:eastAsia="zh-CN"/>
                    </w:rPr>
                    <w:t>3</w:t>
                  </w:r>
                  <w:r>
                    <w:rPr>
                      <w:rFonts w:hint="default"/>
                      <w:color w:val="auto"/>
                      <w:highlight w:val="none"/>
                    </w:rPr>
                    <w:t>间，位于2号厂房</w:t>
                  </w:r>
                  <w:r>
                    <w:rPr>
                      <w:rFonts w:hint="eastAsia"/>
                      <w:color w:val="auto"/>
                      <w:highlight w:val="none"/>
                      <w:lang w:val="en-US" w:eastAsia="zh-CN"/>
                    </w:rPr>
                    <w:t>内的北部区域</w:t>
                  </w:r>
                  <w:r>
                    <w:rPr>
                      <w:rFonts w:hint="default"/>
                      <w:color w:val="auto"/>
                      <w:highlight w:val="none"/>
                    </w:rPr>
                    <w:t>，总面积分别为</w:t>
                  </w:r>
                  <w:r>
                    <w:rPr>
                      <w:rFonts w:hint="eastAsia"/>
                      <w:color w:val="auto"/>
                      <w:highlight w:val="none"/>
                      <w:lang w:val="en-US" w:eastAsia="zh-CN"/>
                    </w:rPr>
                    <w:t>55m</w:t>
                  </w:r>
                  <w:r>
                    <w:rPr>
                      <w:rFonts w:hint="eastAsia"/>
                      <w:color w:val="auto"/>
                      <w:highlight w:val="none"/>
                      <w:vertAlign w:val="superscript"/>
                      <w:lang w:val="en-US" w:eastAsia="zh-CN"/>
                    </w:rPr>
                    <w:t>2</w:t>
                  </w:r>
                  <w:r>
                    <w:rPr>
                      <w:rFonts w:hint="eastAsia"/>
                      <w:color w:val="auto"/>
                      <w:highlight w:val="none"/>
                      <w:lang w:val="en-US" w:eastAsia="zh-CN"/>
                    </w:rPr>
                    <w:t>、1000</w:t>
                  </w:r>
                  <w:r>
                    <w:rPr>
                      <w:rFonts w:hint="default"/>
                      <w:color w:val="auto"/>
                      <w:highlight w:val="none"/>
                    </w:rPr>
                    <w:t>m</w:t>
                  </w:r>
                  <w:r>
                    <w:rPr>
                      <w:rFonts w:hint="default"/>
                      <w:color w:val="auto"/>
                      <w:highlight w:val="none"/>
                      <w:vertAlign w:val="superscript"/>
                    </w:rPr>
                    <w:t>2</w:t>
                  </w:r>
                  <w:r>
                    <w:rPr>
                      <w:rFonts w:hint="eastAsia"/>
                      <w:color w:val="auto"/>
                      <w:highlight w:val="none"/>
                      <w:lang w:eastAsia="zh-CN"/>
                    </w:rPr>
                    <w:t>、</w:t>
                  </w:r>
                  <w:r>
                    <w:rPr>
                      <w:rFonts w:hint="eastAsia"/>
                      <w:color w:val="auto"/>
                      <w:highlight w:val="none"/>
                      <w:lang w:val="en-US" w:eastAsia="zh-CN"/>
                    </w:rPr>
                    <w:t>180m</w:t>
                  </w:r>
                  <w:r>
                    <w:rPr>
                      <w:rFonts w:hint="eastAsia"/>
                      <w:color w:val="auto"/>
                      <w:highlight w:val="none"/>
                      <w:vertAlign w:val="superscript"/>
                      <w:lang w:val="en-US" w:eastAsia="zh-CN"/>
                    </w:rPr>
                    <w:t>2</w:t>
                  </w:r>
                  <w:r>
                    <w:rPr>
                      <w:rFonts w:hint="default"/>
                      <w:color w:val="auto"/>
                      <w:highlight w:val="none"/>
                    </w:rPr>
                    <w:t>，</w:t>
                  </w:r>
                  <w:r>
                    <w:rPr>
                      <w:rFonts w:hint="eastAsia"/>
                      <w:color w:val="auto"/>
                      <w:highlight w:val="none"/>
                      <w:lang w:val="en-US" w:eastAsia="zh-CN"/>
                    </w:rPr>
                    <w:t>其中55m</w:t>
                  </w:r>
                  <w:r>
                    <w:rPr>
                      <w:rFonts w:hint="eastAsia"/>
                      <w:color w:val="auto"/>
                      <w:highlight w:val="none"/>
                      <w:vertAlign w:val="superscript"/>
                      <w:lang w:val="en-US" w:eastAsia="zh-CN"/>
                    </w:rPr>
                    <w:t>2</w:t>
                  </w:r>
                  <w:r>
                    <w:rPr>
                      <w:rFonts w:hint="eastAsia"/>
                      <w:color w:val="auto"/>
                      <w:highlight w:val="none"/>
                      <w:lang w:val="en-US" w:eastAsia="zh-CN"/>
                    </w:rPr>
                    <w:t>的成品库存区主要用于存放生产的成品（离合器总成）；库房1（面积1000m</w:t>
                  </w:r>
                  <w:r>
                    <w:rPr>
                      <w:rFonts w:hint="eastAsia"/>
                      <w:color w:val="auto"/>
                      <w:highlight w:val="none"/>
                      <w:vertAlign w:val="superscript"/>
                      <w:lang w:val="en-US" w:eastAsia="zh-CN"/>
                    </w:rPr>
                    <w:t>2</w:t>
                  </w:r>
                  <w:r>
                    <w:rPr>
                      <w:rFonts w:hint="eastAsia"/>
                      <w:color w:val="auto"/>
                      <w:highlight w:val="none"/>
                      <w:lang w:val="en-US" w:eastAsia="zh-CN"/>
                    </w:rPr>
                    <w:t>）内设置有原料库（350m</w:t>
                  </w:r>
                  <w:r>
                    <w:rPr>
                      <w:rFonts w:hint="eastAsia"/>
                      <w:color w:val="auto"/>
                      <w:highlight w:val="none"/>
                      <w:vertAlign w:val="superscript"/>
                      <w:lang w:val="en-US" w:eastAsia="zh-CN"/>
                    </w:rPr>
                    <w:t>2</w:t>
                  </w:r>
                  <w:r>
                    <w:rPr>
                      <w:rFonts w:hint="eastAsia"/>
                      <w:color w:val="auto"/>
                      <w:highlight w:val="none"/>
                      <w:lang w:val="en-US" w:eastAsia="zh-CN"/>
                    </w:rPr>
                    <w:t>、</w:t>
                  </w:r>
                  <w:r>
                    <w:rPr>
                      <w:rFonts w:hint="default"/>
                      <w:color w:val="auto"/>
                      <w:highlight w:val="none"/>
                    </w:rPr>
                    <w:t>主要用于原材料的存放</w:t>
                  </w:r>
                  <w:r>
                    <w:rPr>
                      <w:rFonts w:hint="eastAsia"/>
                      <w:color w:val="auto"/>
                      <w:highlight w:val="none"/>
                      <w:lang w:val="en-US" w:eastAsia="zh-CN"/>
                    </w:rPr>
                    <w:t>）、辅料库（100m</w:t>
                  </w:r>
                  <w:r>
                    <w:rPr>
                      <w:rFonts w:hint="eastAsia"/>
                      <w:color w:val="auto"/>
                      <w:highlight w:val="none"/>
                      <w:vertAlign w:val="superscript"/>
                      <w:lang w:val="en-US" w:eastAsia="zh-CN"/>
                    </w:rPr>
                    <w:t>2</w:t>
                  </w:r>
                  <w:r>
                    <w:rPr>
                      <w:rFonts w:hint="eastAsia"/>
                      <w:color w:val="auto"/>
                      <w:highlight w:val="none"/>
                      <w:vertAlign w:val="baseline"/>
                      <w:lang w:val="en-US" w:eastAsia="zh-CN"/>
                    </w:rPr>
                    <w:t>，</w:t>
                  </w:r>
                  <w:r>
                    <w:rPr>
                      <w:rFonts w:hint="default"/>
                      <w:b w:val="0"/>
                      <w:bCs w:val="0"/>
                      <w:color w:val="auto"/>
                      <w:highlight w:val="none"/>
                    </w:rPr>
                    <w:t>主要用于脱模剂、乙醇、胶粉等辅料的存放</w:t>
                  </w:r>
                  <w:r>
                    <w:rPr>
                      <w:rFonts w:hint="eastAsia"/>
                      <w:color w:val="auto"/>
                      <w:highlight w:val="none"/>
                      <w:lang w:val="en-US" w:eastAsia="zh-CN"/>
                    </w:rPr>
                    <w:t>）、油料暂存区（100m</w:t>
                  </w:r>
                  <w:r>
                    <w:rPr>
                      <w:rFonts w:hint="eastAsia"/>
                      <w:color w:val="auto"/>
                      <w:highlight w:val="none"/>
                      <w:vertAlign w:val="superscript"/>
                      <w:lang w:val="en-US" w:eastAsia="zh-CN"/>
                    </w:rPr>
                    <w:t>2</w:t>
                  </w:r>
                  <w:r>
                    <w:rPr>
                      <w:rFonts w:hint="eastAsia"/>
                      <w:color w:val="auto"/>
                      <w:highlight w:val="none"/>
                      <w:lang w:val="en-US" w:eastAsia="zh-CN"/>
                    </w:rPr>
                    <w:t>、</w:t>
                  </w:r>
                  <w:r>
                    <w:rPr>
                      <w:rFonts w:hint="default"/>
                      <w:color w:val="auto"/>
                      <w:highlight w:val="none"/>
                    </w:rPr>
                    <w:t>主要用于液压油、机油</w:t>
                  </w:r>
                  <w:r>
                    <w:rPr>
                      <w:rFonts w:hint="eastAsia"/>
                      <w:color w:val="auto"/>
                      <w:highlight w:val="none"/>
                      <w:lang w:val="en-US" w:eastAsia="zh-CN"/>
                    </w:rPr>
                    <w:t>的</w:t>
                  </w:r>
                  <w:r>
                    <w:rPr>
                      <w:rFonts w:hint="default"/>
                      <w:color w:val="auto"/>
                      <w:highlight w:val="none"/>
                    </w:rPr>
                    <w:t>存放</w:t>
                  </w:r>
                  <w:r>
                    <w:rPr>
                      <w:rFonts w:hint="eastAsia"/>
                      <w:color w:val="auto"/>
                      <w:highlight w:val="none"/>
                      <w:lang w:val="en-US" w:eastAsia="zh-CN"/>
                    </w:rPr>
                    <w:t>）、成品库（400m</w:t>
                  </w:r>
                  <w:r>
                    <w:rPr>
                      <w:rFonts w:hint="eastAsia"/>
                      <w:color w:val="auto"/>
                      <w:highlight w:val="none"/>
                      <w:vertAlign w:val="superscript"/>
                      <w:lang w:val="en-US" w:eastAsia="zh-CN"/>
                    </w:rPr>
                    <w:t>2</w:t>
                  </w:r>
                  <w:r>
                    <w:rPr>
                      <w:rFonts w:hint="eastAsia"/>
                      <w:color w:val="auto"/>
                      <w:highlight w:val="none"/>
                      <w:lang w:val="en-US" w:eastAsia="zh-CN"/>
                    </w:rPr>
                    <w:t>、主要用于离合器摩擦片成品的存放）、模具库（</w:t>
                  </w:r>
                  <w:r>
                    <w:rPr>
                      <w:rFonts w:hint="default"/>
                      <w:color w:val="auto"/>
                      <w:highlight w:val="none"/>
                    </w:rPr>
                    <w:t>约50m</w:t>
                  </w:r>
                  <w:r>
                    <w:rPr>
                      <w:rFonts w:hint="default"/>
                      <w:color w:val="auto"/>
                      <w:highlight w:val="none"/>
                      <w:vertAlign w:val="superscript"/>
                    </w:rPr>
                    <w:t>2</w:t>
                  </w:r>
                  <w:r>
                    <w:rPr>
                      <w:rFonts w:hint="eastAsia"/>
                      <w:color w:val="auto"/>
                      <w:highlight w:val="none"/>
                      <w:lang w:eastAsia="zh-CN"/>
                    </w:rPr>
                    <w:t>、</w:t>
                  </w:r>
                  <w:r>
                    <w:rPr>
                      <w:rFonts w:hint="default"/>
                      <w:color w:val="auto"/>
                      <w:highlight w:val="none"/>
                    </w:rPr>
                    <w:t>用于存放压铸所需要的模具</w:t>
                  </w:r>
                  <w:r>
                    <w:rPr>
                      <w:rFonts w:hint="eastAsia"/>
                      <w:color w:val="auto"/>
                      <w:highlight w:val="none"/>
                      <w:lang w:val="en-US" w:eastAsia="zh-CN"/>
                    </w:rPr>
                    <w:t>）；库房2（面积180m</w:t>
                  </w:r>
                  <w:r>
                    <w:rPr>
                      <w:rFonts w:hint="eastAsia"/>
                      <w:color w:val="auto"/>
                      <w:highlight w:val="none"/>
                      <w:vertAlign w:val="superscript"/>
                      <w:lang w:val="en-US" w:eastAsia="zh-CN"/>
                    </w:rPr>
                    <w:t>2</w:t>
                  </w:r>
                  <w:r>
                    <w:rPr>
                      <w:rFonts w:hint="eastAsia"/>
                      <w:color w:val="auto"/>
                      <w:highlight w:val="none"/>
                      <w:lang w:val="en-US" w:eastAsia="zh-CN"/>
                    </w:rPr>
                    <w:t>）主要用于存放挤压生产线所需的丁腈橡胶及软木、硅藻土混合粉末等原料。</w:t>
                  </w:r>
                </w:p>
              </w:tc>
              <w:tc>
                <w:tcPr>
                  <w:tcW w:w="1585" w:type="dxa"/>
                  <w:noWrap w:val="0"/>
                  <w:vAlign w:val="center"/>
                </w:tcPr>
                <w:p w14:paraId="40A2435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已建，本次提出对油料暂存区进行重点防渗、并规范存放</w:t>
                  </w:r>
                </w:p>
              </w:tc>
            </w:tr>
            <w:tr w14:paraId="0F37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restart"/>
                  <w:noWrap w:val="0"/>
                  <w:vAlign w:val="center"/>
                </w:tcPr>
                <w:p w14:paraId="6735091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环保工程</w:t>
                  </w:r>
                </w:p>
              </w:tc>
              <w:tc>
                <w:tcPr>
                  <w:tcW w:w="1416" w:type="dxa"/>
                  <w:gridSpan w:val="4"/>
                  <w:noWrap w:val="0"/>
                  <w:vAlign w:val="center"/>
                </w:tcPr>
                <w:p w14:paraId="76E1C96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废水</w:t>
                  </w:r>
                </w:p>
              </w:tc>
              <w:tc>
                <w:tcPr>
                  <w:tcW w:w="5474" w:type="dxa"/>
                  <w:noWrap w:val="0"/>
                  <w:vAlign w:val="center"/>
                </w:tcPr>
                <w:p w14:paraId="7B030A64">
                  <w:pPr>
                    <w:pStyle w:val="86"/>
                    <w:keepNext w:val="0"/>
                    <w:keepLines w:val="0"/>
                    <w:suppressLineNumbers w:val="0"/>
                    <w:bidi w:val="0"/>
                    <w:spacing w:before="0" w:beforeAutospacing="0" w:after="0" w:afterAutospacing="0"/>
                    <w:ind w:left="0" w:right="0"/>
                    <w:jc w:val="both"/>
                    <w:rPr>
                      <w:rFonts w:hint="eastAsia"/>
                      <w:color w:val="auto"/>
                      <w:sz w:val="22"/>
                      <w:szCs w:val="22"/>
                      <w:highlight w:val="none"/>
                      <w:lang w:eastAsia="zh-CN"/>
                    </w:rPr>
                  </w:pPr>
                  <w:r>
                    <w:rPr>
                      <w:rFonts w:hint="default"/>
                      <w:color w:val="auto"/>
                      <w:sz w:val="22"/>
                      <w:szCs w:val="22"/>
                      <w:highlight w:val="none"/>
                    </w:rPr>
                    <w:t>厂区西南侧设1</w:t>
                  </w:r>
                  <w:r>
                    <w:rPr>
                      <w:rFonts w:hint="eastAsia"/>
                      <w:color w:val="auto"/>
                      <w:sz w:val="22"/>
                      <w:szCs w:val="22"/>
                      <w:highlight w:val="none"/>
                      <w:lang w:val="en-US" w:eastAsia="zh-CN"/>
                    </w:rPr>
                    <w:t>座</w:t>
                  </w:r>
                  <w:r>
                    <w:rPr>
                      <w:rFonts w:hint="default"/>
                      <w:color w:val="auto"/>
                      <w:sz w:val="22"/>
                      <w:szCs w:val="22"/>
                      <w:highlight w:val="none"/>
                    </w:rPr>
                    <w:t>生化池（处理能力50m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val="en-US" w:eastAsia="zh-CN"/>
                    </w:rPr>
                    <w:t>厂区北侧设置1座“</w:t>
                  </w:r>
                  <w:r>
                    <w:rPr>
                      <w:rFonts w:hint="eastAsia"/>
                      <w:color w:val="auto"/>
                      <w:sz w:val="22"/>
                      <w:szCs w:val="22"/>
                      <w:highlight w:val="none"/>
                      <w:vertAlign w:val="baseline"/>
                      <w:lang w:val="en-US" w:eastAsia="zh-CN"/>
                    </w:rPr>
                    <w:t>酸碱中和+隔油”设备（</w:t>
                  </w:r>
                  <w:r>
                    <w:rPr>
                      <w:rFonts w:hint="default"/>
                      <w:color w:val="auto"/>
                      <w:sz w:val="22"/>
                      <w:szCs w:val="22"/>
                      <w:highlight w:val="none"/>
                    </w:rPr>
                    <w:t>处理能力</w:t>
                  </w:r>
                  <w:r>
                    <w:rPr>
                      <w:rFonts w:hint="eastAsia"/>
                      <w:color w:val="auto"/>
                      <w:sz w:val="22"/>
                      <w:szCs w:val="22"/>
                      <w:highlight w:val="none"/>
                      <w:lang w:val="en-US" w:eastAsia="zh-CN"/>
                    </w:rPr>
                    <w:t>2</w:t>
                  </w:r>
                  <w:r>
                    <w:rPr>
                      <w:rFonts w:hint="default"/>
                      <w:color w:val="auto"/>
                      <w:sz w:val="22"/>
                      <w:szCs w:val="22"/>
                      <w:highlight w:val="none"/>
                    </w:rPr>
                    <w:t>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vertAlign w:val="baseline"/>
                      <w:lang w:val="en-US" w:eastAsia="zh-CN"/>
                    </w:rPr>
                    <w:t>）、</w:t>
                  </w:r>
                  <w:r>
                    <w:rPr>
                      <w:rFonts w:hint="eastAsia"/>
                      <w:color w:val="auto"/>
                      <w:sz w:val="22"/>
                      <w:szCs w:val="22"/>
                      <w:highlight w:val="none"/>
                      <w:lang w:val="en-US" w:eastAsia="zh-CN"/>
                    </w:rPr>
                    <w:t>1座隔油池</w:t>
                  </w:r>
                  <w:r>
                    <w:rPr>
                      <w:rFonts w:hint="default"/>
                      <w:color w:val="auto"/>
                      <w:sz w:val="22"/>
                      <w:szCs w:val="22"/>
                      <w:highlight w:val="none"/>
                    </w:rPr>
                    <w:t>（处理能力10m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eastAsia="zh-CN"/>
                    </w:rPr>
                    <w:t>、</w:t>
                  </w:r>
                  <w:r>
                    <w:rPr>
                      <w:rFonts w:hint="eastAsia"/>
                      <w:color w:val="auto"/>
                      <w:sz w:val="22"/>
                      <w:szCs w:val="22"/>
                      <w:highlight w:val="none"/>
                      <w:lang w:val="en-US" w:eastAsia="zh-CN"/>
                    </w:rPr>
                    <w:t>1座生产废水预处理设施（处理能力0.1m</w:t>
                  </w:r>
                  <w:r>
                    <w:rPr>
                      <w:rFonts w:hint="eastAsia"/>
                      <w:color w:val="auto"/>
                      <w:sz w:val="22"/>
                      <w:szCs w:val="22"/>
                      <w:highlight w:val="none"/>
                      <w:vertAlign w:val="superscript"/>
                      <w:lang w:val="en-US" w:eastAsia="zh-CN"/>
                    </w:rPr>
                    <w:t>3</w:t>
                  </w:r>
                  <w:r>
                    <w:rPr>
                      <w:rFonts w:hint="eastAsia"/>
                      <w:color w:val="auto"/>
                      <w:sz w:val="22"/>
                      <w:szCs w:val="22"/>
                      <w:highlight w:val="none"/>
                      <w:lang w:val="en-US" w:eastAsia="zh-CN"/>
                    </w:rPr>
                    <w:t>/d）</w:t>
                  </w:r>
                  <w:r>
                    <w:rPr>
                      <w:rFonts w:hint="eastAsia"/>
                      <w:color w:val="auto"/>
                      <w:sz w:val="22"/>
                      <w:szCs w:val="22"/>
                      <w:highlight w:val="none"/>
                      <w:lang w:eastAsia="zh-CN"/>
                    </w:rPr>
                    <w:t>；</w:t>
                  </w:r>
                </w:p>
                <w:p w14:paraId="365D146C">
                  <w:pPr>
                    <w:pStyle w:val="86"/>
                    <w:keepNext w:val="0"/>
                    <w:keepLines w:val="0"/>
                    <w:numPr>
                      <w:ilvl w:val="0"/>
                      <w:numId w:val="0"/>
                    </w:numPr>
                    <w:suppressLineNumbers w:val="0"/>
                    <w:bidi w:val="0"/>
                    <w:spacing w:before="0" w:beforeAutospacing="0" w:after="0" w:afterAutospacing="0"/>
                    <w:ind w:left="0" w:leftChars="0" w:right="0" w:rightChars="0" w:firstLine="0" w:firstLineChars="0"/>
                    <w:jc w:val="both"/>
                    <w:rPr>
                      <w:rFonts w:hint="eastAsia"/>
                      <w:color w:val="auto"/>
                      <w:sz w:val="22"/>
                      <w:szCs w:val="22"/>
                      <w:highlight w:val="none"/>
                      <w:lang w:eastAsia="zh-CN"/>
                    </w:rPr>
                  </w:pPr>
                  <w:r>
                    <w:rPr>
                      <w:rFonts w:hint="eastAsia" w:ascii="Times New Roman" w:hAnsi="Times New Roman" w:eastAsia="宋体" w:cs="Times New Roman"/>
                      <w:color w:val="auto"/>
                      <w:kern w:val="0"/>
                      <w:sz w:val="22"/>
                      <w:szCs w:val="22"/>
                      <w:lang w:val="en-US" w:eastAsia="zh-CN" w:bidi="ar-SA"/>
                    </w:rPr>
                    <w:t>（1）</w:t>
                  </w:r>
                  <w:r>
                    <w:rPr>
                      <w:rFonts w:hint="eastAsia"/>
                      <w:color w:val="auto"/>
                      <w:sz w:val="22"/>
                      <w:szCs w:val="22"/>
                      <w:highlight w:val="none"/>
                      <w:lang w:eastAsia="zh-CN"/>
                    </w:rPr>
                    <w:t>近期，北渡园区污水处理厂未正式投运前，近期，喷淋废水经一套生产废水处理设施（收集池+混凝沉淀+厌氧+好氧+MBR+紫外消毒）预处理，其他生产废水经酸碱中和+隔油预处理，而后一起由重庆宁态环保科技有限公司拉运并处置；近期的食堂餐饮废水进入隔油池预处理后餐饮废水与员工生活污水、综合楼地面清洁废水一同进入生化池处理达《橡胶制品工业污染物排放标准》（GB27632-2011）的间接排放标准后（“动植物油”执行《污水综合排放标准》（GB8978-1996）三级标准），接入旗能电铝污水处理站（接纳证明详见附件11）处理达标后回用，不外排；</w:t>
                  </w:r>
                </w:p>
                <w:p w14:paraId="4065C689">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ascii="Times New Roman" w:hAnsi="Times New Roman" w:eastAsia="宋体" w:cs="Times New Roman"/>
                      <w:color w:val="auto"/>
                      <w:kern w:val="0"/>
                      <w:sz w:val="22"/>
                      <w:szCs w:val="22"/>
                      <w:lang w:val="en-US" w:eastAsia="zh-CN" w:bidi="ar-SA"/>
                    </w:rPr>
                    <w:t>（2）</w:t>
                  </w:r>
                  <w:r>
                    <w:rPr>
                      <w:rFonts w:hint="eastAsia"/>
                      <w:color w:val="auto"/>
                      <w:sz w:val="22"/>
                      <w:szCs w:val="22"/>
                      <w:highlight w:val="none"/>
                      <w:lang w:val="en-US" w:eastAsia="zh-CN"/>
                    </w:rPr>
                    <w:t>远期，北渡园区污水处理厂正式投运后，喷淋废水经一套生产废水处理设施（收集池+混凝沉淀+厌氧+好氧+MBR+紫外消毒）预处理，其他生产废水经酸碱中和+隔油预处理，而后一起经生产废水排放口排入园区污水处理厂；食堂含油废水一同隔油池处理后，而后同生活污水、综合楼地面清洁废水经生化池处理达参照执行的《橡胶制品工业污染物排放标准》（GB27632-2011）的间接排放标准（“动植物油”执行《污水综合排放标准》（GB8978-1996）三级标准）后，通过园区污水管网排入园区污水处理厂进一步处理达《城镇污水处理厂污染物排放标准》（GB18918-2002）一级B标后排入綦江河</w:t>
                  </w:r>
                  <w:r>
                    <w:rPr>
                      <w:rFonts w:hint="default"/>
                      <w:color w:val="auto"/>
                      <w:sz w:val="22"/>
                      <w:szCs w:val="22"/>
                      <w:highlight w:val="none"/>
                    </w:rPr>
                    <w:t>。</w:t>
                  </w:r>
                </w:p>
              </w:tc>
              <w:tc>
                <w:tcPr>
                  <w:tcW w:w="1585" w:type="dxa"/>
                  <w:noWrap w:val="0"/>
                  <w:vAlign w:val="center"/>
                </w:tcPr>
                <w:p w14:paraId="6D0490CE">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lang w:val="en-US" w:eastAsia="zh-CN"/>
                    </w:rPr>
                    <w:t>已建隔油池（处理能力10m</w:t>
                  </w:r>
                  <w:r>
                    <w:rPr>
                      <w:rFonts w:hint="eastAsia"/>
                      <w:color w:val="auto"/>
                      <w:highlight w:val="none"/>
                      <w:vertAlign w:val="superscript"/>
                      <w:lang w:val="en-US" w:eastAsia="zh-CN"/>
                    </w:rPr>
                    <w:t>3</w:t>
                  </w:r>
                  <w:r>
                    <w:rPr>
                      <w:rFonts w:hint="eastAsia"/>
                      <w:color w:val="auto"/>
                      <w:highlight w:val="none"/>
                      <w:lang w:val="en-US" w:eastAsia="zh-CN"/>
                    </w:rPr>
                    <w:t>/d）、生化池，拟新建1座“酸碱中和+隔油”设备、1座生产废水预处理设施。</w:t>
                  </w:r>
                </w:p>
              </w:tc>
            </w:tr>
            <w:tr w14:paraId="2B7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5C68A217">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vMerge w:val="restart"/>
                  <w:noWrap w:val="0"/>
                  <w:vAlign w:val="center"/>
                </w:tcPr>
                <w:p w14:paraId="51873A3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废气</w:t>
                  </w:r>
                </w:p>
              </w:tc>
              <w:tc>
                <w:tcPr>
                  <w:tcW w:w="5474" w:type="dxa"/>
                  <w:noWrap w:val="0"/>
                  <w:vAlign w:val="center"/>
                </w:tcPr>
                <w:p w14:paraId="473A5557">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rPr>
                    <w:t>①热熔</w:t>
                  </w:r>
                  <w:r>
                    <w:rPr>
                      <w:rFonts w:hint="eastAsia"/>
                      <w:color w:val="auto"/>
                      <w:highlight w:val="none"/>
                      <w:lang w:eastAsia="zh-CN"/>
                    </w:rPr>
                    <w:t>、</w:t>
                  </w:r>
                  <w:r>
                    <w:rPr>
                      <w:rFonts w:hint="eastAsia"/>
                      <w:color w:val="auto"/>
                      <w:highlight w:val="none"/>
                      <w:lang w:val="en-US" w:eastAsia="zh-CN"/>
                    </w:rPr>
                    <w:t>除渣废气</w:t>
                  </w:r>
                  <w:r>
                    <w:rPr>
                      <w:rFonts w:hint="eastAsia"/>
                      <w:color w:val="auto"/>
                      <w:highlight w:val="none"/>
                    </w:rPr>
                    <w:t>：集气罩收集经耐高温袋式除尘器处理后经2号厂房15m高</w:t>
                  </w:r>
                  <w:r>
                    <w:rPr>
                      <w:rFonts w:hint="eastAsia"/>
                      <w:color w:val="auto"/>
                      <w:highlight w:val="none"/>
                      <w:lang w:val="en-US" w:eastAsia="zh-CN"/>
                    </w:rPr>
                    <w:t>的</w:t>
                  </w:r>
                  <w:r>
                    <w:rPr>
                      <w:rFonts w:hint="eastAsia"/>
                      <w:color w:val="auto"/>
                      <w:highlight w:val="none"/>
                    </w:rPr>
                    <w:t>排气筒DA001</w:t>
                  </w:r>
                  <w:r>
                    <w:rPr>
                      <w:rFonts w:hint="eastAsia"/>
                      <w:color w:val="auto"/>
                      <w:highlight w:val="none"/>
                      <w:lang w:val="en-US" w:eastAsia="zh-CN"/>
                    </w:rPr>
                    <w:t>有组织</w:t>
                  </w:r>
                  <w:r>
                    <w:rPr>
                      <w:rFonts w:hint="eastAsia"/>
                      <w:color w:val="auto"/>
                      <w:highlight w:val="none"/>
                    </w:rPr>
                    <w:t>排放；</w:t>
                  </w:r>
                </w:p>
              </w:tc>
              <w:tc>
                <w:tcPr>
                  <w:tcW w:w="1585" w:type="dxa"/>
                  <w:noWrap w:val="0"/>
                  <w:vAlign w:val="center"/>
                </w:tcPr>
                <w:p w14:paraId="28BAE7B0">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已建，对集气罩进行改造，加大集气罩尺寸确保热熔、扒渣必要的收集效率和环境集烟需求</w:t>
                  </w:r>
                </w:p>
              </w:tc>
            </w:tr>
            <w:tr w14:paraId="7693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1A59E31C">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vMerge w:val="continue"/>
                  <w:noWrap w:val="0"/>
                  <w:vAlign w:val="center"/>
                </w:tcPr>
                <w:p w14:paraId="24B2718E">
                  <w:pPr>
                    <w:pStyle w:val="86"/>
                    <w:keepNext w:val="0"/>
                    <w:keepLines w:val="0"/>
                    <w:suppressLineNumbers w:val="0"/>
                    <w:bidi w:val="0"/>
                    <w:spacing w:before="0" w:beforeAutospacing="0" w:after="0" w:afterAutospacing="0"/>
                    <w:ind w:left="0" w:right="0"/>
                    <w:rPr>
                      <w:rFonts w:hint="default"/>
                      <w:color w:val="auto"/>
                      <w:highlight w:val="none"/>
                    </w:rPr>
                  </w:pPr>
                </w:p>
              </w:tc>
              <w:tc>
                <w:tcPr>
                  <w:tcW w:w="5474" w:type="dxa"/>
                  <w:noWrap w:val="0"/>
                  <w:vAlign w:val="center"/>
                </w:tcPr>
                <w:p w14:paraId="548DD384">
                  <w:pPr>
                    <w:pStyle w:val="86"/>
                    <w:keepNext w:val="0"/>
                    <w:keepLines w:val="0"/>
                    <w:suppressLineNumbers w:val="0"/>
                    <w:bidi w:val="0"/>
                    <w:spacing w:before="0" w:beforeAutospacing="0" w:after="0" w:afterAutospacing="0"/>
                    <w:ind w:left="0" w:right="0"/>
                    <w:jc w:val="both"/>
                    <w:rPr>
                      <w:rFonts w:hint="eastAsia"/>
                      <w:color w:val="auto"/>
                      <w:highlight w:val="none"/>
                    </w:rPr>
                  </w:pPr>
                  <w:r>
                    <w:rPr>
                      <w:rFonts w:hint="eastAsia"/>
                      <w:color w:val="auto"/>
                      <w:highlight w:val="none"/>
                    </w:rPr>
                    <w:t>②压铸脱模产生的有机废气（以非甲烷总烃计）进入1套“</w:t>
                  </w:r>
                  <w:r>
                    <w:rPr>
                      <w:rFonts w:hint="eastAsia"/>
                      <w:color w:val="auto"/>
                      <w:highlight w:val="none"/>
                      <w:lang w:val="en-US" w:eastAsia="zh-CN"/>
                    </w:rPr>
                    <w:t>过滤棉</w:t>
                  </w:r>
                  <w:r>
                    <w:rPr>
                      <w:rFonts w:hint="eastAsia"/>
                      <w:color w:val="auto"/>
                      <w:lang w:val="en-US" w:eastAsia="zh-CN"/>
                    </w:rPr>
                    <w:t>+除湿装置+</w:t>
                  </w:r>
                  <w:r>
                    <w:rPr>
                      <w:rFonts w:hint="eastAsia"/>
                      <w:color w:val="auto"/>
                      <w:highlight w:val="none"/>
                    </w:rPr>
                    <w:t>两级活性炭吸附”处理，热压和固化产生的有机废气进入1套“干式过滤+两级活性炭吸附”装置处理，浸胶废气（主要成分为乙醇，以非甲烷总烃计）进入一套水喷淋塔处理，上述有机废气经处理后汇集经1根15m高的排气筒DA002有组织排放；</w:t>
                  </w:r>
                </w:p>
              </w:tc>
              <w:tc>
                <w:tcPr>
                  <w:tcW w:w="1585" w:type="dxa"/>
                  <w:noWrap w:val="0"/>
                  <w:vAlign w:val="center"/>
                </w:tcPr>
                <w:p w14:paraId="3EC1820A">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已建，未考虑活性炭箱前除湿措施，纳入本次整改要求</w:t>
                  </w:r>
                </w:p>
              </w:tc>
            </w:tr>
            <w:tr w14:paraId="055D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394007FC">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vMerge w:val="continue"/>
                  <w:noWrap w:val="0"/>
                  <w:vAlign w:val="center"/>
                </w:tcPr>
                <w:p w14:paraId="14A6DC29">
                  <w:pPr>
                    <w:pStyle w:val="86"/>
                    <w:keepNext w:val="0"/>
                    <w:keepLines w:val="0"/>
                    <w:suppressLineNumbers w:val="0"/>
                    <w:bidi w:val="0"/>
                    <w:spacing w:before="0" w:beforeAutospacing="0" w:after="0" w:afterAutospacing="0"/>
                    <w:ind w:left="0" w:right="0"/>
                    <w:rPr>
                      <w:rFonts w:hint="default"/>
                      <w:color w:val="auto"/>
                      <w:highlight w:val="none"/>
                    </w:rPr>
                  </w:pPr>
                </w:p>
              </w:tc>
              <w:tc>
                <w:tcPr>
                  <w:tcW w:w="5474" w:type="dxa"/>
                  <w:noWrap w:val="0"/>
                  <w:vAlign w:val="center"/>
                </w:tcPr>
                <w:p w14:paraId="6FE0D10E">
                  <w:pPr>
                    <w:pStyle w:val="86"/>
                    <w:keepNext w:val="0"/>
                    <w:keepLines w:val="0"/>
                    <w:suppressLineNumbers w:val="0"/>
                    <w:bidi w:val="0"/>
                    <w:spacing w:before="0" w:beforeAutospacing="0" w:after="0" w:afterAutospacing="0"/>
                    <w:ind w:left="0" w:right="0"/>
                    <w:jc w:val="both"/>
                    <w:rPr>
                      <w:rFonts w:hint="eastAsia"/>
                      <w:color w:val="auto"/>
                      <w:highlight w:val="none"/>
                    </w:rPr>
                  </w:pPr>
                  <w:r>
                    <w:rPr>
                      <w:rFonts w:hint="eastAsia"/>
                      <w:color w:val="auto"/>
                      <w:highlight w:val="none"/>
                    </w:rPr>
                    <w:t>③抛丸、磨加工粉尘：</w:t>
                  </w:r>
                  <w:r>
                    <w:rPr>
                      <w:rFonts w:hint="eastAsia"/>
                      <w:color w:val="auto"/>
                      <w:highlight w:val="none"/>
                      <w:lang w:val="en-US" w:eastAsia="zh-CN"/>
                    </w:rPr>
                    <w:t>4</w:t>
                  </w:r>
                  <w:r>
                    <w:rPr>
                      <w:rFonts w:hint="eastAsia"/>
                      <w:color w:val="auto"/>
                      <w:highlight w:val="none"/>
                    </w:rPr>
                    <w:t>台抛丸机经设备自带的</w:t>
                  </w:r>
                  <w:r>
                    <w:rPr>
                      <w:rFonts w:hint="eastAsia"/>
                      <w:color w:val="auto"/>
                      <w:highlight w:val="none"/>
                      <w:lang w:val="en-US" w:eastAsia="zh-CN"/>
                    </w:rPr>
                    <w:t>4</w:t>
                  </w:r>
                  <w:r>
                    <w:rPr>
                      <w:rFonts w:hint="eastAsia"/>
                      <w:color w:val="auto"/>
                      <w:highlight w:val="none"/>
                    </w:rPr>
                    <w:t>套“旋风+滤筒”</w:t>
                  </w:r>
                  <w:r>
                    <w:rPr>
                      <w:rFonts w:hint="eastAsia"/>
                      <w:color w:val="auto"/>
                      <w:highlight w:val="none"/>
                      <w:lang w:val="en-US" w:eastAsia="zh-CN"/>
                    </w:rPr>
                    <w:t>防爆</w:t>
                  </w:r>
                  <w:r>
                    <w:rPr>
                      <w:rFonts w:hint="eastAsia"/>
                      <w:color w:val="auto"/>
                      <w:highlight w:val="none"/>
                    </w:rPr>
                    <w:t>除尘系统处理后经1根15m高的排气筒DA003有组织排放，其余1台抛丸机、其他磨加工设备产生的粉尘一起进入一套袋式</w:t>
                  </w:r>
                  <w:r>
                    <w:rPr>
                      <w:rFonts w:hint="eastAsia"/>
                      <w:color w:val="auto"/>
                      <w:highlight w:val="none"/>
                      <w:lang w:val="en-US" w:eastAsia="zh-CN"/>
                    </w:rPr>
                    <w:t>防爆</w:t>
                  </w:r>
                  <w:r>
                    <w:rPr>
                      <w:rFonts w:hint="eastAsia"/>
                      <w:color w:val="auto"/>
                      <w:highlight w:val="none"/>
                    </w:rPr>
                    <w:t>除尘系统（编号为2#）处理后经1根15m高的排气筒DA003有组织排放，另外一台磨加工设备产生的粉尘经单独的一套</w:t>
                  </w:r>
                  <w:r>
                    <w:rPr>
                      <w:rFonts w:hint="eastAsia"/>
                      <w:color w:val="auto"/>
                      <w:highlight w:val="none"/>
                      <w:lang w:val="en-US" w:eastAsia="zh-CN"/>
                    </w:rPr>
                    <w:t>防爆</w:t>
                  </w:r>
                  <w:r>
                    <w:rPr>
                      <w:rFonts w:hint="eastAsia"/>
                      <w:color w:val="auto"/>
                      <w:highlight w:val="none"/>
                    </w:rPr>
                    <w:t>袋式除尘系统（编号为1#）处理后接入排气筒DA003有组织排放。</w:t>
                  </w:r>
                </w:p>
              </w:tc>
              <w:tc>
                <w:tcPr>
                  <w:tcW w:w="1585" w:type="dxa"/>
                  <w:noWrap w:val="0"/>
                  <w:vAlign w:val="center"/>
                </w:tcPr>
                <w:p w14:paraId="2ADF521D">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已建，本次要求对除尘系统进行防爆改造</w:t>
                  </w:r>
                </w:p>
              </w:tc>
            </w:tr>
            <w:tr w14:paraId="6B74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451EB6D6">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vMerge w:val="continue"/>
                  <w:noWrap w:val="0"/>
                  <w:vAlign w:val="center"/>
                </w:tcPr>
                <w:p w14:paraId="65E397D7">
                  <w:pPr>
                    <w:pStyle w:val="86"/>
                    <w:keepNext w:val="0"/>
                    <w:keepLines w:val="0"/>
                    <w:suppressLineNumbers w:val="0"/>
                    <w:bidi w:val="0"/>
                    <w:spacing w:before="0" w:beforeAutospacing="0" w:after="0" w:afterAutospacing="0"/>
                    <w:ind w:left="0" w:right="0"/>
                    <w:rPr>
                      <w:rFonts w:hint="default"/>
                      <w:color w:val="auto"/>
                      <w:highlight w:val="none"/>
                    </w:rPr>
                  </w:pPr>
                </w:p>
              </w:tc>
              <w:tc>
                <w:tcPr>
                  <w:tcW w:w="5474" w:type="dxa"/>
                  <w:noWrap w:val="0"/>
                  <w:vAlign w:val="center"/>
                </w:tcPr>
                <w:p w14:paraId="69055120">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 4 \* GB3 \* MERGEFORMAT </w:instrText>
                  </w:r>
                  <w:r>
                    <w:rPr>
                      <w:rFonts w:hint="eastAsia"/>
                      <w:color w:val="auto"/>
                      <w:highlight w:val="none"/>
                    </w:rPr>
                    <w:fldChar w:fldCharType="separate"/>
                  </w:r>
                  <w:r>
                    <w:rPr>
                      <w:rFonts w:hint="default"/>
                      <w:color w:val="auto"/>
                      <w:highlight w:val="none"/>
                    </w:rPr>
                    <w:t>④</w:t>
                  </w:r>
                  <w:r>
                    <w:rPr>
                      <w:rFonts w:hint="eastAsia"/>
                      <w:color w:val="auto"/>
                      <w:highlight w:val="none"/>
                    </w:rPr>
                    <w:fldChar w:fldCharType="end"/>
                  </w:r>
                  <w:r>
                    <w:rPr>
                      <w:rFonts w:hint="eastAsia"/>
                      <w:color w:val="auto"/>
                      <w:highlight w:val="none"/>
                      <w:lang w:val="en-US" w:eastAsia="zh-CN"/>
                    </w:rPr>
                    <w:t>搅拌机、挤压机产生的废气设置集气罩收集，废气收集后进入一套“滤筒除尘+两级活性炭吸附”系统处理后，接入1根15m高的排气筒DA004有组织排放。</w:t>
                  </w:r>
                </w:p>
              </w:tc>
              <w:tc>
                <w:tcPr>
                  <w:tcW w:w="1585" w:type="dxa"/>
                  <w:noWrap w:val="0"/>
                  <w:vAlign w:val="center"/>
                </w:tcPr>
                <w:p w14:paraId="7473BF05">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已建，为原设备（UV+单级活性炭）搬迁至本厂区，本次提出措施整改要求</w:t>
                  </w:r>
                </w:p>
              </w:tc>
            </w:tr>
            <w:tr w14:paraId="45BB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8" w:type="dxa"/>
                  <w:vMerge w:val="continue"/>
                  <w:noWrap w:val="0"/>
                  <w:vAlign w:val="center"/>
                </w:tcPr>
                <w:p w14:paraId="6B2F1D48">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vMerge w:val="continue"/>
                  <w:noWrap w:val="0"/>
                  <w:vAlign w:val="center"/>
                </w:tcPr>
                <w:p w14:paraId="536D0DCE">
                  <w:pPr>
                    <w:pStyle w:val="86"/>
                    <w:keepNext w:val="0"/>
                    <w:keepLines w:val="0"/>
                    <w:suppressLineNumbers w:val="0"/>
                    <w:bidi w:val="0"/>
                    <w:spacing w:before="0" w:beforeAutospacing="0" w:after="0" w:afterAutospacing="0"/>
                    <w:ind w:left="0" w:right="0"/>
                    <w:rPr>
                      <w:rFonts w:hint="default"/>
                      <w:color w:val="auto"/>
                      <w:highlight w:val="none"/>
                    </w:rPr>
                  </w:pPr>
                </w:p>
              </w:tc>
              <w:tc>
                <w:tcPr>
                  <w:tcW w:w="5474" w:type="dxa"/>
                  <w:noWrap w:val="0"/>
                  <w:vAlign w:val="center"/>
                </w:tcPr>
                <w:p w14:paraId="059CBD78">
                  <w:pPr>
                    <w:pStyle w:val="86"/>
                    <w:keepNext w:val="0"/>
                    <w:keepLines w:val="0"/>
                    <w:suppressLineNumbers w:val="0"/>
                    <w:bidi w:val="0"/>
                    <w:spacing w:before="0" w:beforeAutospacing="0" w:after="0" w:afterAutospacing="0"/>
                    <w:ind w:left="0" w:right="0"/>
                    <w:jc w:val="both"/>
                    <w:rPr>
                      <w:rFonts w:hint="eastAsia"/>
                      <w:color w:val="auto"/>
                      <w:highlight w:val="none"/>
                    </w:rPr>
                  </w:pPr>
                  <w:r>
                    <w:rPr>
                      <w:rFonts w:hint="eastAsia"/>
                      <w:color w:val="auto"/>
                      <w:highlight w:val="none"/>
                    </w:rPr>
                    <w:fldChar w:fldCharType="begin"/>
                  </w:r>
                  <w:r>
                    <w:rPr>
                      <w:rFonts w:hint="eastAsia"/>
                      <w:color w:val="auto"/>
                      <w:highlight w:val="none"/>
                    </w:rPr>
                    <w:instrText xml:space="preserve"> = 5 \* GB3 \* MERGEFORMAT </w:instrText>
                  </w:r>
                  <w:r>
                    <w:rPr>
                      <w:rFonts w:hint="eastAsia"/>
                      <w:color w:val="auto"/>
                      <w:highlight w:val="none"/>
                    </w:rPr>
                    <w:fldChar w:fldCharType="separate"/>
                  </w:r>
                  <w:r>
                    <w:rPr>
                      <w:rFonts w:hint="default"/>
                      <w:color w:val="auto"/>
                      <w:highlight w:val="none"/>
                    </w:rPr>
                    <w:t>⑤</w:t>
                  </w:r>
                  <w:r>
                    <w:rPr>
                      <w:rFonts w:hint="eastAsia"/>
                      <w:color w:val="auto"/>
                      <w:highlight w:val="none"/>
                    </w:rPr>
                    <w:fldChar w:fldCharType="end"/>
                  </w:r>
                  <w:r>
                    <w:rPr>
                      <w:rFonts w:hint="default"/>
                      <w:color w:val="auto"/>
                      <w:highlight w:val="none"/>
                    </w:rPr>
                    <w:t>食堂油烟经油烟净化器引至综合楼楼顶5#专用排烟管</w:t>
                  </w:r>
                  <w:r>
                    <w:rPr>
                      <w:rFonts w:hint="eastAsia"/>
                      <w:color w:val="auto"/>
                      <w:highlight w:val="none"/>
                      <w:lang w:val="en-US" w:eastAsia="zh-CN"/>
                    </w:rPr>
                    <w:t>排放</w:t>
                  </w:r>
                  <w:r>
                    <w:rPr>
                      <w:rFonts w:hint="default"/>
                      <w:color w:val="auto"/>
                      <w:highlight w:val="none"/>
                    </w:rPr>
                    <w:t>。</w:t>
                  </w:r>
                </w:p>
              </w:tc>
              <w:tc>
                <w:tcPr>
                  <w:tcW w:w="1585" w:type="dxa"/>
                  <w:noWrap w:val="0"/>
                  <w:vAlign w:val="center"/>
                </w:tcPr>
                <w:p w14:paraId="475C2D9C">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未建设，本次新建</w:t>
                  </w:r>
                </w:p>
              </w:tc>
            </w:tr>
            <w:tr w14:paraId="16A4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今天想做个好人" w:date="2025-11-30T21:40:2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90" w:hRule="atLeast"/>
                <w:trPrChange w:id="1" w:author="今天想做个好人" w:date="2025-11-30T21:40:20Z">
                  <w:trPr>
                    <w:gridAfter w:val="1"/>
                    <w:wAfter w:w="1" w:type="dxa"/>
                    <w:trHeight w:val="197" w:hRule="atLeast"/>
                  </w:trPr>
                </w:trPrChange>
              </w:trPr>
              <w:tc>
                <w:tcPr>
                  <w:tcW w:w="678" w:type="dxa"/>
                  <w:vMerge w:val="continue"/>
                  <w:noWrap w:val="0"/>
                  <w:vAlign w:val="center"/>
                  <w:tcPrChange w:id="2" w:author="今天想做个好人" w:date="2025-11-30T21:40:20Z">
                    <w:tcPr>
                      <w:tcW w:w="678" w:type="dxa"/>
                      <w:vMerge w:val="continue"/>
                      <w:noWrap w:val="0"/>
                      <w:vAlign w:val="center"/>
                    </w:tcPr>
                  </w:tcPrChange>
                </w:tcPr>
                <w:p w14:paraId="336D360B">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vMerge w:val="continue"/>
                  <w:noWrap w:val="0"/>
                  <w:vAlign w:val="center"/>
                  <w:tcPrChange w:id="3" w:author="今天想做个好人" w:date="2025-11-30T21:40:20Z">
                    <w:tcPr>
                      <w:tcW w:w="1416" w:type="dxa"/>
                      <w:gridSpan w:val="4"/>
                      <w:vMerge w:val="continue"/>
                      <w:noWrap w:val="0"/>
                      <w:vAlign w:val="center"/>
                    </w:tcPr>
                  </w:tcPrChange>
                </w:tcPr>
                <w:p w14:paraId="28D15976">
                  <w:pPr>
                    <w:pStyle w:val="86"/>
                    <w:keepNext w:val="0"/>
                    <w:keepLines w:val="0"/>
                    <w:suppressLineNumbers w:val="0"/>
                    <w:bidi w:val="0"/>
                    <w:spacing w:before="0" w:beforeAutospacing="0" w:after="0" w:afterAutospacing="0"/>
                    <w:ind w:left="0" w:right="0"/>
                    <w:rPr>
                      <w:rFonts w:hint="default"/>
                      <w:color w:val="auto"/>
                      <w:highlight w:val="none"/>
                    </w:rPr>
                  </w:pPr>
                </w:p>
              </w:tc>
              <w:tc>
                <w:tcPr>
                  <w:tcW w:w="5474" w:type="dxa"/>
                  <w:noWrap w:val="0"/>
                  <w:vAlign w:val="center"/>
                  <w:tcPrChange w:id="4" w:author="今天想做个好人" w:date="2025-11-30T21:40:20Z">
                    <w:tcPr>
                      <w:tcW w:w="5474" w:type="dxa"/>
                      <w:noWrap w:val="0"/>
                      <w:vAlign w:val="center"/>
                    </w:tcPr>
                  </w:tcPrChange>
                </w:tcPr>
                <w:p w14:paraId="5BD009FA">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 6 \* GB3 \* MERGEFORMAT </w:instrText>
                  </w:r>
                  <w:r>
                    <w:rPr>
                      <w:rFonts w:hint="eastAsia"/>
                      <w:color w:val="auto"/>
                      <w:highlight w:val="none"/>
                    </w:rPr>
                    <w:fldChar w:fldCharType="separate"/>
                  </w:r>
                  <w:r>
                    <w:rPr>
                      <w:rFonts w:hint="default"/>
                      <w:color w:val="auto"/>
                    </w:rPr>
                    <w:t>⑥</w:t>
                  </w:r>
                  <w:r>
                    <w:rPr>
                      <w:rFonts w:hint="eastAsia"/>
                      <w:color w:val="auto"/>
                      <w:highlight w:val="none"/>
                    </w:rPr>
                    <w:fldChar w:fldCharType="end"/>
                  </w:r>
                  <w:r>
                    <w:rPr>
                      <w:rFonts w:hint="eastAsia"/>
                      <w:color w:val="auto"/>
                      <w:highlight w:val="none"/>
                      <w:lang w:val="en-US" w:eastAsia="zh-CN"/>
                    </w:rPr>
                    <w:t>2间危险废物贮存库设置整体抽气后进入1套“G4板式过滤器+两级活性炭”装置，处理后经1根15m高的排气筒DA005有组织排放。</w:t>
                  </w:r>
                </w:p>
              </w:tc>
              <w:tc>
                <w:tcPr>
                  <w:tcW w:w="1585" w:type="dxa"/>
                  <w:noWrap w:val="0"/>
                  <w:vAlign w:val="center"/>
                  <w:tcPrChange w:id="5" w:author="今天想做个好人" w:date="2025-11-30T21:40:20Z">
                    <w:tcPr>
                      <w:tcW w:w="1585" w:type="dxa"/>
                      <w:gridSpan w:val="2"/>
                      <w:noWrap w:val="0"/>
                      <w:vAlign w:val="center"/>
                    </w:tcPr>
                  </w:tcPrChange>
                </w:tcPr>
                <w:p w14:paraId="2CF730EB">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未建设</w:t>
                  </w:r>
                </w:p>
              </w:tc>
            </w:tr>
            <w:tr w14:paraId="12C7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5521DF9A">
                  <w:pPr>
                    <w:pStyle w:val="86"/>
                    <w:keepNext w:val="0"/>
                    <w:keepLines w:val="0"/>
                    <w:suppressLineNumbers w:val="0"/>
                    <w:bidi w:val="0"/>
                    <w:spacing w:before="0" w:beforeAutospacing="0" w:after="0" w:afterAutospacing="0"/>
                    <w:ind w:left="0" w:right="0"/>
                    <w:rPr>
                      <w:rFonts w:hint="default"/>
                      <w:color w:val="auto"/>
                      <w:highlight w:val="none"/>
                    </w:rPr>
                  </w:pPr>
                </w:p>
              </w:tc>
              <w:tc>
                <w:tcPr>
                  <w:tcW w:w="665" w:type="dxa"/>
                  <w:gridSpan w:val="2"/>
                  <w:vMerge w:val="restart"/>
                  <w:noWrap w:val="0"/>
                  <w:vAlign w:val="center"/>
                </w:tcPr>
                <w:p w14:paraId="2BA4BF4F">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固废</w:t>
                  </w:r>
                  <w:r>
                    <w:rPr>
                      <w:rFonts w:hint="eastAsia"/>
                      <w:color w:val="auto"/>
                      <w:highlight w:val="none"/>
                      <w:lang w:val="en-US" w:eastAsia="zh-CN"/>
                    </w:rPr>
                    <w:t>收集贮存设施</w:t>
                  </w:r>
                </w:p>
              </w:tc>
              <w:tc>
                <w:tcPr>
                  <w:tcW w:w="751" w:type="dxa"/>
                  <w:gridSpan w:val="2"/>
                  <w:noWrap w:val="0"/>
                  <w:vAlign w:val="center"/>
                </w:tcPr>
                <w:p w14:paraId="6AF111E8">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生活垃圾</w:t>
                  </w:r>
                  <w:r>
                    <w:rPr>
                      <w:rFonts w:hint="eastAsia"/>
                      <w:color w:val="auto"/>
                      <w:highlight w:val="none"/>
                      <w:lang w:val="en-US" w:eastAsia="zh-CN"/>
                    </w:rPr>
                    <w:t>收集设施</w:t>
                  </w:r>
                </w:p>
              </w:tc>
              <w:tc>
                <w:tcPr>
                  <w:tcW w:w="5474" w:type="dxa"/>
                  <w:noWrap w:val="0"/>
                  <w:vAlign w:val="center"/>
                </w:tcPr>
                <w:p w14:paraId="197664B7">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设置</w:t>
                  </w:r>
                  <w:r>
                    <w:rPr>
                      <w:rFonts w:hint="default"/>
                      <w:color w:val="auto"/>
                      <w:highlight w:val="none"/>
                    </w:rPr>
                    <w:t>生活垃圾分类收集桶，定期交由环卫部门收集处理。</w:t>
                  </w:r>
                </w:p>
              </w:tc>
              <w:tc>
                <w:tcPr>
                  <w:tcW w:w="1585" w:type="dxa"/>
                  <w:noWrap w:val="0"/>
                  <w:vAlign w:val="center"/>
                </w:tcPr>
                <w:p w14:paraId="3E0C0357">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已建</w:t>
                  </w:r>
                </w:p>
              </w:tc>
            </w:tr>
            <w:tr w14:paraId="0BED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8" w:type="dxa"/>
                  <w:vMerge w:val="continue"/>
                  <w:noWrap w:val="0"/>
                  <w:vAlign w:val="center"/>
                </w:tcPr>
                <w:p w14:paraId="69E64F6B">
                  <w:pPr>
                    <w:pStyle w:val="86"/>
                    <w:keepNext w:val="0"/>
                    <w:keepLines w:val="0"/>
                    <w:suppressLineNumbers w:val="0"/>
                    <w:bidi w:val="0"/>
                    <w:spacing w:before="0" w:beforeAutospacing="0" w:after="0" w:afterAutospacing="0"/>
                    <w:ind w:left="0" w:right="0"/>
                    <w:rPr>
                      <w:rFonts w:hint="default"/>
                      <w:color w:val="auto"/>
                      <w:highlight w:val="none"/>
                    </w:rPr>
                  </w:pPr>
                </w:p>
              </w:tc>
              <w:tc>
                <w:tcPr>
                  <w:tcW w:w="665" w:type="dxa"/>
                  <w:gridSpan w:val="2"/>
                  <w:vMerge w:val="continue"/>
                  <w:noWrap w:val="0"/>
                  <w:vAlign w:val="center"/>
                </w:tcPr>
                <w:p w14:paraId="5B3103BD">
                  <w:pPr>
                    <w:pStyle w:val="86"/>
                    <w:keepNext w:val="0"/>
                    <w:keepLines w:val="0"/>
                    <w:suppressLineNumbers w:val="0"/>
                    <w:bidi w:val="0"/>
                    <w:spacing w:before="0" w:beforeAutospacing="0" w:after="0" w:afterAutospacing="0"/>
                    <w:ind w:left="0" w:right="0"/>
                    <w:rPr>
                      <w:rFonts w:hint="default"/>
                      <w:color w:val="auto"/>
                      <w:highlight w:val="none"/>
                    </w:rPr>
                  </w:pPr>
                </w:p>
              </w:tc>
              <w:tc>
                <w:tcPr>
                  <w:tcW w:w="751" w:type="dxa"/>
                  <w:gridSpan w:val="2"/>
                  <w:noWrap w:val="0"/>
                  <w:vAlign w:val="center"/>
                </w:tcPr>
                <w:p w14:paraId="6CFC41E2">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一般固废</w:t>
                  </w:r>
                  <w:r>
                    <w:rPr>
                      <w:rFonts w:hint="eastAsia"/>
                      <w:color w:val="auto"/>
                      <w:highlight w:val="none"/>
                      <w:lang w:val="en-US" w:eastAsia="zh-CN"/>
                    </w:rPr>
                    <w:t>贮存设施</w:t>
                  </w:r>
                </w:p>
              </w:tc>
              <w:tc>
                <w:tcPr>
                  <w:tcW w:w="5474" w:type="dxa"/>
                  <w:noWrap w:val="0"/>
                  <w:vAlign w:val="center"/>
                </w:tcPr>
                <w:p w14:paraId="57EE1D5B">
                  <w:pPr>
                    <w:pStyle w:val="86"/>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default"/>
                      <w:color w:val="auto"/>
                      <w:highlight w:val="none"/>
                    </w:rPr>
                    <w:t>在厂区西南侧独立房间内设置一般固废暂存间，面积约</w:t>
                  </w:r>
                  <w:r>
                    <w:rPr>
                      <w:rFonts w:hint="eastAsia"/>
                      <w:color w:val="auto"/>
                      <w:highlight w:val="none"/>
                      <w:lang w:val="en-US" w:eastAsia="zh-CN"/>
                    </w:rPr>
                    <w:t>32</w:t>
                  </w:r>
                  <w:r>
                    <w:rPr>
                      <w:rFonts w:hint="default"/>
                      <w:color w:val="auto"/>
                      <w:highlight w:val="none"/>
                    </w:rPr>
                    <w:t>m</w:t>
                  </w:r>
                  <w:r>
                    <w:rPr>
                      <w:rFonts w:hint="default"/>
                      <w:color w:val="auto"/>
                      <w:highlight w:val="none"/>
                      <w:vertAlign w:val="superscript"/>
                    </w:rPr>
                    <w:t>2</w:t>
                  </w:r>
                  <w:r>
                    <w:rPr>
                      <w:rFonts w:hint="default"/>
                      <w:color w:val="auto"/>
                      <w:highlight w:val="none"/>
                    </w:rPr>
                    <w:t>，一般固废分类堆放，做好相应的暂存物标识，满足防渗漏、防雨淋、防扬尘等环境保护要求。</w:t>
                  </w:r>
                </w:p>
              </w:tc>
              <w:tc>
                <w:tcPr>
                  <w:tcW w:w="1585" w:type="dxa"/>
                  <w:noWrap w:val="0"/>
                  <w:vAlign w:val="center"/>
                </w:tcPr>
                <w:p w14:paraId="39919385">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w:t>
                  </w:r>
                </w:p>
              </w:tc>
            </w:tr>
            <w:tr w14:paraId="461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78" w:type="dxa"/>
                  <w:vMerge w:val="continue"/>
                  <w:noWrap w:val="0"/>
                  <w:vAlign w:val="center"/>
                </w:tcPr>
                <w:p w14:paraId="313687BA">
                  <w:pPr>
                    <w:pStyle w:val="86"/>
                    <w:keepNext w:val="0"/>
                    <w:keepLines w:val="0"/>
                    <w:suppressLineNumbers w:val="0"/>
                    <w:bidi w:val="0"/>
                    <w:spacing w:before="0" w:beforeAutospacing="0" w:after="0" w:afterAutospacing="0"/>
                    <w:ind w:left="0" w:right="0"/>
                    <w:rPr>
                      <w:rFonts w:hint="default"/>
                      <w:color w:val="auto"/>
                      <w:highlight w:val="none"/>
                    </w:rPr>
                  </w:pPr>
                </w:p>
              </w:tc>
              <w:tc>
                <w:tcPr>
                  <w:tcW w:w="665" w:type="dxa"/>
                  <w:gridSpan w:val="2"/>
                  <w:vMerge w:val="continue"/>
                  <w:noWrap w:val="0"/>
                  <w:vAlign w:val="center"/>
                </w:tcPr>
                <w:p w14:paraId="5ED6C7CC">
                  <w:pPr>
                    <w:pStyle w:val="86"/>
                    <w:keepNext w:val="0"/>
                    <w:keepLines w:val="0"/>
                    <w:suppressLineNumbers w:val="0"/>
                    <w:bidi w:val="0"/>
                    <w:spacing w:before="0" w:beforeAutospacing="0" w:after="0" w:afterAutospacing="0"/>
                    <w:ind w:left="0" w:right="0"/>
                    <w:rPr>
                      <w:rFonts w:hint="default"/>
                      <w:color w:val="auto"/>
                      <w:highlight w:val="none"/>
                    </w:rPr>
                  </w:pPr>
                </w:p>
              </w:tc>
              <w:tc>
                <w:tcPr>
                  <w:tcW w:w="751" w:type="dxa"/>
                  <w:gridSpan w:val="2"/>
                  <w:noWrap w:val="0"/>
                  <w:vAlign w:val="center"/>
                </w:tcPr>
                <w:p w14:paraId="450EA687">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危险废物</w:t>
                  </w:r>
                  <w:r>
                    <w:rPr>
                      <w:rFonts w:hint="eastAsia"/>
                      <w:color w:val="auto"/>
                      <w:highlight w:val="none"/>
                      <w:lang w:val="en-US" w:eastAsia="zh-CN"/>
                    </w:rPr>
                    <w:t>贮存设施</w:t>
                  </w:r>
                </w:p>
              </w:tc>
              <w:tc>
                <w:tcPr>
                  <w:tcW w:w="5474" w:type="dxa"/>
                  <w:noWrap w:val="0"/>
                  <w:vAlign w:val="center"/>
                </w:tcPr>
                <w:p w14:paraId="1D4F0130">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设置在厂区西南侧，2座危废贮存</w:t>
                  </w:r>
                  <w:r>
                    <w:rPr>
                      <w:rFonts w:hint="eastAsia"/>
                      <w:color w:val="auto"/>
                      <w:highlight w:val="none"/>
                      <w:lang w:val="en-US" w:eastAsia="zh-CN"/>
                    </w:rPr>
                    <w:t>库</w:t>
                  </w:r>
                  <w:r>
                    <w:rPr>
                      <w:rFonts w:hint="default"/>
                      <w:color w:val="auto"/>
                      <w:highlight w:val="none"/>
                    </w:rPr>
                    <w:t>（面积均约32m</w:t>
                  </w:r>
                  <w:r>
                    <w:rPr>
                      <w:rFonts w:hint="default"/>
                      <w:color w:val="auto"/>
                      <w:highlight w:val="none"/>
                      <w:vertAlign w:val="superscript"/>
                    </w:rPr>
                    <w:t>2</w:t>
                  </w:r>
                  <w:r>
                    <w:rPr>
                      <w:rFonts w:hint="default"/>
                      <w:color w:val="auto"/>
                      <w:highlight w:val="none"/>
                    </w:rPr>
                    <w:t>），按照《危险废物贮存污染控制标准》（GB18597-2023）中“危险废物贮存</w:t>
                  </w:r>
                  <w:r>
                    <w:rPr>
                      <w:rFonts w:hint="eastAsia"/>
                      <w:color w:val="auto"/>
                      <w:highlight w:val="none"/>
                      <w:lang w:val="en-US" w:eastAsia="zh-CN"/>
                    </w:rPr>
                    <w:t>库</w:t>
                  </w:r>
                  <w:r>
                    <w:rPr>
                      <w:rFonts w:hint="default"/>
                      <w:color w:val="auto"/>
                      <w:highlight w:val="none"/>
                    </w:rPr>
                    <w:t>”的相关要求建设，按照《危险废物贮存污染控制标准》（GB18597-2023）的相关要求完善相关措施，满足防风、防晒、防雨、防漏、防渗、防腐以及其他环境污染防治措施</w:t>
                  </w:r>
                  <w:r>
                    <w:rPr>
                      <w:rFonts w:hint="eastAsia"/>
                      <w:color w:val="auto"/>
                      <w:highlight w:val="none"/>
                      <w:lang w:eastAsia="zh-CN"/>
                    </w:rPr>
                    <w:t>，</w:t>
                  </w:r>
                  <w:r>
                    <w:rPr>
                      <w:rFonts w:hint="default"/>
                      <w:color w:val="auto"/>
                      <w:highlight w:val="none"/>
                    </w:rPr>
                    <w:t>对本项目的危险废物进行分类分区存放。</w:t>
                  </w:r>
                </w:p>
              </w:tc>
              <w:tc>
                <w:tcPr>
                  <w:tcW w:w="1585" w:type="dxa"/>
                  <w:noWrap w:val="0"/>
                  <w:vAlign w:val="center"/>
                </w:tcPr>
                <w:p w14:paraId="70B6E9E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已建，现有危废贮存库不满足要求，本次按照GB18597-2023相关要求整改</w:t>
                  </w:r>
                </w:p>
              </w:tc>
            </w:tr>
            <w:tr w14:paraId="33CF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8" w:type="dxa"/>
                  <w:vMerge w:val="continue"/>
                  <w:noWrap w:val="0"/>
                  <w:vAlign w:val="center"/>
                </w:tcPr>
                <w:p w14:paraId="2697E467">
                  <w:pPr>
                    <w:pStyle w:val="86"/>
                    <w:keepNext w:val="0"/>
                    <w:keepLines w:val="0"/>
                    <w:suppressLineNumbers w:val="0"/>
                    <w:bidi w:val="0"/>
                    <w:spacing w:before="0" w:beforeAutospacing="0" w:after="0" w:afterAutospacing="0"/>
                    <w:ind w:left="0" w:right="0"/>
                    <w:rPr>
                      <w:rFonts w:hint="default"/>
                      <w:color w:val="auto"/>
                      <w:highlight w:val="none"/>
                    </w:rPr>
                  </w:pPr>
                </w:p>
              </w:tc>
              <w:tc>
                <w:tcPr>
                  <w:tcW w:w="1416" w:type="dxa"/>
                  <w:gridSpan w:val="4"/>
                  <w:noWrap w:val="0"/>
                  <w:vAlign w:val="center"/>
                </w:tcPr>
                <w:p w14:paraId="47A26B6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环境风险防范设施</w:t>
                  </w:r>
                </w:p>
              </w:tc>
              <w:tc>
                <w:tcPr>
                  <w:tcW w:w="5474" w:type="dxa"/>
                  <w:noWrap w:val="0"/>
                  <w:vAlign w:val="center"/>
                </w:tcPr>
                <w:p w14:paraId="46A15C3B">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eastAsia="宋体"/>
                      <w:color w:val="auto"/>
                      <w:highlight w:val="none"/>
                      <w:lang w:val="en-US" w:eastAsia="zh-CN"/>
                    </w:rPr>
                    <w:t>（1）配套金属粉尘的防爆措施：抛丸、磨加工设备安装有效的局部排风除尘系统，在所有产尘点设置吸风罩，确保粉尘被及时抽走，选用符合国家防爆标准、具有泄爆、隔爆或抑爆装置的集尘设备，配套使用防爆的除尘系统，除尘管道设计应避免死角，减少粉尘积聚，在管道和设备连接处安装隔爆阀。2号厂房内尤其抛丸、磨加工区域必须使用符合标准的防爆电气设备（如防爆电机、防爆开关、防爆灯具）。定期检查设备，防止因部件磨损、脱落或松动而产生摩擦碰撞火花。对所有相关员工进行铝镁粉尘爆炸危险性、安全操作规程和应急响应的定期培训，使其认识到风险并掌握防范技能。 在危险区域设置明确的警示标识，如“粉尘爆炸危险区”、“禁止明火”、“必须防静电”等。</w:t>
                  </w:r>
                </w:p>
                <w:p w14:paraId="6C21C505">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eastAsia="宋体"/>
                      <w:color w:val="auto"/>
                      <w:highlight w:val="none"/>
                      <w:lang w:val="en-US" w:eastAsia="zh-CN"/>
                    </w:rPr>
                    <w:t>（2）防静电、防明火：厂房内生产区地面应按要求采取硬化处理，厂区内禁止明火。所有设备、管道、集尘器必须可靠接地，工作地面采用导电地面，员工穿戴防静电服和鞋，使用抗静电材料的工具和风管。</w:t>
                  </w:r>
                </w:p>
                <w:p w14:paraId="3DCD0074">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eastAsia="宋体"/>
                      <w:color w:val="auto"/>
                      <w:highlight w:val="none"/>
                      <w:lang w:val="en-US" w:eastAsia="zh-CN"/>
                    </w:rPr>
                    <w:t>（3）2号厂房设置可燃气体检测报警器；凡容易发生事故或危及生命安全的场所、设备以及需要提醒操作人员注意的地方，应设置安全标志；配备足够的急救药品和现场救援器材、设备。</w:t>
                  </w:r>
                </w:p>
                <w:p w14:paraId="22E8C6F3">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eastAsia="宋体"/>
                      <w:color w:val="auto"/>
                      <w:highlight w:val="none"/>
                      <w:lang w:val="en-US" w:eastAsia="zh-CN"/>
                    </w:rPr>
                    <w:t>（4）对2号厂房及贮存铝灰渣的危险废物贮存库定期检查以确保屋顶、门窗密封良好，防止雨水渗入，从而避免水与设备、铝灰渣、车间内悬浮的粉尘直接接触产生氢气，车间加强通风。危废贮存库涉及镁锌铝合金产生的铝灰渣及除尘灰的贮存，应对危险废物贮存库增加废气收集系统及废气治理设施，确保危废库始终保持微负压，防止含氢、含粉尘的气体在室内积聚；并通过严格防潮防水的贮存措施，从根本上抑制氢气的产生。采用防爆、防静电的收集系统。末端治理的工艺上先干法除尘后干法净化，严禁用水，并全程配备安全监控与泄爆设施。</w:t>
                  </w:r>
                </w:p>
                <w:p w14:paraId="0F0CA79B">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default" w:eastAsia="宋体"/>
                      <w:color w:val="auto"/>
                      <w:highlight w:val="none"/>
                      <w:lang w:val="en-US" w:eastAsia="zh-CN"/>
                    </w:rPr>
                    <w:t>（5）危废贮存库、辅料房、油料暂存间、离合器清洗区以及浸胶区采用防雨、防风、防晒、防渗漏措施，液体物料下方设置托盘，危废暂存区内堆放一定量的棉纱、砂石等，发生泄漏事故及时采用棉纱或砂纸进行吸附处理。</w:t>
                  </w:r>
                </w:p>
              </w:tc>
              <w:tc>
                <w:tcPr>
                  <w:tcW w:w="1585" w:type="dxa"/>
                  <w:noWrap w:val="0"/>
                  <w:vAlign w:val="center"/>
                </w:tcPr>
                <w:p w14:paraId="0CBB6890">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已建，金属粉尘防爆措施未完善，本次提出要求整改完善</w:t>
                  </w:r>
                </w:p>
              </w:tc>
            </w:tr>
          </w:tbl>
          <w:p w14:paraId="639465BF">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p>
          <w:p w14:paraId="3E6E9C4B">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2</w:t>
            </w:r>
            <w:r>
              <w:rPr>
                <w:rFonts w:hint="default"/>
                <w:color w:val="auto"/>
                <w:sz w:val="26"/>
                <w:szCs w:val="26"/>
                <w:highlight w:val="none"/>
              </w:rPr>
              <w:t xml:space="preserve">.3 </w:t>
            </w:r>
            <w:r>
              <w:rPr>
                <w:rFonts w:hint="eastAsia"/>
                <w:color w:val="auto"/>
                <w:sz w:val="26"/>
                <w:szCs w:val="26"/>
                <w:highlight w:val="none"/>
              </w:rPr>
              <w:t>产品方案</w:t>
            </w:r>
          </w:p>
          <w:p w14:paraId="420F401C">
            <w:pPr>
              <w:keepNext w:val="0"/>
              <w:keepLines w:val="0"/>
              <w:suppressLineNumbers w:val="0"/>
              <w:adjustRightInd w:val="0"/>
              <w:snapToGrid w:val="0"/>
              <w:spacing w:before="0" w:beforeAutospacing="0" w:after="0" w:afterAutospacing="0" w:line="400" w:lineRule="exact"/>
              <w:ind w:left="0" w:right="0" w:firstLine="520" w:firstLineChars="200"/>
              <w:jc w:val="left"/>
              <w:rPr>
                <w:rFonts w:hint="default"/>
                <w:bCs/>
                <w:color w:val="auto"/>
                <w:sz w:val="26"/>
                <w:szCs w:val="26"/>
                <w:highlight w:val="none"/>
              </w:rPr>
            </w:pPr>
            <w:r>
              <w:rPr>
                <w:rFonts w:hint="eastAsia"/>
                <w:bCs/>
                <w:color w:val="auto"/>
                <w:sz w:val="26"/>
                <w:szCs w:val="26"/>
                <w:highlight w:val="none"/>
              </w:rPr>
              <w:t>项目产品方案详见下表。</w:t>
            </w:r>
          </w:p>
          <w:p w14:paraId="30246BFA">
            <w:pPr>
              <w:pStyle w:val="86"/>
              <w:keepNext w:val="0"/>
              <w:keepLines w:val="0"/>
              <w:suppressLineNumbers w:val="0"/>
              <w:bidi w:val="0"/>
              <w:spacing w:before="0" w:beforeAutospacing="0" w:after="0" w:afterAutospacing="0"/>
              <w:ind w:left="0" w:right="0"/>
              <w:rPr>
                <w:rFonts w:hint="default"/>
                <w:color w:val="auto"/>
                <w:highlight w:val="none"/>
              </w:rPr>
            </w:pPr>
          </w:p>
          <w:p w14:paraId="42395BF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default"/>
                <w:bCs/>
                <w:color w:val="auto"/>
                <w:sz w:val="26"/>
                <w:szCs w:val="26"/>
                <w:highlight w:val="none"/>
              </w:rPr>
            </w:pPr>
            <w:r>
              <w:rPr>
                <w:rFonts w:hint="eastAsia"/>
                <w:bCs/>
                <w:color w:val="auto"/>
                <w:sz w:val="26"/>
                <w:szCs w:val="26"/>
                <w:highlight w:val="none"/>
              </w:rPr>
              <w:t>表</w:t>
            </w:r>
            <w:r>
              <w:rPr>
                <w:rFonts w:hint="default"/>
                <w:bCs/>
                <w:color w:val="auto"/>
                <w:sz w:val="26"/>
                <w:szCs w:val="26"/>
                <w:highlight w:val="none"/>
              </w:rPr>
              <w:t xml:space="preserve">2.3-1  </w:t>
            </w:r>
            <w:r>
              <w:rPr>
                <w:rFonts w:hint="eastAsia"/>
                <w:bCs/>
                <w:color w:val="auto"/>
                <w:sz w:val="26"/>
                <w:szCs w:val="26"/>
                <w:highlight w:val="none"/>
              </w:rPr>
              <w:t>产品方案</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5"/>
              <w:gridCol w:w="917"/>
              <w:gridCol w:w="5"/>
              <w:gridCol w:w="2334"/>
              <w:gridCol w:w="5"/>
              <w:gridCol w:w="2409"/>
              <w:gridCol w:w="6"/>
              <w:gridCol w:w="1808"/>
              <w:gridCol w:w="10"/>
            </w:tblGrid>
            <w:tr w14:paraId="5C8F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4" w:type="pct"/>
                  <w:tcBorders>
                    <w:top w:val="single" w:color="auto" w:sz="4" w:space="0"/>
                    <w:left w:val="single" w:color="auto" w:sz="4" w:space="0"/>
                    <w:right w:val="single" w:color="auto" w:sz="4" w:space="0"/>
                  </w:tcBorders>
                  <w:shd w:val="clear" w:color="auto" w:fill="auto"/>
                  <w:vAlign w:val="center"/>
                </w:tcPr>
                <w:p w14:paraId="44A5BACB">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cs="宋体"/>
                      <w:color w:val="auto"/>
                      <w:sz w:val="21"/>
                      <w:szCs w:val="21"/>
                      <w:highlight w:val="none"/>
                      <w:lang w:bidi="ar"/>
                    </w:rPr>
                    <w:t>产品名称</w:t>
                  </w:r>
                </w:p>
              </w:tc>
              <w:tc>
                <w:tcPr>
                  <w:tcW w:w="50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33CEF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cs="宋体"/>
                      <w:color w:val="auto"/>
                      <w:sz w:val="21"/>
                      <w:szCs w:val="21"/>
                      <w:highlight w:val="none"/>
                      <w:lang w:val="en-US" w:eastAsia="zh-CN" w:bidi="ar"/>
                    </w:rPr>
                  </w:pPr>
                  <w:r>
                    <w:rPr>
                      <w:rFonts w:hint="eastAsia" w:cs="宋体"/>
                      <w:color w:val="auto"/>
                      <w:sz w:val="21"/>
                      <w:szCs w:val="21"/>
                      <w:highlight w:val="none"/>
                      <w:lang w:val="en-US" w:eastAsia="zh-CN" w:bidi="ar"/>
                    </w:rPr>
                    <w:t>产能</w:t>
                  </w:r>
                  <w:r>
                    <w:rPr>
                      <w:rFonts w:hint="eastAsia" w:cs="宋体"/>
                      <w:color w:val="auto"/>
                      <w:sz w:val="21"/>
                      <w:szCs w:val="21"/>
                      <w:highlight w:val="none"/>
                      <w:lang w:eastAsia="zh-CN" w:bidi="ar"/>
                    </w:rPr>
                    <w:t>（</w:t>
                  </w:r>
                  <w:r>
                    <w:rPr>
                      <w:rFonts w:hint="eastAsia" w:cs="宋体"/>
                      <w:color w:val="auto"/>
                      <w:sz w:val="21"/>
                      <w:szCs w:val="21"/>
                      <w:highlight w:val="none"/>
                      <w:lang w:val="en-US" w:eastAsia="zh-CN" w:bidi="ar"/>
                    </w:rPr>
                    <w:t>万套/年</w:t>
                  </w:r>
                  <w:r>
                    <w:rPr>
                      <w:rFonts w:hint="eastAsia" w:cs="宋体"/>
                      <w:color w:val="auto"/>
                      <w:sz w:val="21"/>
                      <w:szCs w:val="21"/>
                      <w:highlight w:val="none"/>
                      <w:lang w:eastAsia="zh-CN" w:bidi="ar"/>
                    </w:rPr>
                    <w:t>）</w:t>
                  </w:r>
                </w:p>
              </w:tc>
              <w:tc>
                <w:tcPr>
                  <w:tcW w:w="1278" w:type="pct"/>
                  <w:gridSpan w:val="2"/>
                  <w:tcBorders>
                    <w:top w:val="single" w:color="auto" w:sz="4" w:space="0"/>
                    <w:left w:val="single" w:color="auto" w:sz="4" w:space="0"/>
                    <w:right w:val="single" w:color="auto" w:sz="4" w:space="0"/>
                  </w:tcBorders>
                  <w:shd w:val="clear" w:color="auto" w:fill="auto"/>
                  <w:vAlign w:val="center"/>
                </w:tcPr>
                <w:p w14:paraId="261D4CE3">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实物图片</w:t>
                  </w:r>
                </w:p>
              </w:tc>
              <w:tc>
                <w:tcPr>
                  <w:tcW w:w="1319" w:type="pct"/>
                  <w:gridSpan w:val="2"/>
                  <w:tcBorders>
                    <w:top w:val="single" w:color="auto" w:sz="4" w:space="0"/>
                    <w:left w:val="single" w:color="auto" w:sz="4" w:space="0"/>
                    <w:right w:val="single" w:color="auto" w:sz="4" w:space="0"/>
                  </w:tcBorders>
                  <w:shd w:val="clear" w:color="auto" w:fill="auto"/>
                  <w:vAlign w:val="center"/>
                </w:tcPr>
                <w:p w14:paraId="1F04E720">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产品情况</w:t>
                  </w:r>
                </w:p>
              </w:tc>
              <w:tc>
                <w:tcPr>
                  <w:tcW w:w="992" w:type="pct"/>
                  <w:gridSpan w:val="2"/>
                  <w:tcBorders>
                    <w:top w:val="single" w:color="auto" w:sz="4" w:space="0"/>
                    <w:left w:val="single" w:color="auto" w:sz="4" w:space="0"/>
                    <w:right w:val="single" w:color="auto" w:sz="4" w:space="0"/>
                  </w:tcBorders>
                  <w:shd w:val="clear" w:color="auto" w:fill="auto"/>
                  <w:vAlign w:val="center"/>
                </w:tcPr>
                <w:p w14:paraId="7709908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eastAsia="宋体" w:cs="宋体"/>
                      <w:color w:val="auto"/>
                      <w:sz w:val="21"/>
                      <w:szCs w:val="21"/>
                      <w:highlight w:val="none"/>
                      <w:lang w:val="en-US" w:eastAsia="zh-CN" w:bidi="ar"/>
                    </w:rPr>
                  </w:pPr>
                  <w:r>
                    <w:rPr>
                      <w:rFonts w:hint="eastAsia" w:cs="宋体"/>
                      <w:color w:val="auto"/>
                      <w:sz w:val="21"/>
                      <w:szCs w:val="21"/>
                      <w:highlight w:val="none"/>
                      <w:lang w:val="en-US" w:eastAsia="zh-CN" w:bidi="ar"/>
                    </w:rPr>
                    <w:t>备注</w:t>
                  </w:r>
                </w:p>
              </w:tc>
            </w:tr>
            <w:tr w14:paraId="6FD6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pct"/>
                <w:trHeight w:val="340" w:hRule="atLeast"/>
                <w:jc w:val="center"/>
              </w:trPr>
              <w:tc>
                <w:tcPr>
                  <w:tcW w:w="904" w:type="pct"/>
                  <w:tcBorders>
                    <w:top w:val="single" w:color="auto" w:sz="4" w:space="0"/>
                    <w:left w:val="single" w:color="auto" w:sz="4" w:space="0"/>
                    <w:bottom w:val="single" w:color="auto" w:sz="4" w:space="0"/>
                    <w:right w:val="single" w:color="auto" w:sz="4" w:space="0"/>
                  </w:tcBorders>
                  <w:shd w:val="clear" w:color="auto" w:fill="auto"/>
                  <w:vAlign w:val="center"/>
                </w:tcPr>
                <w:p w14:paraId="7E111DEA">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auto"/>
                    <w:rPr>
                      <w:rFonts w:hint="eastAsia" w:cs="宋体"/>
                      <w:color w:val="auto"/>
                      <w:sz w:val="21"/>
                      <w:szCs w:val="21"/>
                      <w:highlight w:val="none"/>
                      <w:lang w:bidi="ar"/>
                    </w:rPr>
                  </w:pPr>
                  <w:r>
                    <w:rPr>
                      <w:rFonts w:hint="eastAsia" w:cs="宋体"/>
                      <w:color w:val="auto"/>
                      <w:sz w:val="21"/>
                      <w:szCs w:val="21"/>
                      <w:highlight w:val="none"/>
                      <w:lang w:bidi="ar"/>
                    </w:rPr>
                    <w:t>离合器摩擦片</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72ABAC3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s="宋体"/>
                      <w:color w:val="auto"/>
                      <w:sz w:val="21"/>
                      <w:szCs w:val="21"/>
                      <w:highlight w:val="none"/>
                      <w:lang w:val="en-US" w:eastAsia="zh-CN" w:bidi="ar"/>
                    </w:rPr>
                  </w:pPr>
                  <w:r>
                    <w:rPr>
                      <w:rFonts w:hint="eastAsia" w:cs="宋体"/>
                      <w:color w:val="auto"/>
                      <w:sz w:val="21"/>
                      <w:szCs w:val="21"/>
                      <w:highlight w:val="none"/>
                      <w:lang w:val="en-US" w:eastAsia="zh-CN" w:bidi="ar"/>
                    </w:rPr>
                    <w:t>2000</w:t>
                  </w:r>
                </w:p>
              </w:tc>
              <w:tc>
                <w:tcPr>
                  <w:tcW w:w="12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FBB6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s="宋体"/>
                      <w:color w:val="auto"/>
                      <w:sz w:val="21"/>
                      <w:szCs w:val="21"/>
                      <w:highlight w:val="none"/>
                      <w:lang w:val="en-US" w:eastAsia="zh-CN" w:bidi="ar"/>
                    </w:rPr>
                  </w:pPr>
                  <w:r>
                    <w:rPr>
                      <w:rFonts w:hint="default"/>
                      <w:color w:val="auto"/>
                      <w:highlight w:val="none"/>
                    </w:rPr>
                    <w:drawing>
                      <wp:inline distT="0" distB="0" distL="0" distR="0">
                        <wp:extent cx="1149350" cy="772160"/>
                        <wp:effectExtent l="0" t="0" r="1270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149350" cy="772437"/>
                                </a:xfrm>
                                <a:prstGeom prst="rect">
                                  <a:avLst/>
                                </a:prstGeom>
                              </pic:spPr>
                            </pic:pic>
                          </a:graphicData>
                        </a:graphic>
                      </wp:inline>
                    </w:drawing>
                  </w:r>
                </w:p>
              </w:tc>
              <w:tc>
                <w:tcPr>
                  <w:tcW w:w="1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0D367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s="宋体"/>
                      <w:color w:val="auto"/>
                      <w:sz w:val="21"/>
                      <w:szCs w:val="21"/>
                      <w:highlight w:val="none"/>
                      <w:lang w:val="en-US" w:eastAsia="zh-CN" w:bidi="ar"/>
                    </w:rPr>
                  </w:pPr>
                  <w:r>
                    <w:rPr>
                      <w:rFonts w:hint="eastAsia" w:cs="宋体"/>
                      <w:color w:val="auto"/>
                      <w:sz w:val="21"/>
                      <w:szCs w:val="21"/>
                      <w:highlight w:val="none"/>
                      <w:lang w:val="en-US" w:eastAsia="zh-CN" w:bidi="ar"/>
                    </w:rPr>
                    <w:t>离合器摩擦片约重110g/片，涉及工艺有铝合金热熔、压铸、冲裁、抛丸、浸胶、热压、固化、磨加工等</w:t>
                  </w:r>
                </w:p>
              </w:tc>
              <w:tc>
                <w:tcPr>
                  <w:tcW w:w="9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2CE01">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cs="宋体"/>
                      <w:color w:val="auto"/>
                      <w:sz w:val="21"/>
                      <w:szCs w:val="21"/>
                      <w:highlight w:val="none"/>
                      <w:lang w:val="en-US" w:eastAsia="zh-CN" w:bidi="ar"/>
                    </w:rPr>
                  </w:pPr>
                  <w:r>
                    <w:rPr>
                      <w:rFonts w:hint="eastAsia" w:cs="宋体"/>
                      <w:color w:val="auto"/>
                      <w:sz w:val="21"/>
                      <w:szCs w:val="21"/>
                      <w:highlight w:val="none"/>
                      <w:lang w:val="en-US" w:eastAsia="zh-CN" w:bidi="ar"/>
                    </w:rPr>
                    <w:t>其中150万片作为离合器总成原料，其余1850万片外售</w:t>
                  </w:r>
                </w:p>
              </w:tc>
            </w:tr>
            <w:tr w14:paraId="697B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4" w:type="pct"/>
                <w:trHeight w:val="340" w:hRule="atLeast"/>
                <w:jc w:val="center"/>
              </w:trPr>
              <w:tc>
                <w:tcPr>
                  <w:tcW w:w="904" w:type="pct"/>
                  <w:tcBorders>
                    <w:top w:val="single" w:color="auto" w:sz="4" w:space="0"/>
                    <w:left w:val="single" w:color="auto" w:sz="4" w:space="0"/>
                    <w:bottom w:val="single" w:color="auto" w:sz="4" w:space="0"/>
                    <w:right w:val="single" w:color="auto" w:sz="4" w:space="0"/>
                  </w:tcBorders>
                  <w:shd w:val="clear" w:color="auto" w:fill="auto"/>
                  <w:vAlign w:val="center"/>
                </w:tcPr>
                <w:p w14:paraId="1762C8EF">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center"/>
                    <w:textAlignment w:val="auto"/>
                    <w:rPr>
                      <w:rFonts w:hint="default"/>
                      <w:color w:val="auto"/>
                      <w:sz w:val="21"/>
                      <w:szCs w:val="21"/>
                      <w:highlight w:val="none"/>
                    </w:rPr>
                  </w:pPr>
                  <w:r>
                    <w:rPr>
                      <w:rFonts w:hint="default"/>
                      <w:color w:val="auto"/>
                      <w:sz w:val="21"/>
                      <w:szCs w:val="21"/>
                      <w:highlight w:val="none"/>
                    </w:rPr>
                    <w:t>摩托车、电动车离合器总成</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26FB59CA">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30</w:t>
                  </w:r>
                </w:p>
              </w:tc>
              <w:tc>
                <w:tcPr>
                  <w:tcW w:w="127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90926F">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eastAsia="宋体"/>
                      <w:color w:val="auto"/>
                      <w:sz w:val="21"/>
                      <w:szCs w:val="21"/>
                      <w:highlight w:val="none"/>
                      <w:lang w:val="en-US" w:eastAsia="zh-CN"/>
                    </w:rPr>
                  </w:pPr>
                  <w:r>
                    <w:rPr>
                      <w:rFonts w:hint="default"/>
                      <w:color w:val="auto"/>
                      <w:highlight w:val="none"/>
                    </w:rPr>
                    <w:drawing>
                      <wp:inline distT="0" distB="0" distL="0" distR="0">
                        <wp:extent cx="1028700" cy="933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31278" cy="935789"/>
                                </a:xfrm>
                                <a:prstGeom prst="rect">
                                  <a:avLst/>
                                </a:prstGeom>
                              </pic:spPr>
                            </pic:pic>
                          </a:graphicData>
                        </a:graphic>
                      </wp:inline>
                    </w:drawing>
                  </w:r>
                </w:p>
              </w:tc>
              <w:tc>
                <w:tcPr>
                  <w:tcW w:w="13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8B378">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default"/>
                      <w:color w:val="auto"/>
                      <w:sz w:val="21"/>
                      <w:szCs w:val="21"/>
                      <w:highlight w:val="none"/>
                      <w:lang w:val="en-US"/>
                    </w:rPr>
                  </w:pPr>
                  <w:r>
                    <w:rPr>
                      <w:rFonts w:hint="eastAsia" w:cs="宋体"/>
                      <w:color w:val="auto"/>
                      <w:sz w:val="21"/>
                      <w:szCs w:val="21"/>
                      <w:highlight w:val="none"/>
                      <w:lang w:val="en-US" w:eastAsia="zh-CN" w:bidi="ar"/>
                    </w:rPr>
                    <w:t>涉及有主（从）动片安装、压盘安装、升级安装，螺丝拧入及紧固、检验等生产工序</w:t>
                  </w:r>
                </w:p>
              </w:tc>
              <w:tc>
                <w:tcPr>
                  <w:tcW w:w="99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1A1699">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cs="宋体"/>
                      <w:color w:val="auto"/>
                      <w:sz w:val="21"/>
                      <w:szCs w:val="21"/>
                      <w:highlight w:val="none"/>
                      <w:lang w:val="en-US" w:eastAsia="zh-CN" w:bidi="ar"/>
                    </w:rPr>
                  </w:pPr>
                  <w:r>
                    <w:rPr>
                      <w:rFonts w:hint="eastAsia" w:cs="宋体"/>
                      <w:color w:val="auto"/>
                      <w:sz w:val="21"/>
                      <w:szCs w:val="21"/>
                      <w:highlight w:val="none"/>
                      <w:lang w:val="en-US" w:eastAsia="zh-CN" w:bidi="ar"/>
                    </w:rPr>
                    <w:t>离合器摩擦片自制，其余零部件均外购</w:t>
                  </w:r>
                </w:p>
              </w:tc>
            </w:tr>
          </w:tbl>
          <w:p w14:paraId="07752DC9">
            <w:pPr>
              <w:pStyle w:val="65"/>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default"/>
                <w:color w:val="auto"/>
                <w:highlight w:val="none"/>
              </w:rPr>
            </w:pPr>
          </w:p>
          <w:p w14:paraId="4759E17A">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2</w:t>
            </w:r>
            <w:r>
              <w:rPr>
                <w:rFonts w:hint="default"/>
                <w:color w:val="auto"/>
                <w:sz w:val="26"/>
                <w:szCs w:val="26"/>
                <w:highlight w:val="none"/>
              </w:rPr>
              <w:t>.4 生产设备</w:t>
            </w:r>
          </w:p>
          <w:p w14:paraId="263A05C5">
            <w:pPr>
              <w:pStyle w:val="67"/>
              <w:keepNext w:val="0"/>
              <w:keepLines w:val="0"/>
              <w:suppressLineNumbers w:val="0"/>
              <w:spacing w:before="0" w:beforeAutospacing="0" w:after="0" w:afterAutospacing="0" w:line="400" w:lineRule="exact"/>
              <w:ind w:left="0" w:right="0" w:firstLine="520"/>
              <w:rPr>
                <w:rFonts w:hint="default"/>
                <w:b w:val="0"/>
                <w:color w:val="auto"/>
                <w:sz w:val="26"/>
                <w:szCs w:val="26"/>
                <w:highlight w:val="none"/>
              </w:rPr>
            </w:pPr>
            <w:r>
              <w:rPr>
                <w:rFonts w:hint="eastAsia"/>
                <w:b w:val="0"/>
                <w:color w:val="auto"/>
                <w:sz w:val="26"/>
                <w:szCs w:val="26"/>
                <w:highlight w:val="none"/>
                <w:lang w:val="en-US" w:eastAsia="zh-CN"/>
              </w:rPr>
              <w:t>本项目的生产设备情况见下表</w:t>
            </w:r>
            <w:r>
              <w:rPr>
                <w:rFonts w:hint="eastAsia"/>
                <w:b w:val="0"/>
                <w:color w:val="auto"/>
                <w:sz w:val="26"/>
                <w:szCs w:val="26"/>
                <w:highlight w:val="none"/>
              </w:rPr>
              <w:t>。</w:t>
            </w:r>
          </w:p>
          <w:p w14:paraId="3E90D28B">
            <w:pPr>
              <w:pStyle w:val="65"/>
              <w:keepNext w:val="0"/>
              <w:keepLines w:val="0"/>
              <w:suppressLineNumbers w:val="0"/>
              <w:spacing w:before="0" w:beforeAutospacing="0" w:after="0" w:afterAutospacing="0"/>
              <w:ind w:left="0" w:right="0"/>
              <w:rPr>
                <w:rFonts w:hint="default"/>
                <w:color w:val="auto"/>
                <w:highlight w:val="none"/>
              </w:rPr>
            </w:pPr>
          </w:p>
          <w:p w14:paraId="27CCDD4F">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eastAsia"/>
                <w:bCs/>
                <w:color w:val="auto"/>
                <w:sz w:val="26"/>
                <w:szCs w:val="26"/>
                <w:highlight w:val="none"/>
              </w:rPr>
              <w:t>表2</w:t>
            </w:r>
            <w:r>
              <w:rPr>
                <w:rFonts w:hint="default"/>
                <w:bCs/>
                <w:color w:val="auto"/>
                <w:sz w:val="26"/>
                <w:szCs w:val="26"/>
                <w:highlight w:val="none"/>
              </w:rPr>
              <w:t xml:space="preserve">.4-1 </w:t>
            </w:r>
            <w:r>
              <w:rPr>
                <w:rFonts w:hint="eastAsia"/>
                <w:bCs/>
                <w:color w:val="auto"/>
                <w:sz w:val="26"/>
                <w:szCs w:val="26"/>
                <w:highlight w:val="none"/>
                <w:lang w:val="en-US" w:eastAsia="zh-CN"/>
              </w:rPr>
              <w:t xml:space="preserve"> </w:t>
            </w:r>
            <w:r>
              <w:rPr>
                <w:rFonts w:hint="eastAsia"/>
                <w:bCs/>
                <w:color w:val="auto"/>
                <w:sz w:val="26"/>
                <w:szCs w:val="26"/>
                <w:highlight w:val="none"/>
              </w:rPr>
              <w:t>主要生产设备一览表</w:t>
            </w:r>
          </w:p>
          <w:tbl>
            <w:tblPr>
              <w:tblStyle w:val="25"/>
              <w:tblW w:w="91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7"/>
              <w:gridCol w:w="1406"/>
              <w:gridCol w:w="1723"/>
              <w:gridCol w:w="838"/>
              <w:gridCol w:w="2824"/>
              <w:gridCol w:w="843"/>
              <w:gridCol w:w="861"/>
            </w:tblGrid>
            <w:tr w14:paraId="34E1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2066B">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序号</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D3360">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设备</w:t>
                  </w:r>
                </w:p>
              </w:tc>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F7197">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型号</w:t>
                  </w:r>
                  <w:r>
                    <w:rPr>
                      <w:rFonts w:hint="default"/>
                      <w:color w:val="auto"/>
                      <w:highlight w:val="none"/>
                      <w:lang w:val="en-US" w:eastAsia="zh-CN"/>
                    </w:rPr>
                    <w:t>/</w:t>
                  </w:r>
                  <w:r>
                    <w:rPr>
                      <w:rFonts w:hint="eastAsia"/>
                      <w:color w:val="auto"/>
                      <w:highlight w:val="none"/>
                      <w:lang w:val="en-US" w:eastAsia="zh-CN"/>
                    </w:rPr>
                    <w:t>规格</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A15A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数量</w:t>
                  </w:r>
                </w:p>
              </w:tc>
              <w:tc>
                <w:tcPr>
                  <w:tcW w:w="1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6DE27">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设备说明</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711A4">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单位</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E22BB">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所在工序</w:t>
                  </w:r>
                </w:p>
              </w:tc>
            </w:tr>
            <w:tr w14:paraId="66D5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1639">
                  <w:pPr>
                    <w:pStyle w:val="86"/>
                    <w:keepNext w:val="0"/>
                    <w:keepLines w:val="0"/>
                    <w:suppressLineNumbers w:val="0"/>
                    <w:bidi w:val="0"/>
                    <w:spacing w:before="0" w:beforeAutospacing="0" w:after="0" w:afterAutospacing="0"/>
                    <w:ind w:left="0" w:right="0"/>
                    <w:rPr>
                      <w:rFonts w:hint="eastAsia"/>
                      <w:color w:val="auto"/>
                      <w:highlight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8DDC">
                  <w:pPr>
                    <w:pStyle w:val="86"/>
                    <w:keepNext w:val="0"/>
                    <w:keepLines w:val="0"/>
                    <w:suppressLineNumbers w:val="0"/>
                    <w:bidi w:val="0"/>
                    <w:spacing w:before="0" w:beforeAutospacing="0" w:after="0" w:afterAutospacing="0"/>
                    <w:ind w:left="0" w:right="0"/>
                    <w:rPr>
                      <w:rFonts w:hint="eastAsia"/>
                      <w:color w:val="auto"/>
                      <w:highlight w:val="none"/>
                    </w:rPr>
                  </w:pPr>
                </w:p>
              </w:tc>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A8E39">
                  <w:pPr>
                    <w:pStyle w:val="86"/>
                    <w:keepNext w:val="0"/>
                    <w:keepLines w:val="0"/>
                    <w:suppressLineNumbers w:val="0"/>
                    <w:bidi w:val="0"/>
                    <w:spacing w:before="0" w:beforeAutospacing="0" w:after="0" w:afterAutospacing="0"/>
                    <w:ind w:left="0" w:right="0"/>
                    <w:rPr>
                      <w:rFonts w:hint="eastAsia"/>
                      <w:color w:val="auto"/>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B039A">
                  <w:pPr>
                    <w:pStyle w:val="86"/>
                    <w:keepNext w:val="0"/>
                    <w:keepLines w:val="0"/>
                    <w:suppressLineNumbers w:val="0"/>
                    <w:bidi w:val="0"/>
                    <w:spacing w:before="0" w:beforeAutospacing="0" w:after="0" w:afterAutospacing="0"/>
                    <w:ind w:left="0" w:right="0"/>
                    <w:rPr>
                      <w:rFonts w:hint="eastAsia"/>
                      <w:color w:val="auto"/>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68B4E">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4139">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8EC1">
                  <w:pPr>
                    <w:pStyle w:val="86"/>
                    <w:keepNext w:val="0"/>
                    <w:keepLines w:val="0"/>
                    <w:suppressLineNumbers w:val="0"/>
                    <w:bidi w:val="0"/>
                    <w:spacing w:before="0" w:beforeAutospacing="0" w:after="0" w:afterAutospacing="0"/>
                    <w:ind w:left="0" w:right="0"/>
                    <w:rPr>
                      <w:rFonts w:hint="eastAsia"/>
                      <w:color w:val="auto"/>
                      <w:highlight w:val="none"/>
                    </w:rPr>
                  </w:pPr>
                </w:p>
              </w:tc>
            </w:tr>
            <w:tr w14:paraId="5BF1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DF1A">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一</w:t>
                  </w:r>
                </w:p>
              </w:tc>
              <w:tc>
                <w:tcPr>
                  <w:tcW w:w="46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276299">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离合器摩擦片生产</w:t>
                  </w:r>
                </w:p>
              </w:tc>
            </w:tr>
            <w:tr w14:paraId="4784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387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3B468">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熔铸机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B537">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DCC800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80B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p>
              </w:tc>
              <w:tc>
                <w:tcPr>
                  <w:tcW w:w="1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BCB8E">
                  <w:pPr>
                    <w:pStyle w:val="86"/>
                    <w:keepNext w:val="0"/>
                    <w:keepLines w:val="0"/>
                    <w:suppressLineNumbers w:val="0"/>
                    <w:bidi w:val="0"/>
                    <w:spacing w:before="0" w:beforeAutospacing="0" w:after="0" w:afterAutospacing="0"/>
                    <w:ind w:left="0" w:right="0"/>
                    <w:jc w:val="both"/>
                    <w:rPr>
                      <w:rFonts w:hint="default"/>
                      <w:color w:val="auto"/>
                      <w:highlight w:val="none"/>
                      <w:lang w:val="en-US"/>
                    </w:rPr>
                  </w:pPr>
                  <w:r>
                    <w:rPr>
                      <w:rFonts w:hint="eastAsia"/>
                      <w:color w:val="auto"/>
                      <w:highlight w:val="none"/>
                      <w:lang w:val="en-US" w:eastAsia="zh-CN"/>
                    </w:rPr>
                    <w:t>均自带电熔炉，DCC800、DCC80、DCC280的热熔能力分别为1000kg/(8h)、10kg/(8h)、150kg/(8h)</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7E89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0EF5D">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热熔、压铸</w:t>
                  </w:r>
                </w:p>
              </w:tc>
            </w:tr>
            <w:tr w14:paraId="3EB7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765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B757">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熔铸机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F44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DCC80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332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9</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31B2">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FCA49">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FCD5">
                  <w:pPr>
                    <w:pStyle w:val="86"/>
                    <w:keepNext w:val="0"/>
                    <w:keepLines w:val="0"/>
                    <w:suppressLineNumbers w:val="0"/>
                    <w:bidi w:val="0"/>
                    <w:spacing w:before="0" w:beforeAutospacing="0" w:after="0" w:afterAutospacing="0"/>
                    <w:ind w:left="0" w:right="0"/>
                    <w:rPr>
                      <w:rFonts w:hint="eastAsia"/>
                      <w:color w:val="auto"/>
                      <w:highlight w:val="none"/>
                    </w:rPr>
                  </w:pPr>
                </w:p>
              </w:tc>
            </w:tr>
            <w:tr w14:paraId="19A5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21A7">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C399">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熔铸机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645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DCC280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B36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4</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476E">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CCE3">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81B6">
                  <w:pPr>
                    <w:pStyle w:val="86"/>
                    <w:keepNext w:val="0"/>
                    <w:keepLines w:val="0"/>
                    <w:suppressLineNumbers w:val="0"/>
                    <w:bidi w:val="0"/>
                    <w:spacing w:before="0" w:beforeAutospacing="0" w:after="0" w:afterAutospacing="0"/>
                    <w:ind w:left="0" w:right="0"/>
                    <w:rPr>
                      <w:rFonts w:hint="eastAsia"/>
                      <w:color w:val="auto"/>
                      <w:highlight w:val="none"/>
                    </w:rPr>
                  </w:pPr>
                </w:p>
              </w:tc>
            </w:tr>
            <w:tr w14:paraId="01D2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6C95B">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4</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1CB9">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退火烘箱</w:t>
                  </w:r>
                </w:p>
              </w:tc>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8390D">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1700×6200</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A6F3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w:t>
                  </w:r>
                </w:p>
              </w:tc>
              <w:tc>
                <w:tcPr>
                  <w:tcW w:w="1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2CA5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A36F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6358D">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退火</w:t>
                  </w:r>
                </w:p>
              </w:tc>
            </w:tr>
            <w:tr w14:paraId="1D38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83BD">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04B0">
                  <w:pPr>
                    <w:pStyle w:val="86"/>
                    <w:keepNext w:val="0"/>
                    <w:keepLines w:val="0"/>
                    <w:suppressLineNumbers w:val="0"/>
                    <w:bidi w:val="0"/>
                    <w:spacing w:before="0" w:beforeAutospacing="0" w:after="0" w:afterAutospacing="0"/>
                    <w:ind w:left="0" w:right="0"/>
                    <w:rPr>
                      <w:rFonts w:hint="eastAsia"/>
                      <w:color w:val="auto"/>
                      <w:highlight w:val="none"/>
                    </w:rPr>
                  </w:pPr>
                </w:p>
              </w:tc>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9F58">
                  <w:pPr>
                    <w:pStyle w:val="86"/>
                    <w:keepNext w:val="0"/>
                    <w:keepLines w:val="0"/>
                    <w:suppressLineNumbers w:val="0"/>
                    <w:bidi w:val="0"/>
                    <w:spacing w:before="0" w:beforeAutospacing="0" w:after="0" w:afterAutospacing="0"/>
                    <w:ind w:left="0" w:right="0"/>
                    <w:rPr>
                      <w:rFonts w:hint="default"/>
                      <w:color w:val="auto"/>
                      <w:highlight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584C">
                  <w:pPr>
                    <w:pStyle w:val="86"/>
                    <w:keepNext w:val="0"/>
                    <w:keepLines w:val="0"/>
                    <w:suppressLineNumbers w:val="0"/>
                    <w:bidi w:val="0"/>
                    <w:spacing w:before="0" w:beforeAutospacing="0" w:after="0" w:afterAutospacing="0"/>
                    <w:ind w:left="0" w:right="0"/>
                    <w:rPr>
                      <w:rFonts w:hint="default"/>
                      <w:color w:val="auto"/>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3B1A3">
                  <w:pPr>
                    <w:pStyle w:val="86"/>
                    <w:keepNext w:val="0"/>
                    <w:keepLines w:val="0"/>
                    <w:suppressLineNumbers w:val="0"/>
                    <w:bidi w:val="0"/>
                    <w:spacing w:before="0" w:beforeAutospacing="0" w:after="0" w:afterAutospacing="0"/>
                    <w:ind w:left="0" w:right="0"/>
                    <w:rPr>
                      <w:rFonts w:hint="default"/>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288D">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CD554">
                  <w:pPr>
                    <w:pStyle w:val="86"/>
                    <w:keepNext w:val="0"/>
                    <w:keepLines w:val="0"/>
                    <w:suppressLineNumbers w:val="0"/>
                    <w:bidi w:val="0"/>
                    <w:spacing w:before="0" w:beforeAutospacing="0" w:after="0" w:afterAutospacing="0"/>
                    <w:ind w:left="0" w:right="0"/>
                    <w:rPr>
                      <w:rFonts w:hint="eastAsia"/>
                      <w:color w:val="auto"/>
                      <w:highlight w:val="none"/>
                    </w:rPr>
                  </w:pPr>
                </w:p>
              </w:tc>
            </w:tr>
            <w:tr w14:paraId="02E6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5A9B">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1F4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冲床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853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80t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2F5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BA4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F77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FE7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冲裁</w:t>
                  </w:r>
                </w:p>
              </w:tc>
            </w:tr>
            <w:tr w14:paraId="335D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934A7">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6</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3584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抛丸机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D03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1500×1550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616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DF92E">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均自带除尘器（“旋风+滤筒”防爆除尘系统）</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8E9F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D40D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抛丸</w:t>
                  </w:r>
                </w:p>
              </w:tc>
            </w:tr>
            <w:tr w14:paraId="45C2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C1B3">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0439">
                  <w:pPr>
                    <w:pStyle w:val="86"/>
                    <w:keepNext w:val="0"/>
                    <w:keepLines w:val="0"/>
                    <w:suppressLineNumbers w:val="0"/>
                    <w:bidi w:val="0"/>
                    <w:spacing w:before="0" w:beforeAutospacing="0" w:after="0" w:afterAutospacing="0"/>
                    <w:ind w:left="0" w:right="0"/>
                    <w:rPr>
                      <w:rFonts w:hint="eastAsia"/>
                      <w:color w:val="auto"/>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099C">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4000×3300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76D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064D">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8250">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9BCF">
                  <w:pPr>
                    <w:pStyle w:val="86"/>
                    <w:keepNext w:val="0"/>
                    <w:keepLines w:val="0"/>
                    <w:suppressLineNumbers w:val="0"/>
                    <w:bidi w:val="0"/>
                    <w:spacing w:before="0" w:beforeAutospacing="0" w:after="0" w:afterAutospacing="0"/>
                    <w:ind w:left="0" w:right="0"/>
                    <w:rPr>
                      <w:rFonts w:hint="eastAsia"/>
                      <w:color w:val="auto"/>
                      <w:highlight w:val="none"/>
                    </w:rPr>
                  </w:pPr>
                </w:p>
              </w:tc>
            </w:tr>
            <w:tr w14:paraId="3ECA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2E64A9">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7A58243">
                  <w:pPr>
                    <w:pStyle w:val="86"/>
                    <w:keepNext w:val="0"/>
                    <w:keepLines w:val="0"/>
                    <w:suppressLineNumbers w:val="0"/>
                    <w:bidi w:val="0"/>
                    <w:spacing w:before="0" w:beforeAutospacing="0" w:after="0" w:afterAutospacing="0"/>
                    <w:ind w:left="0" w:right="0"/>
                    <w:rPr>
                      <w:rFonts w:hint="eastAsia"/>
                      <w:color w:val="auto"/>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E2C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4800×4500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95B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6AA59">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EE09046">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4A9E5">
                  <w:pPr>
                    <w:pStyle w:val="86"/>
                    <w:keepNext w:val="0"/>
                    <w:keepLines w:val="0"/>
                    <w:suppressLineNumbers w:val="0"/>
                    <w:bidi w:val="0"/>
                    <w:spacing w:before="0" w:beforeAutospacing="0" w:after="0" w:afterAutospacing="0"/>
                    <w:ind w:left="0" w:right="0"/>
                    <w:rPr>
                      <w:rFonts w:hint="eastAsia"/>
                      <w:color w:val="auto"/>
                      <w:highlight w:val="none"/>
                    </w:rPr>
                  </w:pPr>
                </w:p>
              </w:tc>
            </w:tr>
            <w:tr w14:paraId="1BBE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0C41DCC4">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7</w:t>
                  </w:r>
                </w:p>
              </w:tc>
              <w:tc>
                <w:tcPr>
                  <w:tcW w:w="767" w:type="pct"/>
                  <w:tcBorders>
                    <w:top w:val="single" w:color="auto" w:sz="4" w:space="0"/>
                    <w:left w:val="single" w:color="000000" w:sz="4" w:space="0"/>
                    <w:bottom w:val="single" w:color="000000" w:sz="4" w:space="0"/>
                    <w:right w:val="single" w:color="000000" w:sz="4" w:space="0"/>
                  </w:tcBorders>
                  <w:shd w:val="clear" w:color="auto" w:fill="auto"/>
                  <w:vAlign w:val="center"/>
                </w:tcPr>
                <w:p w14:paraId="7E709097">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抛丸机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2656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3400×2700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9DD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restart"/>
                  <w:tcBorders>
                    <w:top w:val="single" w:color="000000" w:sz="4" w:space="0"/>
                    <w:left w:val="single" w:color="000000" w:sz="4" w:space="0"/>
                    <w:right w:val="single" w:color="000000" w:sz="4" w:space="0"/>
                  </w:tcBorders>
                  <w:shd w:val="clear" w:color="auto" w:fill="auto"/>
                  <w:vAlign w:val="center"/>
                </w:tcPr>
                <w:p w14:paraId="2D52119D">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val="en-US" w:eastAsia="zh-CN"/>
                    </w:rPr>
                    <w:t>其中</w:t>
                  </w:r>
                  <w:r>
                    <w:rPr>
                      <w:rFonts w:hint="default"/>
                      <w:color w:val="auto"/>
                      <w:highlight w:val="none"/>
                    </w:rPr>
                    <w:t>一台磨加工设备产生的粉尘经单独的一套防爆袋式除尘系统（编号为1#）处理后接入排气筒DA003有组织排放</w:t>
                  </w:r>
                  <w:r>
                    <w:rPr>
                      <w:rFonts w:hint="eastAsia"/>
                      <w:color w:val="auto"/>
                      <w:highlight w:val="none"/>
                      <w:lang w:eastAsia="zh-CN"/>
                    </w:rPr>
                    <w:t>；</w:t>
                  </w:r>
                  <w:r>
                    <w:rPr>
                      <w:rFonts w:hint="eastAsia"/>
                      <w:color w:val="auto"/>
                      <w:highlight w:val="none"/>
                      <w:lang w:val="en-US" w:eastAsia="zh-CN"/>
                    </w:rPr>
                    <w:t>磨加工用的</w:t>
                  </w:r>
                  <w:r>
                    <w:rPr>
                      <w:rFonts w:hint="default"/>
                      <w:color w:val="auto"/>
                      <w:highlight w:val="none"/>
                    </w:rPr>
                    <w:t>抛丸机、其他磨加工设备产生的粉尘一起进入一套袋式防爆除尘系统（编号为2#）处理后经1根15m高的排气筒DA003有组织排放</w:t>
                  </w:r>
                </w:p>
              </w:tc>
              <w:tc>
                <w:tcPr>
                  <w:tcW w:w="460" w:type="pct"/>
                  <w:tcBorders>
                    <w:top w:val="single" w:color="auto" w:sz="4" w:space="0"/>
                    <w:left w:val="single" w:color="000000" w:sz="4" w:space="0"/>
                    <w:bottom w:val="single" w:color="000000" w:sz="4" w:space="0"/>
                    <w:right w:val="single" w:color="000000" w:sz="4" w:space="0"/>
                  </w:tcBorders>
                  <w:shd w:val="clear" w:color="auto" w:fill="auto"/>
                  <w:vAlign w:val="center"/>
                </w:tcPr>
                <w:p w14:paraId="0E021D1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CF8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磨加工</w:t>
                  </w:r>
                </w:p>
              </w:tc>
            </w:tr>
            <w:tr w14:paraId="601B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364" w:type="pct"/>
                  <w:tcBorders>
                    <w:top w:val="single" w:color="000000" w:sz="4" w:space="0"/>
                    <w:left w:val="single" w:color="000000" w:sz="4" w:space="0"/>
                    <w:bottom w:val="single" w:color="auto" w:sz="4" w:space="0"/>
                    <w:right w:val="single" w:color="000000" w:sz="4" w:space="0"/>
                  </w:tcBorders>
                  <w:shd w:val="clear" w:color="auto" w:fill="auto"/>
                  <w:vAlign w:val="center"/>
                </w:tcPr>
                <w:p w14:paraId="332942AE">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8</w:t>
                  </w:r>
                </w:p>
              </w:tc>
              <w:tc>
                <w:tcPr>
                  <w:tcW w:w="767" w:type="pct"/>
                  <w:tcBorders>
                    <w:top w:val="single" w:color="000000" w:sz="4" w:space="0"/>
                    <w:left w:val="single" w:color="000000" w:sz="4" w:space="0"/>
                    <w:bottom w:val="single" w:color="auto" w:sz="4" w:space="0"/>
                    <w:right w:val="single" w:color="000000" w:sz="4" w:space="0"/>
                  </w:tcBorders>
                  <w:shd w:val="clear" w:color="auto" w:fill="auto"/>
                  <w:vAlign w:val="center"/>
                </w:tcPr>
                <w:p w14:paraId="089C473D">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数控车床</w:t>
                  </w:r>
                </w:p>
              </w:tc>
              <w:tc>
                <w:tcPr>
                  <w:tcW w:w="940" w:type="pct"/>
                  <w:tcBorders>
                    <w:top w:val="single" w:color="000000" w:sz="4" w:space="0"/>
                    <w:left w:val="single" w:color="000000" w:sz="4" w:space="0"/>
                    <w:bottom w:val="single" w:color="auto" w:sz="4" w:space="0"/>
                    <w:right w:val="single" w:color="000000" w:sz="4" w:space="0"/>
                  </w:tcBorders>
                  <w:shd w:val="clear" w:color="auto" w:fill="auto"/>
                  <w:vAlign w:val="center"/>
                </w:tcPr>
                <w:p w14:paraId="1522D447">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default"/>
                      <w:color w:val="auto"/>
                      <w:highlight w:val="none"/>
                      <w:lang w:val="en-US" w:eastAsia="zh-CN"/>
                    </w:rPr>
                    <w:t>/</w:t>
                  </w:r>
                </w:p>
              </w:tc>
              <w:tc>
                <w:tcPr>
                  <w:tcW w:w="457" w:type="pct"/>
                  <w:tcBorders>
                    <w:top w:val="single" w:color="000000" w:sz="4" w:space="0"/>
                    <w:left w:val="single" w:color="000000" w:sz="4" w:space="0"/>
                    <w:bottom w:val="single" w:color="auto" w:sz="4" w:space="0"/>
                    <w:right w:val="single" w:color="000000" w:sz="4" w:space="0"/>
                  </w:tcBorders>
                  <w:shd w:val="clear" w:color="auto" w:fill="auto"/>
                  <w:vAlign w:val="center"/>
                </w:tcPr>
                <w:p w14:paraId="1EC42767">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default"/>
                      <w:color w:val="auto"/>
                      <w:highlight w:val="none"/>
                      <w:lang w:val="en-US" w:eastAsia="zh-CN"/>
                    </w:rPr>
                    <w:t>3</w:t>
                  </w:r>
                </w:p>
              </w:tc>
              <w:tc>
                <w:tcPr>
                  <w:tcW w:w="1541" w:type="pct"/>
                  <w:vMerge w:val="continue"/>
                  <w:tcBorders>
                    <w:left w:val="single" w:color="000000" w:sz="4" w:space="0"/>
                    <w:right w:val="single" w:color="000000" w:sz="4" w:space="0"/>
                  </w:tcBorders>
                  <w:shd w:val="clear" w:color="auto" w:fill="auto"/>
                  <w:vAlign w:val="center"/>
                </w:tcPr>
                <w:p w14:paraId="59382C96">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p>
              </w:tc>
              <w:tc>
                <w:tcPr>
                  <w:tcW w:w="460" w:type="pct"/>
                  <w:tcBorders>
                    <w:top w:val="single" w:color="000000" w:sz="4" w:space="0"/>
                    <w:left w:val="single" w:color="000000" w:sz="4" w:space="0"/>
                    <w:bottom w:val="single" w:color="auto" w:sz="4" w:space="0"/>
                    <w:right w:val="single" w:color="000000" w:sz="4" w:space="0"/>
                  </w:tcBorders>
                  <w:shd w:val="clear" w:color="auto" w:fill="auto"/>
                  <w:vAlign w:val="center"/>
                </w:tcPr>
                <w:p w14:paraId="19A54F8F">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auto" w:sz="4" w:space="0"/>
                    <w:right w:val="single" w:color="000000" w:sz="4" w:space="0"/>
                  </w:tcBorders>
                  <w:shd w:val="clear" w:color="auto" w:fill="auto"/>
                  <w:vAlign w:val="center"/>
                </w:tcPr>
                <w:p w14:paraId="666618F2">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磨加工</w:t>
                  </w:r>
                </w:p>
              </w:tc>
            </w:tr>
            <w:tr w14:paraId="242D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4DBDCC3E">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9</w:t>
                  </w:r>
                </w:p>
              </w:tc>
              <w:tc>
                <w:tcPr>
                  <w:tcW w:w="76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39AB85">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磨床</w:t>
                  </w:r>
                </w:p>
              </w:tc>
              <w:tc>
                <w:tcPr>
                  <w:tcW w:w="940" w:type="pct"/>
                  <w:tcBorders>
                    <w:top w:val="single" w:color="auto" w:sz="4" w:space="0"/>
                    <w:left w:val="single" w:color="000000" w:sz="4" w:space="0"/>
                    <w:bottom w:val="single" w:color="000000" w:sz="4" w:space="0"/>
                    <w:right w:val="single" w:color="000000" w:sz="4" w:space="0"/>
                  </w:tcBorders>
                  <w:shd w:val="clear" w:color="auto" w:fill="auto"/>
                  <w:vAlign w:val="center"/>
                </w:tcPr>
                <w:p w14:paraId="7BBA4824">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default"/>
                      <w:color w:val="auto"/>
                      <w:highlight w:val="none"/>
                      <w:lang w:val="en-US" w:eastAsia="zh-CN"/>
                    </w:rPr>
                    <w:t>1700×1500</w:t>
                  </w:r>
                </w:p>
              </w:tc>
              <w:tc>
                <w:tcPr>
                  <w:tcW w:w="457" w:type="pct"/>
                  <w:tcBorders>
                    <w:top w:val="single" w:color="auto" w:sz="4" w:space="0"/>
                    <w:left w:val="single" w:color="000000" w:sz="4" w:space="0"/>
                    <w:bottom w:val="single" w:color="000000" w:sz="4" w:space="0"/>
                    <w:right w:val="single" w:color="000000" w:sz="4" w:space="0"/>
                  </w:tcBorders>
                  <w:shd w:val="clear" w:color="auto" w:fill="auto"/>
                  <w:vAlign w:val="center"/>
                </w:tcPr>
                <w:p w14:paraId="65D41755">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default"/>
                      <w:color w:val="auto"/>
                      <w:highlight w:val="none"/>
                      <w:lang w:val="en-US" w:eastAsia="zh-CN"/>
                    </w:rPr>
                    <w:t>7</w:t>
                  </w:r>
                </w:p>
              </w:tc>
              <w:tc>
                <w:tcPr>
                  <w:tcW w:w="1541" w:type="pct"/>
                  <w:vMerge w:val="continue"/>
                  <w:tcBorders>
                    <w:left w:val="single" w:color="000000" w:sz="4" w:space="0"/>
                    <w:bottom w:val="single" w:color="000000" w:sz="4" w:space="0"/>
                    <w:right w:val="single" w:color="000000" w:sz="4" w:space="0"/>
                  </w:tcBorders>
                  <w:shd w:val="clear" w:color="auto" w:fill="auto"/>
                  <w:vAlign w:val="center"/>
                </w:tcPr>
                <w:p w14:paraId="082B69E6">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p>
              </w:tc>
              <w:tc>
                <w:tcPr>
                  <w:tcW w:w="460" w:type="pct"/>
                  <w:tcBorders>
                    <w:top w:val="single" w:color="auto" w:sz="4" w:space="0"/>
                    <w:left w:val="single" w:color="000000" w:sz="4" w:space="0"/>
                    <w:bottom w:val="single" w:color="000000" w:sz="4" w:space="0"/>
                    <w:right w:val="single" w:color="000000" w:sz="4" w:space="0"/>
                  </w:tcBorders>
                  <w:shd w:val="clear" w:color="auto" w:fill="auto"/>
                  <w:vAlign w:val="center"/>
                </w:tcPr>
                <w:p w14:paraId="6B25D769">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台</w:t>
                  </w:r>
                </w:p>
              </w:tc>
              <w:tc>
                <w:tcPr>
                  <w:tcW w:w="469" w:type="pct"/>
                  <w:tcBorders>
                    <w:top w:val="single" w:color="auto" w:sz="4" w:space="0"/>
                    <w:left w:val="single" w:color="000000" w:sz="4" w:space="0"/>
                    <w:bottom w:val="single" w:color="000000" w:sz="4" w:space="0"/>
                    <w:right w:val="single" w:color="000000" w:sz="4" w:space="0"/>
                  </w:tcBorders>
                  <w:shd w:val="clear" w:color="auto" w:fill="auto"/>
                  <w:vAlign w:val="center"/>
                </w:tcPr>
                <w:p w14:paraId="59186B85">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磨加工</w:t>
                  </w:r>
                </w:p>
              </w:tc>
            </w:tr>
            <w:tr w14:paraId="3A0E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AE4C">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10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011E">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浸胶生产线</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4929">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长</w:t>
                  </w:r>
                  <w:r>
                    <w:rPr>
                      <w:rFonts w:hint="default"/>
                      <w:color w:val="auto"/>
                      <w:highlight w:val="none"/>
                      <w:lang w:val="en-US" w:eastAsia="zh-CN"/>
                    </w:rPr>
                    <w:t>12000×</w:t>
                  </w:r>
                  <w:r>
                    <w:rPr>
                      <w:rFonts w:hint="eastAsia"/>
                      <w:color w:val="auto"/>
                      <w:highlight w:val="none"/>
                      <w:lang w:val="en-US" w:eastAsia="zh-CN"/>
                    </w:rPr>
                    <w:t>宽</w:t>
                  </w:r>
                  <w:r>
                    <w:rPr>
                      <w:rFonts w:hint="default"/>
                      <w:color w:val="auto"/>
                      <w:highlight w:val="none"/>
                      <w:lang w:val="en-US" w:eastAsia="zh-CN"/>
                    </w:rPr>
                    <w:t>1300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533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39B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D85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277B">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浸胶</w:t>
                  </w:r>
                </w:p>
              </w:tc>
            </w:tr>
            <w:tr w14:paraId="7B5F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2AC4">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11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8C5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热压机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633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2300×1650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BD7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204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823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B70B">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热压</w:t>
                  </w:r>
                </w:p>
              </w:tc>
            </w:tr>
            <w:tr w14:paraId="105E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51C5">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DC1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固化烘箱</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B51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4000×3700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ED8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DBD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7F39">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E5C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固化</w:t>
                  </w:r>
                </w:p>
              </w:tc>
            </w:tr>
            <w:tr w14:paraId="64B1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AD7F">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41D2">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冷却水池</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BB7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50m</w:t>
                  </w:r>
                  <w:r>
                    <w:rPr>
                      <w:rFonts w:hint="default"/>
                      <w:color w:val="auto"/>
                      <w:highlight w:val="none"/>
                      <w:vertAlign w:val="superscript"/>
                      <w:lang w:val="en-US" w:eastAsia="zh-CN"/>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457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6CD4">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冷却塔提供冷却水冷却</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B3332">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座</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68C8">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压铸</w:t>
                  </w:r>
                </w:p>
              </w:tc>
            </w:tr>
            <w:tr w14:paraId="0AA0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DF28">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1BB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冷却塔</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AB8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31E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87E8D">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9FCF">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A690">
                  <w:pPr>
                    <w:pStyle w:val="86"/>
                    <w:keepNext w:val="0"/>
                    <w:keepLines w:val="0"/>
                    <w:suppressLineNumbers w:val="0"/>
                    <w:bidi w:val="0"/>
                    <w:spacing w:before="0" w:beforeAutospacing="0" w:after="0" w:afterAutospacing="0"/>
                    <w:ind w:left="0" w:right="0"/>
                    <w:rPr>
                      <w:rFonts w:hint="eastAsia"/>
                      <w:color w:val="auto"/>
                      <w:highlight w:val="none"/>
                    </w:rPr>
                  </w:pPr>
                </w:p>
              </w:tc>
            </w:tr>
            <w:tr w14:paraId="3254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7036">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1279">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冷却水池</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AD7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10m</w:t>
                  </w:r>
                  <w:r>
                    <w:rPr>
                      <w:rFonts w:hint="default"/>
                      <w:color w:val="auto"/>
                      <w:highlight w:val="none"/>
                      <w:vertAlign w:val="superscript"/>
                      <w:lang w:val="en-US" w:eastAsia="zh-CN"/>
                    </w:rPr>
                    <w:t>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B78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8B67">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B6A3B">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座</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F1C37">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挤压、制片</w:t>
                  </w:r>
                </w:p>
              </w:tc>
            </w:tr>
            <w:tr w14:paraId="4D08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B5E2">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5FC7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冷却塔</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9AA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A07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CF97">
                  <w:pPr>
                    <w:pStyle w:val="86"/>
                    <w:keepNext w:val="0"/>
                    <w:keepLines w:val="0"/>
                    <w:suppressLineNumbers w:val="0"/>
                    <w:bidi w:val="0"/>
                    <w:spacing w:before="0" w:beforeAutospacing="0" w:after="0" w:afterAutospacing="0"/>
                    <w:ind w:left="0" w:right="0"/>
                    <w:rPr>
                      <w:rFonts w:hint="eastAsia"/>
                      <w:color w:val="auto"/>
                      <w:highlight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84A1">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1B5A">
                  <w:pPr>
                    <w:pStyle w:val="86"/>
                    <w:keepNext w:val="0"/>
                    <w:keepLines w:val="0"/>
                    <w:suppressLineNumbers w:val="0"/>
                    <w:bidi w:val="0"/>
                    <w:spacing w:before="0" w:beforeAutospacing="0" w:after="0" w:afterAutospacing="0"/>
                    <w:ind w:left="0" w:right="0"/>
                    <w:rPr>
                      <w:rFonts w:hint="eastAsia"/>
                      <w:color w:val="auto"/>
                      <w:highlight w:val="none"/>
                    </w:rPr>
                  </w:pPr>
                </w:p>
              </w:tc>
            </w:tr>
            <w:tr w14:paraId="4C99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39E0">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D26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搅拌机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B41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2670×2070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E7A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3839">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BFD8">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87A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搅拌</w:t>
                  </w:r>
                </w:p>
              </w:tc>
            </w:tr>
            <w:tr w14:paraId="04EF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restart"/>
                  <w:tcBorders>
                    <w:top w:val="single" w:color="000000" w:sz="4" w:space="0"/>
                    <w:left w:val="single" w:color="000000" w:sz="4" w:space="0"/>
                    <w:right w:val="single" w:color="000000" w:sz="4" w:space="0"/>
                  </w:tcBorders>
                  <w:shd w:val="clear" w:color="auto" w:fill="auto"/>
                  <w:vAlign w:val="center"/>
                </w:tcPr>
                <w:p w14:paraId="7C6FB841">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15</w:t>
                  </w: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8504C">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挤压机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F70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4300×1600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96B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0A6E">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电加热</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2E5E">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6824">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挤压</w:t>
                  </w:r>
                </w:p>
              </w:tc>
            </w:tr>
            <w:tr w14:paraId="6C21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vMerge w:val="continue"/>
                  <w:tcBorders>
                    <w:left w:val="single" w:color="000000" w:sz="4" w:space="0"/>
                    <w:bottom w:val="single" w:color="000000" w:sz="4" w:space="0"/>
                    <w:right w:val="single" w:color="000000" w:sz="4" w:space="0"/>
                  </w:tcBorders>
                  <w:shd w:val="clear" w:color="auto" w:fill="auto"/>
                  <w:vAlign w:val="center"/>
                </w:tcPr>
                <w:p w14:paraId="1719F03C">
                  <w:pPr>
                    <w:pStyle w:val="86"/>
                    <w:keepNext w:val="0"/>
                    <w:keepLines w:val="0"/>
                    <w:suppressLineNumbers w:val="0"/>
                    <w:bidi w:val="0"/>
                    <w:spacing w:before="0" w:beforeAutospacing="0" w:after="0" w:afterAutospacing="0"/>
                    <w:ind w:left="0" w:right="0"/>
                    <w:rPr>
                      <w:rFonts w:hint="default"/>
                      <w:color w:val="auto"/>
                      <w:highlight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B6AB">
                  <w:pPr>
                    <w:pStyle w:val="86"/>
                    <w:keepNext w:val="0"/>
                    <w:keepLines w:val="0"/>
                    <w:suppressLineNumbers w:val="0"/>
                    <w:bidi w:val="0"/>
                    <w:spacing w:before="0" w:beforeAutospacing="0" w:after="0" w:afterAutospacing="0"/>
                    <w:ind w:left="0" w:right="0"/>
                    <w:rPr>
                      <w:rFonts w:hint="eastAsia"/>
                      <w:color w:val="auto"/>
                      <w:highlight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2D4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4300×1550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330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5B8E9">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电加热</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BDD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364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挤压</w:t>
                  </w:r>
                </w:p>
              </w:tc>
            </w:tr>
            <w:tr w14:paraId="790A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B949">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A80E">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制片机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C60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3835×985</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74E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6</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9D40">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DE9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886B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制片</w:t>
                  </w:r>
                </w:p>
              </w:tc>
            </w:tr>
            <w:tr w14:paraId="4E2D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ADA3">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A36C">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风机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FF9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437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6</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52A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BF63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2DF2">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废气处理</w:t>
                  </w:r>
                </w:p>
              </w:tc>
            </w:tr>
            <w:tr w14:paraId="550B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F8CB">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D6C1">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（含油）螺杆空压机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EB5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5m</w:t>
                  </w:r>
                  <w:r>
                    <w:rPr>
                      <w:rFonts w:hint="default"/>
                      <w:color w:val="auto"/>
                      <w:highlight w:val="none"/>
                      <w:vertAlign w:val="superscript"/>
                      <w:lang w:val="en-US" w:eastAsia="zh-CN"/>
                    </w:rPr>
                    <w:t>3</w:t>
                  </w:r>
                  <w:r>
                    <w:rPr>
                      <w:rFonts w:hint="default"/>
                      <w:color w:val="auto"/>
                      <w:highlight w:val="none"/>
                      <w:lang w:val="en-US" w:eastAsia="zh-CN"/>
                    </w:rPr>
                    <w:t>/min</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D8B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C5A4">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0CFC">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F352">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压铸</w:t>
                  </w:r>
                </w:p>
              </w:tc>
            </w:tr>
            <w:tr w14:paraId="3FFE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145C">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19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491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（含油）螺杆空压机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F6F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30m</w:t>
                  </w:r>
                  <w:r>
                    <w:rPr>
                      <w:rFonts w:hint="default"/>
                      <w:color w:val="auto"/>
                      <w:highlight w:val="none"/>
                      <w:vertAlign w:val="superscript"/>
                      <w:lang w:val="en-US" w:eastAsia="zh-CN"/>
                    </w:rPr>
                    <w:t>3</w:t>
                  </w:r>
                  <w:r>
                    <w:rPr>
                      <w:rFonts w:hint="default"/>
                      <w:color w:val="auto"/>
                      <w:highlight w:val="none"/>
                      <w:lang w:val="en-US" w:eastAsia="zh-CN"/>
                    </w:rPr>
                    <w:t>/min</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9F1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B3F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一备一用</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2CF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9B24">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辅助生产</w:t>
                  </w:r>
                </w:p>
              </w:tc>
            </w:tr>
            <w:tr w14:paraId="53DD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14F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5C38">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热校平机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79E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520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D5AE">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电加热</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716D">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3041">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校平</w:t>
                  </w:r>
                </w:p>
              </w:tc>
            </w:tr>
            <w:tr w14:paraId="1381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4441">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二</w:t>
                  </w:r>
                </w:p>
              </w:tc>
              <w:tc>
                <w:tcPr>
                  <w:tcW w:w="46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D25E9C">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总成装配</w:t>
                  </w:r>
                </w:p>
              </w:tc>
            </w:tr>
            <w:tr w14:paraId="6224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E0E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C231">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数控车床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BE3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CK46</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984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8</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9EC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D00">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E561">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装配</w:t>
                  </w:r>
                </w:p>
              </w:tc>
            </w:tr>
            <w:tr w14:paraId="2E33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1D0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39D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立式拉床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37E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8A0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5AC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DF6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BCA6">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装配</w:t>
                  </w:r>
                </w:p>
              </w:tc>
            </w:tr>
            <w:tr w14:paraId="0127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480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2A4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多转盘式四维钻攻组合机床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E2B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281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820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008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D731">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装配</w:t>
                  </w:r>
                </w:p>
              </w:tc>
            </w:tr>
            <w:tr w14:paraId="6465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B66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6350">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自动数显齿轮双面啮合仪</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07E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F7C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D14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FA71">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F5A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预装从动齿轮</w:t>
                  </w:r>
                </w:p>
              </w:tc>
            </w:tr>
            <w:tr w14:paraId="4137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E72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57B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打包机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221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PP</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824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D5A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19D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9D9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包装</w:t>
                  </w:r>
                </w:p>
              </w:tc>
            </w:tr>
            <w:tr w14:paraId="418A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A5C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6</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EC1D">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多头钻床</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F20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60C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72D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9493">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0AE0">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装配</w:t>
                  </w:r>
                </w:p>
              </w:tc>
            </w:tr>
            <w:tr w14:paraId="3328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55D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D1B2">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台钻</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9E0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C83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5</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2CCF">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8935">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6A7D">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装配</w:t>
                  </w:r>
                </w:p>
              </w:tc>
            </w:tr>
            <w:tr w14:paraId="0CC8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597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2AE1">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超声波离通过式清洗机</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920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16500×1100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5DB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DE01">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改造后采用自动设备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1A21">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60B1">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清洗</w:t>
                  </w:r>
                </w:p>
              </w:tc>
            </w:tr>
            <w:tr w14:paraId="7648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C5EA">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F987">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加工中心</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DFA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VMC640LH</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41D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530C">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9D0E">
                  <w:pPr>
                    <w:pStyle w:val="86"/>
                    <w:keepNext w:val="0"/>
                    <w:keepLines w:val="0"/>
                    <w:suppressLineNumbers w:val="0"/>
                    <w:bidi w:val="0"/>
                    <w:spacing w:before="0" w:beforeAutospacing="0" w:after="0" w:afterAutospacing="0"/>
                    <w:ind w:left="0" w:right="0"/>
                    <w:rPr>
                      <w:rFonts w:hint="default"/>
                      <w:color w:val="auto"/>
                      <w:highlight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9048">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装配</w:t>
                  </w:r>
                </w:p>
              </w:tc>
            </w:tr>
            <w:tr w14:paraId="5F9C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4BE5">
                  <w:pPr>
                    <w:pStyle w:val="86"/>
                    <w:keepNext w:val="0"/>
                    <w:keepLines w:val="0"/>
                    <w:suppressLineNumbers w:val="0"/>
                    <w:bidi w:val="0"/>
                    <w:spacing w:before="0" w:beforeAutospacing="0" w:after="0" w:afterAutospacing="0"/>
                    <w:ind w:left="0" w:right="0"/>
                    <w:rPr>
                      <w:rFonts w:hint="default"/>
                      <w:color w:val="auto"/>
                      <w:highlight w:val="none"/>
                      <w:lang w:val="en-US"/>
                    </w:rPr>
                  </w:pPr>
                  <w:r>
                    <w:rPr>
                      <w:rFonts w:hint="default"/>
                      <w:color w:val="auto"/>
                      <w:highlight w:val="none"/>
                      <w:lang w:val="en-US" w:eastAsia="zh-CN"/>
                    </w:rPr>
                    <w:t>1</w:t>
                  </w:r>
                  <w:r>
                    <w:rPr>
                      <w:rFonts w:hint="eastAsia"/>
                      <w:color w:val="auto"/>
                      <w:highlight w:val="none"/>
                      <w:lang w:val="en-US" w:eastAsia="zh-CN"/>
                    </w:rPr>
                    <w:t>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087B">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平磨</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4412">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3B27">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1</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191A">
                  <w:pPr>
                    <w:pStyle w:val="86"/>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8393">
                  <w:pPr>
                    <w:pStyle w:val="86"/>
                    <w:keepNext w:val="0"/>
                    <w:keepLines w:val="0"/>
                    <w:suppressLineNumbers w:val="0"/>
                    <w:bidi w:val="0"/>
                    <w:spacing w:before="0" w:beforeAutospacing="0" w:after="0" w:afterAutospacing="0"/>
                    <w:ind w:left="0" w:right="0"/>
                    <w:rPr>
                      <w:rFonts w:hint="eastAsia"/>
                      <w:color w:val="auto"/>
                      <w:highlight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5CCB">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装配</w:t>
                  </w:r>
                </w:p>
              </w:tc>
            </w:tr>
          </w:tbl>
          <w:p w14:paraId="3C6AA970">
            <w:pPr>
              <w:pStyle w:val="81"/>
              <w:keepNext w:val="0"/>
              <w:keepLines w:val="0"/>
              <w:suppressLineNumbers w:val="0"/>
              <w:spacing w:before="0" w:beforeAutospacing="0" w:after="0" w:afterAutospacing="0"/>
              <w:ind w:left="0" w:right="0"/>
              <w:rPr>
                <w:rFonts w:hint="default"/>
                <w:color w:val="auto"/>
                <w:highlight w:val="none"/>
              </w:rPr>
            </w:pPr>
          </w:p>
          <w:p w14:paraId="14DB69F9">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本项目所使用的生产设备均不属于</w:t>
            </w:r>
            <w:r>
              <w:rPr>
                <w:rFonts w:hint="eastAsia"/>
                <w:color w:val="auto"/>
                <w:highlight w:val="none"/>
                <w:lang w:eastAsia="zh-CN"/>
              </w:rPr>
              <w:t>《产业结构调整指导目录（2024年本）》</w:t>
            </w:r>
            <w:r>
              <w:rPr>
                <w:rFonts w:hint="default"/>
                <w:color w:val="auto"/>
                <w:highlight w:val="none"/>
              </w:rPr>
              <w:t>中禁止及淘汰设备，也不属于工信部发布的第一、二、三、四批《高耗能落后机电设备（产品）淘汰目录》中落后淘汰设备。</w:t>
            </w:r>
          </w:p>
          <w:p w14:paraId="1F57A839">
            <w:pPr>
              <w:pStyle w:val="74"/>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产能匹配性分析：</w:t>
            </w:r>
          </w:p>
          <w:p w14:paraId="6648E704">
            <w:pPr>
              <w:pStyle w:val="74"/>
              <w:keepNext w:val="0"/>
              <w:keepLines w:val="0"/>
              <w:suppressLineNumbers w:val="0"/>
              <w:bidi w:val="0"/>
              <w:spacing w:before="0" w:beforeAutospacing="0" w:after="0" w:afterAutospacing="0"/>
              <w:ind w:left="0" w:right="0" w:firstLine="520" w:firstLineChars="200"/>
              <w:rPr>
                <w:rFonts w:hint="default"/>
                <w:color w:val="auto"/>
                <w:highlight w:val="none"/>
                <w:lang w:val="en-US" w:eastAsia="zh-CN"/>
              </w:rPr>
            </w:pPr>
            <w:r>
              <w:rPr>
                <w:rFonts w:hint="eastAsia"/>
                <w:color w:val="auto"/>
                <w:highlight w:val="none"/>
                <w:lang w:val="en-US" w:eastAsia="zh-CN"/>
              </w:rPr>
              <w:t>本项目生产的瓶颈环节主要为热熔压铸工序，根据本项目熔铸机的设备加工能力，DCC800、DCC80、DCC280的熔铸能力分别为125kg/h、1.25kg/h、18.75kg/h。DCC800、DCC80、DCC280熔铸机的数量分别为1台、9台、4台，则本项目配套14台熔铸机的总加工能力约为211.25kg/h，熔铸工序的生产时长为6000h/a，则总能力为1267.5t/a，热熔、压铸生产线铝合金加工量约为1265t/a（含金属铸件抛丸、磨加工产生的金属除尘灰，不合格品中金属部分回用量），因此，本项目的设备与产能相匹配。</w:t>
            </w:r>
          </w:p>
          <w:p w14:paraId="1AB1CA0A">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default"/>
                <w:color w:val="auto"/>
                <w:sz w:val="26"/>
                <w:szCs w:val="26"/>
                <w:highlight w:val="none"/>
              </w:rPr>
              <w:t xml:space="preserve">2.5 </w:t>
            </w:r>
            <w:r>
              <w:rPr>
                <w:rFonts w:hint="eastAsia"/>
                <w:color w:val="auto"/>
                <w:sz w:val="26"/>
                <w:szCs w:val="26"/>
                <w:highlight w:val="none"/>
              </w:rPr>
              <w:t>主要原辅材料及资源能源消耗</w:t>
            </w:r>
          </w:p>
          <w:p w14:paraId="43FBB89C">
            <w:pPr>
              <w:pStyle w:val="67"/>
              <w:keepNext w:val="0"/>
              <w:keepLines w:val="0"/>
              <w:suppressLineNumbers w:val="0"/>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2</w:t>
            </w:r>
            <w:r>
              <w:rPr>
                <w:rFonts w:hint="default"/>
                <w:color w:val="auto"/>
                <w:sz w:val="26"/>
                <w:szCs w:val="26"/>
                <w:highlight w:val="none"/>
              </w:rPr>
              <w:t>.5.1</w:t>
            </w:r>
            <w:r>
              <w:rPr>
                <w:rFonts w:hint="eastAsia"/>
                <w:color w:val="auto"/>
                <w:sz w:val="26"/>
                <w:szCs w:val="26"/>
                <w:highlight w:val="none"/>
              </w:rPr>
              <w:t>主要原辅材料</w:t>
            </w:r>
          </w:p>
          <w:p w14:paraId="7636F659">
            <w:pPr>
              <w:pStyle w:val="57"/>
              <w:keepNext w:val="0"/>
              <w:keepLines w:val="0"/>
              <w:suppressLineNumbers w:val="0"/>
              <w:spacing w:before="0" w:beforeAutospacing="0" w:after="0" w:afterAutospacing="0" w:line="400" w:lineRule="exact"/>
              <w:ind w:left="0" w:right="0" w:firstLine="520"/>
              <w:rPr>
                <w:rFonts w:hint="default"/>
                <w:color w:val="auto"/>
                <w:szCs w:val="26"/>
                <w:highlight w:val="none"/>
              </w:rPr>
            </w:pPr>
            <w:r>
              <w:rPr>
                <w:rFonts w:hint="eastAsia"/>
                <w:color w:val="auto"/>
                <w:szCs w:val="26"/>
                <w:highlight w:val="none"/>
              </w:rPr>
              <w:t>生产所用的原辅材料见表2</w:t>
            </w:r>
            <w:r>
              <w:rPr>
                <w:rFonts w:hint="default"/>
                <w:color w:val="auto"/>
                <w:szCs w:val="26"/>
                <w:highlight w:val="none"/>
              </w:rPr>
              <w:t>.5-1</w:t>
            </w:r>
            <w:r>
              <w:rPr>
                <w:rFonts w:hint="eastAsia"/>
                <w:color w:val="auto"/>
                <w:szCs w:val="26"/>
                <w:highlight w:val="none"/>
              </w:rPr>
              <w:t>，原辅材料性质表见表2</w:t>
            </w:r>
            <w:r>
              <w:rPr>
                <w:rFonts w:hint="default"/>
                <w:color w:val="auto"/>
                <w:szCs w:val="26"/>
                <w:highlight w:val="none"/>
              </w:rPr>
              <w:t>.5-2</w:t>
            </w:r>
            <w:r>
              <w:rPr>
                <w:rFonts w:hint="eastAsia"/>
                <w:color w:val="auto"/>
                <w:szCs w:val="26"/>
                <w:highlight w:val="none"/>
              </w:rPr>
              <w:t>。</w:t>
            </w:r>
          </w:p>
          <w:p w14:paraId="1D7B5A48">
            <w:pPr>
              <w:pStyle w:val="65"/>
              <w:keepNext w:val="0"/>
              <w:keepLines w:val="0"/>
              <w:suppressLineNumbers w:val="0"/>
              <w:spacing w:before="0" w:beforeAutospacing="0" w:after="0" w:afterAutospacing="0"/>
              <w:ind w:left="0" w:right="0"/>
              <w:rPr>
                <w:rFonts w:hint="default"/>
                <w:color w:val="auto"/>
                <w:highlight w:val="none"/>
              </w:rPr>
            </w:pPr>
          </w:p>
          <w:p w14:paraId="6B9726B2">
            <w:pPr>
              <w:pStyle w:val="65"/>
              <w:keepNext w:val="0"/>
              <w:keepLines w:val="0"/>
              <w:suppressLineNumbers w:val="0"/>
              <w:spacing w:before="0" w:beforeAutospacing="0" w:after="0" w:afterAutospacing="0"/>
              <w:ind w:left="0" w:right="0"/>
              <w:rPr>
                <w:rFonts w:hint="default"/>
                <w:color w:val="auto"/>
                <w:highlight w:val="none"/>
              </w:rPr>
            </w:pPr>
            <w:r>
              <w:rPr>
                <w:rFonts w:hint="default"/>
                <w:color w:val="auto"/>
                <w:sz w:val="26"/>
                <w:szCs w:val="26"/>
                <w:highlight w:val="none"/>
              </w:rPr>
              <w:t>表2.5-1   主要原辅材料消耗表</w:t>
            </w:r>
          </w:p>
          <w:tbl>
            <w:tblPr>
              <w:tblStyle w:val="25"/>
              <w:tblW w:w="9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1352"/>
              <w:gridCol w:w="876"/>
              <w:gridCol w:w="887"/>
              <w:gridCol w:w="1478"/>
              <w:gridCol w:w="1370"/>
              <w:gridCol w:w="2396"/>
            </w:tblGrid>
            <w:tr w14:paraId="31BA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48D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序号</w:t>
                  </w:r>
                </w:p>
              </w:tc>
              <w:tc>
                <w:tcPr>
                  <w:tcW w:w="738" w:type="pct"/>
                  <w:tcBorders>
                    <w:top w:val="single" w:color="000000" w:sz="4" w:space="0"/>
                    <w:left w:val="single" w:color="000000" w:sz="4" w:space="0"/>
                    <w:right w:val="single" w:color="000000" w:sz="4" w:space="0"/>
                  </w:tcBorders>
                  <w:shd w:val="clear" w:color="auto" w:fill="auto"/>
                  <w:vAlign w:val="center"/>
                </w:tcPr>
                <w:p w14:paraId="2EFF83C1">
                  <w:pPr>
                    <w:pStyle w:val="86"/>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r>
                    <w:rPr>
                      <w:rFonts w:hint="eastAsia"/>
                      <w:color w:val="auto"/>
                      <w:sz w:val="20"/>
                      <w:szCs w:val="20"/>
                      <w:highlight w:val="none"/>
                      <w:lang w:val="en-US" w:eastAsia="zh-CN"/>
                    </w:rPr>
                    <w:t>材料</w:t>
                  </w:r>
                </w:p>
                <w:p w14:paraId="38E1916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名称</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754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单位</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F20B">
                  <w:pPr>
                    <w:pStyle w:val="86"/>
                    <w:keepNext w:val="0"/>
                    <w:keepLines w:val="0"/>
                    <w:suppressLineNumbers w:val="0"/>
                    <w:bidi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年用量</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70F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最大储存量</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1C2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备注</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9B5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工序</w:t>
                  </w:r>
                </w:p>
              </w:tc>
            </w:tr>
            <w:tr w14:paraId="4CDD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0E1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一</w:t>
                  </w:r>
                </w:p>
              </w:tc>
              <w:tc>
                <w:tcPr>
                  <w:tcW w:w="45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ABEB17">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离合器摩擦片生产</w:t>
                  </w:r>
                </w:p>
              </w:tc>
            </w:tr>
            <w:tr w14:paraId="0DADF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AC7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099F">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硅镁铝合金锭</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D53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20D9">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1265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62A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C5A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铝合金</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788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热熔、压铸</w:t>
                  </w:r>
                </w:p>
              </w:tc>
            </w:tr>
            <w:tr w14:paraId="72E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EC7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6AD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脱模剂</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2DC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A9D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 xml:space="preserve">1.26 </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FBF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0.036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B22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18kg/桶</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5D0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压铸（与水1:</w:t>
                  </w:r>
                  <w:r>
                    <w:rPr>
                      <w:rFonts w:hint="eastAsia"/>
                      <w:color w:val="auto"/>
                      <w:sz w:val="20"/>
                      <w:szCs w:val="20"/>
                      <w:highlight w:val="none"/>
                      <w:lang w:val="en-US" w:eastAsia="zh-CN"/>
                    </w:rPr>
                    <w:t>80</w:t>
                  </w:r>
                  <w:r>
                    <w:rPr>
                      <w:rFonts w:hint="default"/>
                      <w:color w:val="auto"/>
                      <w:sz w:val="20"/>
                      <w:szCs w:val="20"/>
                      <w:highlight w:val="none"/>
                      <w:lang w:val="en-US" w:eastAsia="zh-CN"/>
                    </w:rPr>
                    <w:t>配制）</w:t>
                  </w:r>
                </w:p>
              </w:tc>
            </w:tr>
            <w:tr w14:paraId="7201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8C6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7E5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乙醇</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DAD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556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15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388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0.68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703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170kg/桶</w:t>
                  </w:r>
                </w:p>
              </w:tc>
              <w:tc>
                <w:tcPr>
                  <w:tcW w:w="1307" w:type="pct"/>
                  <w:vMerge w:val="restart"/>
                  <w:tcBorders>
                    <w:top w:val="single" w:color="000000" w:sz="4" w:space="0"/>
                    <w:left w:val="single" w:color="000000" w:sz="4" w:space="0"/>
                    <w:right w:val="single" w:color="000000" w:sz="4" w:space="0"/>
                  </w:tcBorders>
                  <w:shd w:val="clear" w:color="auto" w:fill="auto"/>
                  <w:vAlign w:val="center"/>
                </w:tcPr>
                <w:p w14:paraId="55A3478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浸胶（按照胶粉与乙醇1:7配制）</w:t>
                  </w:r>
                </w:p>
              </w:tc>
            </w:tr>
            <w:tr w14:paraId="43DD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F4E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6A8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胶粉</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4876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B47F">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426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0.096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676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12kg/袋</w:t>
                  </w:r>
                </w:p>
              </w:tc>
              <w:tc>
                <w:tcPr>
                  <w:tcW w:w="1307" w:type="pct"/>
                  <w:vMerge w:val="continue"/>
                  <w:tcBorders>
                    <w:left w:val="single" w:color="000000" w:sz="4" w:space="0"/>
                    <w:bottom w:val="single" w:color="000000" w:sz="4" w:space="0"/>
                    <w:right w:val="single" w:color="000000" w:sz="4" w:space="0"/>
                  </w:tcBorders>
                  <w:shd w:val="clear" w:color="auto" w:fill="auto"/>
                  <w:vAlign w:val="center"/>
                </w:tcPr>
                <w:p w14:paraId="2E32A68B">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r>
            <w:tr w14:paraId="45D4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433E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CD0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不锈钢丸</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47C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5A5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 xml:space="preserve">21 </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EF5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00D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50kg/箱</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B0D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抛丸</w:t>
                  </w:r>
                </w:p>
              </w:tc>
            </w:tr>
            <w:tr w14:paraId="7EF1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E012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D77A">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0"/>
                      <w:szCs w:val="20"/>
                      <w:highlight w:val="none"/>
                      <w:lang w:val="en-US" w:eastAsia="zh-CN" w:bidi="ar-SA"/>
                    </w:rPr>
                  </w:pPr>
                  <w:r>
                    <w:rPr>
                      <w:rFonts w:hint="eastAsia"/>
                      <w:color w:val="auto"/>
                      <w:sz w:val="20"/>
                      <w:szCs w:val="20"/>
                      <w:highlight w:val="none"/>
                      <w:lang w:val="en-US" w:eastAsia="zh-CN"/>
                    </w:rPr>
                    <w:t>软木、硅藻土混合粉末</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0435">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0"/>
                      <w:szCs w:val="20"/>
                      <w:highlight w:val="none"/>
                      <w:lang w:val="en-US" w:eastAsia="zh-CN" w:bidi="ar-SA"/>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FED9">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0"/>
                      <w:szCs w:val="20"/>
                      <w:highlight w:val="none"/>
                      <w:lang w:val="en-US" w:eastAsia="zh-CN" w:bidi="ar-SA"/>
                    </w:rPr>
                  </w:pPr>
                  <w:r>
                    <w:rPr>
                      <w:rFonts w:hint="default"/>
                      <w:color w:val="auto"/>
                      <w:sz w:val="20"/>
                      <w:szCs w:val="20"/>
                      <w:highlight w:val="none"/>
                      <w:lang w:val="en-US" w:eastAsia="zh-CN"/>
                    </w:rPr>
                    <w:t>20.4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67E6">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0"/>
                      <w:szCs w:val="20"/>
                      <w:highlight w:val="none"/>
                      <w:lang w:val="en-US" w:eastAsia="zh-CN" w:bidi="ar-SA"/>
                    </w:rPr>
                  </w:pPr>
                  <w:r>
                    <w:rPr>
                      <w:rFonts w:hint="default"/>
                      <w:color w:val="auto"/>
                      <w:sz w:val="20"/>
                      <w:szCs w:val="20"/>
                      <w:highlight w:val="none"/>
                      <w:lang w:val="en-US" w:eastAsia="zh-CN"/>
                    </w:rPr>
                    <w:t>0.5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E49F">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0"/>
                      <w:szCs w:val="20"/>
                      <w:highlight w:val="none"/>
                      <w:lang w:val="en-US" w:eastAsia="zh-CN" w:bidi="ar-SA"/>
                    </w:rPr>
                  </w:pPr>
                  <w:r>
                    <w:rPr>
                      <w:rFonts w:hint="eastAsia"/>
                      <w:color w:val="auto"/>
                      <w:sz w:val="20"/>
                      <w:szCs w:val="20"/>
                      <w:highlight w:val="none"/>
                      <w:lang w:val="en-US" w:eastAsia="zh-CN"/>
                    </w:rPr>
                    <w:t>外购，袋装，黑色粉末状</w:t>
                  </w:r>
                </w:p>
              </w:tc>
              <w:tc>
                <w:tcPr>
                  <w:tcW w:w="1307" w:type="pct"/>
                  <w:vMerge w:val="restart"/>
                  <w:tcBorders>
                    <w:top w:val="single" w:color="000000" w:sz="4" w:space="0"/>
                    <w:left w:val="single" w:color="000000" w:sz="4" w:space="0"/>
                    <w:right w:val="single" w:color="000000" w:sz="4" w:space="0"/>
                  </w:tcBorders>
                  <w:shd w:val="clear" w:color="auto" w:fill="auto"/>
                  <w:vAlign w:val="center"/>
                </w:tcPr>
                <w:p w14:paraId="694A94A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混合搅拌、加热挤压、成型切片制成橡胶片；热压</w:t>
                  </w:r>
                </w:p>
              </w:tc>
            </w:tr>
            <w:tr w14:paraId="4884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1A74">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446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丁腈胶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CBE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4D3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4.76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A2D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0.12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2F33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外购，袋装，块状</w:t>
                  </w:r>
                </w:p>
              </w:tc>
              <w:tc>
                <w:tcPr>
                  <w:tcW w:w="1307" w:type="pct"/>
                  <w:vMerge w:val="continue"/>
                  <w:tcBorders>
                    <w:left w:val="single" w:color="000000" w:sz="4" w:space="0"/>
                    <w:bottom w:val="single" w:color="000000" w:sz="4" w:space="0"/>
                    <w:right w:val="single" w:color="000000" w:sz="4" w:space="0"/>
                  </w:tcBorders>
                  <w:shd w:val="clear" w:color="auto" w:fill="auto"/>
                  <w:vAlign w:val="center"/>
                </w:tcPr>
                <w:p w14:paraId="4A990338">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r>
            <w:tr w14:paraId="7994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6BB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8D2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模具</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3D0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套</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3BB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 xml:space="preserve">330 </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90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8B8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外购，钢制</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3A28">
                  <w:pPr>
                    <w:pStyle w:val="86"/>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r>
                    <w:rPr>
                      <w:rFonts w:hint="eastAsia"/>
                      <w:color w:val="auto"/>
                      <w:sz w:val="20"/>
                      <w:szCs w:val="20"/>
                      <w:highlight w:val="none"/>
                      <w:lang w:val="en-US" w:eastAsia="zh-CN"/>
                    </w:rPr>
                    <w:t>压铸</w:t>
                  </w:r>
                </w:p>
                <w:p w14:paraId="0E09448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b w:val="0"/>
                      <w:bCs w:val="0"/>
                      <w:color w:val="auto"/>
                      <w:sz w:val="20"/>
                      <w:szCs w:val="20"/>
                      <w:highlight w:val="none"/>
                      <w:lang w:val="en-US" w:eastAsia="zh-CN"/>
                    </w:rPr>
                    <w:t>使用寿命</w:t>
                  </w:r>
                  <w:r>
                    <w:rPr>
                      <w:rFonts w:hint="default"/>
                      <w:b w:val="0"/>
                      <w:bCs w:val="0"/>
                      <w:color w:val="auto"/>
                      <w:sz w:val="20"/>
                      <w:szCs w:val="20"/>
                      <w:highlight w:val="none"/>
                      <w:lang w:val="en-US" w:eastAsia="zh-CN"/>
                    </w:rPr>
                    <w:t>6</w:t>
                  </w:r>
                  <w:r>
                    <w:rPr>
                      <w:rFonts w:hint="eastAsia"/>
                      <w:b w:val="0"/>
                      <w:bCs w:val="0"/>
                      <w:color w:val="auto"/>
                      <w:sz w:val="20"/>
                      <w:szCs w:val="20"/>
                      <w:highlight w:val="none"/>
                      <w:lang w:val="en-US" w:eastAsia="zh-CN"/>
                    </w:rPr>
                    <w:t>万次</w:t>
                  </w:r>
                  <w:r>
                    <w:rPr>
                      <w:rFonts w:hint="default"/>
                      <w:b w:val="0"/>
                      <w:bCs w:val="0"/>
                      <w:color w:val="auto"/>
                      <w:sz w:val="20"/>
                      <w:szCs w:val="20"/>
                      <w:highlight w:val="none"/>
                      <w:lang w:val="en-US" w:eastAsia="zh-CN"/>
                    </w:rPr>
                    <w:t>/</w:t>
                  </w:r>
                  <w:r>
                    <w:rPr>
                      <w:rFonts w:hint="eastAsia"/>
                      <w:b w:val="0"/>
                      <w:bCs w:val="0"/>
                      <w:color w:val="auto"/>
                      <w:sz w:val="20"/>
                      <w:szCs w:val="20"/>
                      <w:highlight w:val="none"/>
                      <w:lang w:val="en-US" w:eastAsia="zh-CN"/>
                    </w:rPr>
                    <w:t>套</w:t>
                  </w:r>
                </w:p>
              </w:tc>
            </w:tr>
            <w:tr w14:paraId="315FA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6BB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F16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除渣剂</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A41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吨</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F61D">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09F7">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0.05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575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25kg/桶</w:t>
                  </w:r>
                </w:p>
              </w:tc>
              <w:tc>
                <w:tcPr>
                  <w:tcW w:w="13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08EE">
                  <w:pPr>
                    <w:pStyle w:val="86"/>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r>
                    <w:rPr>
                      <w:rFonts w:hint="default"/>
                      <w:color w:val="auto"/>
                      <w:sz w:val="20"/>
                      <w:szCs w:val="20"/>
                      <w:highlight w:val="none"/>
                      <w:lang w:val="en-US" w:eastAsia="zh-CN"/>
                    </w:rPr>
                    <w:t>热熔</w:t>
                  </w:r>
                </w:p>
              </w:tc>
            </w:tr>
            <w:tr w14:paraId="048E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178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二</w:t>
                  </w:r>
                </w:p>
              </w:tc>
              <w:tc>
                <w:tcPr>
                  <w:tcW w:w="45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89A36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摩托车、电动车离合器总成装配</w:t>
                  </w:r>
                </w:p>
              </w:tc>
            </w:tr>
            <w:tr w14:paraId="0FC5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BA9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B7A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主动齿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92A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F8D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095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4B8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569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71B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3EA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A11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罩壳</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74F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40B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1BE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B24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3D6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70BB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73F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DB1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副齿轮</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3FE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166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130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DBC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9EB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94C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3A3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E65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定位销</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167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5D5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1EE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8E2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BF2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6F4C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079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6CC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扭簧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F48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E14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71F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F631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A54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C43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03A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0EF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压套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17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154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BFC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F5F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08F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0A9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1A9A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2C7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密封垫</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A1A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F0E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226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EDF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286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BD5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443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A2A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平垫圈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226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48A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18D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622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EC2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64B4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949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852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大圆螺母</w:t>
                  </w:r>
                  <w:r>
                    <w:rPr>
                      <w:rFonts w:hint="default"/>
                      <w:color w:val="auto"/>
                      <w:sz w:val="20"/>
                      <w:szCs w:val="20"/>
                      <w:highlight w:val="none"/>
                      <w:lang w:val="en-US" w:eastAsia="zh-CN"/>
                    </w:rPr>
                    <w:t>φ28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044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C7D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8733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CC9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1A8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F9F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C69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4D2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蝶形垫圈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1C9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0DD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F42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D30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162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6560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657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362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铆钉</w:t>
                  </w:r>
                  <w:r>
                    <w:rPr>
                      <w:rFonts w:hint="default"/>
                      <w:color w:val="auto"/>
                      <w:sz w:val="20"/>
                      <w:szCs w:val="20"/>
                      <w:highlight w:val="none"/>
                      <w:lang w:val="en-US" w:eastAsia="zh-CN"/>
                    </w:rPr>
                    <w:t>5*10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16C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C0E2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90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6970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3A9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2EB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6813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EDC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AD0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开口挡圈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572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1A2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90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A62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33E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163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1CCC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C93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A56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接油盒组件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CDF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592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643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2BC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C7F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2621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424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DC6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衬套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E0F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174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FCA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47A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5F7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2D65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261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054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花键垫圈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17F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71F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933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643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263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F00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B21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BD2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定位环</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7F1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6B5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959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2D6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F7C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FA6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416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84B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尼龙套</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740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DB7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E96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1657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984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3B0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5C5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151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蝶形垫圈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A6F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02F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533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4CE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56D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BBB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B8C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04C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挺杆组合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7B5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EFB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C89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91D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938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4EF7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CD4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D43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螺栓</w:t>
                  </w:r>
                  <w:r>
                    <w:rPr>
                      <w:rFonts w:hint="default"/>
                      <w:color w:val="auto"/>
                      <w:sz w:val="20"/>
                      <w:szCs w:val="20"/>
                      <w:highlight w:val="none"/>
                      <w:lang w:val="en-US" w:eastAsia="zh-CN"/>
                    </w:rPr>
                    <w:t>M6*20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E76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F88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F49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A8A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9B0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E93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280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930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螺栓</w:t>
                  </w:r>
                  <w:r>
                    <w:rPr>
                      <w:rFonts w:hint="default"/>
                      <w:color w:val="auto"/>
                      <w:sz w:val="20"/>
                      <w:szCs w:val="20"/>
                      <w:highlight w:val="none"/>
                      <w:lang w:val="en-US" w:eastAsia="zh-CN"/>
                    </w:rPr>
                    <w:t>M6*22</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1F3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A01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120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1E8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18F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9CF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2118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4E7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8B4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垫圈</w:t>
                  </w:r>
                  <w:r>
                    <w:rPr>
                      <w:rFonts w:hint="default"/>
                      <w:color w:val="auto"/>
                      <w:sz w:val="20"/>
                      <w:szCs w:val="20"/>
                      <w:highlight w:val="none"/>
                      <w:lang w:val="en-US" w:eastAsia="zh-CN"/>
                    </w:rPr>
                    <w:t>φ8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5B8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54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847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04E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738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697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306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F72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O</w:t>
                  </w:r>
                  <w:r>
                    <w:rPr>
                      <w:rFonts w:hint="eastAsia"/>
                      <w:color w:val="auto"/>
                      <w:sz w:val="20"/>
                      <w:szCs w:val="20"/>
                      <w:highlight w:val="none"/>
                      <w:lang w:val="en-US" w:eastAsia="zh-CN"/>
                    </w:rPr>
                    <w:t>型封圈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FD0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7F7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E65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B669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97F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5F41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5DB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B71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螺母</w:t>
                  </w:r>
                  <w:r>
                    <w:rPr>
                      <w:rFonts w:hint="default"/>
                      <w:color w:val="auto"/>
                      <w:sz w:val="20"/>
                      <w:szCs w:val="20"/>
                      <w:highlight w:val="none"/>
                      <w:lang w:val="en-US" w:eastAsia="zh-CN"/>
                    </w:rPr>
                    <w:t>M8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816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247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239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26D4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BE5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17FC6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DA8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F18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轴承</w:t>
                  </w:r>
                  <w:r>
                    <w:rPr>
                      <w:rFonts w:hint="default"/>
                      <w:color w:val="auto"/>
                      <w:sz w:val="20"/>
                      <w:szCs w:val="20"/>
                      <w:highlight w:val="none"/>
                      <w:lang w:val="en-US" w:eastAsia="zh-CN"/>
                    </w:rPr>
                    <w:t>6000</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F59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万件</w:t>
                  </w:r>
                  <w:r>
                    <w:rPr>
                      <w:rFonts w:hint="default"/>
                      <w:color w:val="auto"/>
                      <w:sz w:val="20"/>
                      <w:szCs w:val="20"/>
                      <w:highlight w:val="none"/>
                      <w:lang w:val="en-US" w:eastAsia="zh-CN"/>
                    </w:rPr>
                    <w: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C01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843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5BD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外购</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74A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装配</w:t>
                  </w:r>
                </w:p>
              </w:tc>
            </w:tr>
            <w:tr w14:paraId="6C9B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589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C68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清洗剂</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FAB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ED4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0.075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337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0.005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113C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5kg/袋，与水1:20溶解后使用</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75D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离合器清洗</w:t>
                  </w:r>
                </w:p>
              </w:tc>
            </w:tr>
            <w:tr w14:paraId="0CCE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AF3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D90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包装物</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EAB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7E0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AB1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0.15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E2C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包装纸、箱</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286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包装</w:t>
                  </w:r>
                </w:p>
              </w:tc>
            </w:tr>
            <w:tr w14:paraId="08E7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9AD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三</w:t>
                  </w:r>
                </w:p>
              </w:tc>
              <w:tc>
                <w:tcPr>
                  <w:tcW w:w="45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8B478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模具、设备修护</w:t>
                  </w:r>
                </w:p>
              </w:tc>
            </w:tr>
            <w:tr w14:paraId="5731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70F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15C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液压油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ED5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820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4BD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297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100kg/桶</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E56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设备</w:t>
                  </w:r>
                </w:p>
              </w:tc>
            </w:tr>
            <w:tr w14:paraId="16F2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E63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1BE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机油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C12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t/a</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2E2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D6F8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521E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100kg/桶</w:t>
                  </w:r>
                </w:p>
              </w:tc>
              <w:tc>
                <w:tcPr>
                  <w:tcW w:w="1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D6B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模具、设备</w:t>
                  </w:r>
                </w:p>
              </w:tc>
            </w:tr>
          </w:tbl>
          <w:p w14:paraId="79124F79">
            <w:pPr>
              <w:pStyle w:val="65"/>
              <w:keepNext w:val="0"/>
              <w:keepLines w:val="0"/>
              <w:suppressLineNumbers w:val="0"/>
              <w:spacing w:before="0" w:beforeAutospacing="0" w:after="0" w:afterAutospacing="0"/>
              <w:ind w:left="0" w:right="0"/>
              <w:rPr>
                <w:rFonts w:hint="default"/>
                <w:color w:val="auto"/>
                <w:highlight w:val="none"/>
              </w:rPr>
            </w:pPr>
          </w:p>
          <w:p w14:paraId="0653690E">
            <w:pPr>
              <w:pStyle w:val="65"/>
              <w:keepNext w:val="0"/>
              <w:keepLines w:val="0"/>
              <w:suppressLineNumbers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表2</w:t>
            </w:r>
            <w:r>
              <w:rPr>
                <w:rFonts w:hint="default"/>
                <w:color w:val="auto"/>
                <w:sz w:val="26"/>
                <w:szCs w:val="26"/>
                <w:highlight w:val="none"/>
              </w:rPr>
              <w:t xml:space="preserve">.5-2 </w:t>
            </w:r>
            <w:r>
              <w:rPr>
                <w:rFonts w:hint="eastAsia"/>
                <w:color w:val="auto"/>
                <w:sz w:val="26"/>
                <w:szCs w:val="26"/>
                <w:highlight w:val="none"/>
                <w:lang w:val="en-US" w:eastAsia="zh-CN"/>
              </w:rPr>
              <w:t xml:space="preserve"> </w:t>
            </w:r>
            <w:r>
              <w:rPr>
                <w:rFonts w:hint="eastAsia"/>
                <w:color w:val="auto"/>
                <w:sz w:val="26"/>
                <w:szCs w:val="26"/>
                <w:highlight w:val="none"/>
              </w:rPr>
              <w:t>原辅材料性质表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8072"/>
            </w:tblGrid>
            <w:tr w14:paraId="6FD5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35D48DA9">
                  <w:pPr>
                    <w:pStyle w:val="62"/>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名称</w:t>
                  </w:r>
                </w:p>
              </w:tc>
              <w:tc>
                <w:tcPr>
                  <w:tcW w:w="8168" w:type="dxa"/>
                  <w:vAlign w:val="center"/>
                </w:tcPr>
                <w:p w14:paraId="759D0B31">
                  <w:pPr>
                    <w:pStyle w:val="62"/>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性质</w:t>
                  </w:r>
                </w:p>
              </w:tc>
            </w:tr>
            <w:tr w14:paraId="50F4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1A0C6394">
                  <w:pPr>
                    <w:pStyle w:val="62"/>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脱模剂</w:t>
                  </w:r>
                </w:p>
              </w:tc>
              <w:tc>
                <w:tcPr>
                  <w:tcW w:w="8168" w:type="dxa"/>
                  <w:vAlign w:val="center"/>
                </w:tcPr>
                <w:p w14:paraId="630C5EA5">
                  <w:pPr>
                    <w:pStyle w:val="62"/>
                    <w:keepNext w:val="0"/>
                    <w:keepLines w:val="0"/>
                    <w:suppressLineNumbers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乳白色液体，主要成分和含量为有机硅乳液14%、甘油1%、硬化油3%、乳化剂2%和水80%等，具有耐热及应力性能，不易分解或磨损，</w:t>
                  </w:r>
                  <w:r>
                    <w:rPr>
                      <w:rFonts w:hint="default"/>
                      <w:b w:val="0"/>
                      <w:bCs w:val="0"/>
                      <w:color w:val="auto"/>
                      <w:sz w:val="22"/>
                      <w:szCs w:val="22"/>
                      <w:highlight w:val="none"/>
                    </w:rPr>
                    <w:t>脱模剂中矿物油及合成脂含量约20%，</w:t>
                  </w:r>
                  <w:r>
                    <w:rPr>
                      <w:rFonts w:hint="default"/>
                      <w:color w:val="auto"/>
                      <w:sz w:val="22"/>
                      <w:szCs w:val="22"/>
                      <w:highlight w:val="none"/>
                    </w:rPr>
                    <w:t>在高温下部分脱模剂挥发，产生碳氢化合物废气，使用时与水以1:</w:t>
                  </w:r>
                  <w:r>
                    <w:rPr>
                      <w:rFonts w:hint="eastAsia"/>
                      <w:color w:val="auto"/>
                      <w:sz w:val="22"/>
                      <w:szCs w:val="22"/>
                      <w:highlight w:val="none"/>
                      <w:lang w:val="en-US" w:eastAsia="zh-CN"/>
                    </w:rPr>
                    <w:t>80</w:t>
                  </w:r>
                  <w:r>
                    <w:rPr>
                      <w:rFonts w:hint="default"/>
                      <w:color w:val="auto"/>
                      <w:sz w:val="22"/>
                      <w:szCs w:val="22"/>
                      <w:highlight w:val="none"/>
                    </w:rPr>
                    <w:t>进行配比。</w:t>
                  </w:r>
                </w:p>
              </w:tc>
            </w:tr>
            <w:tr w14:paraId="0B9A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20BC1C4B">
                  <w:pPr>
                    <w:pStyle w:val="62"/>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乙醇</w:t>
                  </w:r>
                </w:p>
              </w:tc>
              <w:tc>
                <w:tcPr>
                  <w:tcW w:w="8168" w:type="dxa"/>
                  <w:vAlign w:val="center"/>
                </w:tcPr>
                <w:p w14:paraId="4445DE01">
                  <w:pPr>
                    <w:pStyle w:val="62"/>
                    <w:keepNext w:val="0"/>
                    <w:keepLines w:val="0"/>
                    <w:suppressLineNumbers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工业酒精，无色液体，有酒香，作为胶粉的溶剂，胶水配比为胶粉与乙醇按照质量比1:7进行配比，沸点78.3℃，与水混溶，可溶于醚、甘油等亲水有机溶剂。</w:t>
                  </w:r>
                </w:p>
              </w:tc>
            </w:tr>
            <w:tr w14:paraId="3C5A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32FF6313">
                  <w:pPr>
                    <w:pStyle w:val="62"/>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default" w:eastAsia="宋体"/>
                      <w:color w:val="auto"/>
                      <w:sz w:val="22"/>
                      <w:szCs w:val="22"/>
                      <w:highlight w:val="none"/>
                      <w:lang w:val="en-US" w:eastAsia="zh-CN"/>
                    </w:rPr>
                    <w:t>胶粉</w:t>
                  </w:r>
                </w:p>
              </w:tc>
              <w:tc>
                <w:tcPr>
                  <w:tcW w:w="8168" w:type="dxa"/>
                  <w:vAlign w:val="center"/>
                </w:tcPr>
                <w:p w14:paraId="03E87890">
                  <w:pPr>
                    <w:pStyle w:val="62"/>
                    <w:keepNext w:val="0"/>
                    <w:keepLines w:val="0"/>
                    <w:suppressLineNumbers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无味、无毒淡黄色粉末，主要成分为聚酯树脂</w:t>
                  </w:r>
                  <w:r>
                    <w:rPr>
                      <w:rFonts w:hint="eastAsia"/>
                      <w:color w:val="auto"/>
                      <w:sz w:val="22"/>
                      <w:szCs w:val="22"/>
                      <w:highlight w:val="none"/>
                      <w:lang w:eastAsia="zh-CN"/>
                    </w:rPr>
                    <w:t>87%～88%</w:t>
                  </w:r>
                  <w:r>
                    <w:rPr>
                      <w:rFonts w:hint="default"/>
                      <w:color w:val="auto"/>
                      <w:sz w:val="22"/>
                      <w:szCs w:val="22"/>
                      <w:highlight w:val="none"/>
                    </w:rPr>
                    <w:t>，有机硅烷</w:t>
                  </w:r>
                  <w:r>
                    <w:rPr>
                      <w:rFonts w:hint="eastAsia"/>
                      <w:color w:val="auto"/>
                      <w:sz w:val="22"/>
                      <w:szCs w:val="22"/>
                      <w:highlight w:val="none"/>
                      <w:lang w:eastAsia="zh-CN"/>
                    </w:rPr>
                    <w:t>8%～9%</w:t>
                  </w:r>
                  <w:r>
                    <w:rPr>
                      <w:rFonts w:hint="default"/>
                      <w:color w:val="auto"/>
                      <w:sz w:val="22"/>
                      <w:szCs w:val="22"/>
                      <w:highlight w:val="none"/>
                    </w:rPr>
                    <w:t>，助剂</w:t>
                  </w:r>
                  <w:r>
                    <w:rPr>
                      <w:rFonts w:hint="eastAsia"/>
                      <w:color w:val="auto"/>
                      <w:sz w:val="22"/>
                      <w:szCs w:val="22"/>
                      <w:highlight w:val="none"/>
                      <w:lang w:eastAsia="zh-CN"/>
                    </w:rPr>
                    <w:t>1%～1.2%</w:t>
                  </w:r>
                  <w:r>
                    <w:rPr>
                      <w:rFonts w:hint="default"/>
                      <w:color w:val="auto"/>
                      <w:sz w:val="22"/>
                      <w:szCs w:val="22"/>
                      <w:highlight w:val="none"/>
                    </w:rPr>
                    <w:t>，挥发分≤1.2%，分解温度≥300℃以上，软化点为95~100℃，软化后为橡胶金属胶粘剂，为其提供机械强度。以乙醇为溶剂，配置成胶水，制成胶水无毒且粘度高、稳定性强，遇高温产生少量碳氢化合物废气。</w:t>
                  </w:r>
                </w:p>
              </w:tc>
            </w:tr>
            <w:tr w14:paraId="0ECC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2D3C1DCC">
                  <w:pPr>
                    <w:pStyle w:val="62"/>
                    <w:keepNext w:val="0"/>
                    <w:keepLines w:val="0"/>
                    <w:suppressLineNumbers w:val="0"/>
                    <w:spacing w:before="0" w:beforeAutospacing="0" w:after="0" w:afterAutospacing="0"/>
                    <w:ind w:left="0" w:right="0"/>
                    <w:jc w:val="center"/>
                    <w:rPr>
                      <w:rFonts w:hint="eastAsia"/>
                      <w:color w:val="auto"/>
                      <w:sz w:val="22"/>
                      <w:szCs w:val="22"/>
                      <w:highlight w:val="none"/>
                      <w:lang w:val="en-US" w:eastAsia="zh-CN"/>
                    </w:rPr>
                  </w:pPr>
                  <w:r>
                    <w:rPr>
                      <w:rFonts w:hint="eastAsia"/>
                      <w:color w:val="auto"/>
                      <w:sz w:val="22"/>
                      <w:szCs w:val="22"/>
                      <w:highlight w:val="none"/>
                      <w:lang w:val="en-US" w:eastAsia="zh-CN"/>
                    </w:rPr>
                    <w:t>液压油</w:t>
                  </w:r>
                </w:p>
              </w:tc>
              <w:tc>
                <w:tcPr>
                  <w:tcW w:w="8168" w:type="dxa"/>
                  <w:vAlign w:val="center"/>
                </w:tcPr>
                <w:p w14:paraId="5664F573">
                  <w:pPr>
                    <w:pStyle w:val="62"/>
                    <w:keepNext w:val="0"/>
                    <w:keepLines w:val="0"/>
                    <w:suppressLineNumbers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主要成分为高分子烃类化合物，油状液体，利用液体压力能的液压系统使用的液压介质。它的作用是能量传递、抗磨、系统润滑、防锈、冷却等。定期维护保养，每年更换一次。</w:t>
                  </w:r>
                </w:p>
              </w:tc>
            </w:tr>
            <w:tr w14:paraId="23ED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794924DB">
                  <w:pPr>
                    <w:pStyle w:val="62"/>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default"/>
                      <w:color w:val="auto"/>
                      <w:sz w:val="22"/>
                      <w:szCs w:val="22"/>
                      <w:highlight w:val="none"/>
                      <w:lang w:val="en-US" w:eastAsia="zh-CN"/>
                    </w:rPr>
                    <w:t>机油</w:t>
                  </w:r>
                </w:p>
              </w:tc>
              <w:tc>
                <w:tcPr>
                  <w:tcW w:w="8168" w:type="dxa"/>
                  <w:vAlign w:val="center"/>
                </w:tcPr>
                <w:p w14:paraId="4DE268F0">
                  <w:pPr>
                    <w:pStyle w:val="62"/>
                    <w:keepNext w:val="0"/>
                    <w:keepLines w:val="0"/>
                    <w:suppressLineNumbers w:val="0"/>
                    <w:spacing w:before="0" w:beforeAutospacing="0" w:after="0" w:afterAutospacing="0"/>
                    <w:ind w:left="0" w:right="0"/>
                    <w:rPr>
                      <w:rFonts w:hint="default" w:eastAsia="宋体"/>
                      <w:color w:val="auto"/>
                      <w:sz w:val="22"/>
                      <w:szCs w:val="22"/>
                      <w:highlight w:val="none"/>
                      <w:vertAlign w:val="baseline"/>
                      <w:lang w:val="en-US" w:eastAsia="zh-CN"/>
                    </w:rPr>
                  </w:pPr>
                  <w:r>
                    <w:rPr>
                      <w:rFonts w:hint="default" w:eastAsia="宋体"/>
                      <w:color w:val="auto"/>
                      <w:sz w:val="22"/>
                      <w:szCs w:val="22"/>
                      <w:highlight w:val="none"/>
                      <w:vertAlign w:val="baseline"/>
                      <w:lang w:val="en-US" w:eastAsia="zh-CN"/>
                    </w:rPr>
                    <w:t>主要成分为高分子烃类化合物，油状液体，基础油和添加剂组成，淡黄色至褐色，无气味或略带气味。不溶于水，遇高热、明火可燃。供各种机加设备使用，每年更换一次。</w:t>
                  </w:r>
                </w:p>
              </w:tc>
            </w:tr>
            <w:tr w14:paraId="74D7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51C9064B">
                  <w:pPr>
                    <w:pStyle w:val="62"/>
                    <w:keepNext w:val="0"/>
                    <w:keepLines w:val="0"/>
                    <w:suppressLineNumbers w:val="0"/>
                    <w:spacing w:before="0" w:beforeAutospacing="0" w:after="0" w:afterAutospacing="0"/>
                    <w:ind w:left="0" w:right="0"/>
                    <w:jc w:val="center"/>
                    <w:rPr>
                      <w:rFonts w:hint="default"/>
                      <w:b w:val="0"/>
                      <w:bCs w:val="0"/>
                      <w:color w:val="auto"/>
                      <w:sz w:val="22"/>
                      <w:szCs w:val="22"/>
                      <w:highlight w:val="none"/>
                      <w:lang w:val="en-US" w:eastAsia="zh-CN"/>
                    </w:rPr>
                  </w:pPr>
                  <w:r>
                    <w:rPr>
                      <w:rFonts w:hint="default"/>
                      <w:b w:val="0"/>
                      <w:bCs w:val="0"/>
                      <w:color w:val="auto"/>
                      <w:sz w:val="22"/>
                      <w:szCs w:val="22"/>
                      <w:highlight w:val="none"/>
                      <w:lang w:val="en-US" w:eastAsia="zh-CN"/>
                    </w:rPr>
                    <w:t>清洗剂</w:t>
                  </w:r>
                </w:p>
              </w:tc>
              <w:tc>
                <w:tcPr>
                  <w:tcW w:w="8168" w:type="dxa"/>
                  <w:vAlign w:val="center"/>
                </w:tcPr>
                <w:p w14:paraId="2E1F4FA3">
                  <w:pPr>
                    <w:pStyle w:val="62"/>
                    <w:keepNext w:val="0"/>
                    <w:keepLines w:val="0"/>
                    <w:suppressLineNumbers w:val="0"/>
                    <w:spacing w:before="0" w:beforeAutospacing="0" w:after="0" w:afterAutospacing="0"/>
                    <w:ind w:left="0" w:right="0"/>
                    <w:rPr>
                      <w:rFonts w:hint="default" w:eastAsia="宋体"/>
                      <w:b w:val="0"/>
                      <w:bCs w:val="0"/>
                      <w:color w:val="auto"/>
                      <w:sz w:val="22"/>
                      <w:szCs w:val="22"/>
                      <w:highlight w:val="none"/>
                      <w:vertAlign w:val="baseline"/>
                      <w:lang w:val="en-US" w:eastAsia="zh-CN"/>
                    </w:rPr>
                  </w:pPr>
                  <w:r>
                    <w:rPr>
                      <w:rFonts w:hint="default" w:eastAsia="宋体"/>
                      <w:b w:val="0"/>
                      <w:bCs w:val="0"/>
                      <w:color w:val="auto"/>
                      <w:sz w:val="22"/>
                      <w:szCs w:val="22"/>
                      <w:highlight w:val="none"/>
                      <w:vertAlign w:val="baseline"/>
                      <w:lang w:val="en-US" w:eastAsia="zh-CN"/>
                    </w:rPr>
                    <w:t>常温高效除油王，型号N2-B，白色或微黄色固体，成分及含量为纯碱70%、片碱10%、偏硅酸钠10%、水玻璃5%、水5%，与水1:20溶解后使用。</w:t>
                  </w:r>
                </w:p>
              </w:tc>
            </w:tr>
            <w:tr w14:paraId="44B0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2FAC556F">
                  <w:pPr>
                    <w:pStyle w:val="62"/>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丁腈橡胶</w:t>
                  </w:r>
                </w:p>
              </w:tc>
              <w:tc>
                <w:tcPr>
                  <w:tcW w:w="8168" w:type="dxa"/>
                  <w:vAlign w:val="center"/>
                </w:tcPr>
                <w:p w14:paraId="14F79E75">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根据检验报告，丁腈橡胶（等级KNB35L 1.05TON UF-EW-BOX）的主要理化特性如下：</w:t>
                  </w:r>
                </w:p>
                <w:p w14:paraId="6CAC2941">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挥发性物质：≤0.5%（检测结果分别为0.22%、0.18%）。</w:t>
                  </w:r>
                </w:p>
                <w:p w14:paraId="678687C8">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灰分：≤0.8%（检测结果为0.40%）。</w:t>
                  </w:r>
                </w:p>
                <w:p w14:paraId="6B71F8EE">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结合丙烯腈（BOUND AN）：含量范围32~36%（检测结果分别为34.1%、33.9%）。</w:t>
                  </w:r>
                </w:p>
                <w:p w14:paraId="54C60294">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门尼粘度（RAW MV，ML1+4，100℃）：范围36~46（检测结果分别为40.8、40.1）。</w:t>
                  </w:r>
                </w:p>
                <w:p w14:paraId="27386EDA">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拉伸强度（40min）：≥220 kgf/</w:t>
                  </w:r>
                  <w:r>
                    <w:rPr>
                      <w:rFonts w:hint="eastAsia"/>
                      <w:color w:val="auto"/>
                      <w:sz w:val="22"/>
                      <w:szCs w:val="22"/>
                      <w:highlight w:val="none"/>
                      <w:lang w:val="en-US" w:eastAsia="zh-CN"/>
                    </w:rPr>
                    <w:t>cm</w:t>
                  </w:r>
                  <w:r>
                    <w:rPr>
                      <w:rFonts w:hint="eastAsia"/>
                      <w:color w:val="auto"/>
                      <w:sz w:val="22"/>
                      <w:szCs w:val="22"/>
                      <w:highlight w:val="none"/>
                      <w:vertAlign w:val="superscript"/>
                      <w:lang w:val="en-US" w:eastAsia="zh-CN"/>
                    </w:rPr>
                    <w:t>2</w:t>
                  </w:r>
                  <w:r>
                    <w:rPr>
                      <w:rFonts w:hint="default"/>
                      <w:color w:val="auto"/>
                      <w:sz w:val="22"/>
                      <w:szCs w:val="22"/>
                      <w:highlight w:val="none"/>
                      <w:lang w:val="en-US" w:eastAsia="zh-CN"/>
                    </w:rPr>
                    <w:t>（检测结果均为306.0 kgf/</w:t>
                  </w:r>
                  <w:r>
                    <w:rPr>
                      <w:rFonts w:hint="eastAsia"/>
                      <w:color w:val="auto"/>
                      <w:sz w:val="22"/>
                      <w:szCs w:val="22"/>
                      <w:highlight w:val="none"/>
                      <w:lang w:val="en-US" w:eastAsia="zh-CN"/>
                    </w:rPr>
                    <w:t>cm</w:t>
                  </w:r>
                  <w:r>
                    <w:rPr>
                      <w:rFonts w:hint="eastAsia"/>
                      <w:color w:val="auto"/>
                      <w:sz w:val="22"/>
                      <w:szCs w:val="22"/>
                      <w:highlight w:val="none"/>
                      <w:vertAlign w:val="superscript"/>
                      <w:lang w:val="en-US" w:eastAsia="zh-CN"/>
                    </w:rPr>
                    <w:t>2</w:t>
                  </w:r>
                  <w:r>
                    <w:rPr>
                      <w:rFonts w:hint="default"/>
                      <w:color w:val="auto"/>
                      <w:sz w:val="22"/>
                      <w:szCs w:val="22"/>
                      <w:highlight w:val="none"/>
                      <w:lang w:val="en-US" w:eastAsia="zh-CN"/>
                    </w:rPr>
                    <w:t>）。</w:t>
                  </w:r>
                </w:p>
                <w:p w14:paraId="61B8F2C3">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断裂伸长率（40min）：≥420%（检测结果均为540.0%）。</w:t>
                  </w:r>
                </w:p>
                <w:p w14:paraId="13CC66B8">
                  <w:pPr>
                    <w:pStyle w:val="86"/>
                    <w:keepNext w:val="0"/>
                    <w:keepLines w:val="0"/>
                    <w:suppressLineNumbers w:val="0"/>
                    <w:bidi w:val="0"/>
                    <w:spacing w:before="0" w:beforeAutospacing="0" w:after="0" w:afterAutospacing="0"/>
                    <w:ind w:left="0" w:right="0"/>
                    <w:jc w:val="both"/>
                    <w:rPr>
                      <w:rFonts w:hint="default" w:eastAsia="宋体"/>
                      <w:color w:val="auto"/>
                      <w:sz w:val="22"/>
                      <w:szCs w:val="22"/>
                      <w:highlight w:val="none"/>
                      <w:vertAlign w:val="baseline"/>
                      <w:lang w:val="en-US" w:eastAsia="zh-CN"/>
                    </w:rPr>
                  </w:pPr>
                  <w:r>
                    <w:rPr>
                      <w:rFonts w:hint="default"/>
                      <w:color w:val="auto"/>
                      <w:sz w:val="22"/>
                      <w:szCs w:val="22"/>
                      <w:highlight w:val="none"/>
                      <w:lang w:val="en-US" w:eastAsia="zh-CN"/>
                    </w:rPr>
                    <w:t>300%定伸应力（40min）：范围120~180 kgf</w:t>
                  </w:r>
                  <w:r>
                    <w:rPr>
                      <w:rFonts w:hint="eastAsia"/>
                      <w:color w:val="auto"/>
                      <w:sz w:val="22"/>
                      <w:szCs w:val="22"/>
                      <w:highlight w:val="none"/>
                      <w:lang w:val="en-US" w:eastAsia="zh-CN"/>
                    </w:rPr>
                    <w:t>/cm</w:t>
                  </w:r>
                  <w:r>
                    <w:rPr>
                      <w:rFonts w:hint="eastAsia"/>
                      <w:color w:val="auto"/>
                      <w:sz w:val="22"/>
                      <w:szCs w:val="22"/>
                      <w:highlight w:val="none"/>
                      <w:vertAlign w:val="superscript"/>
                      <w:lang w:val="en-US" w:eastAsia="zh-CN"/>
                    </w:rPr>
                    <w:t>2</w:t>
                  </w:r>
                  <w:r>
                    <w:rPr>
                      <w:rFonts w:hint="default"/>
                      <w:color w:val="auto"/>
                      <w:sz w:val="22"/>
                      <w:szCs w:val="22"/>
                      <w:highlight w:val="none"/>
                      <w:lang w:val="en-US" w:eastAsia="zh-CN"/>
                    </w:rPr>
                    <w:t>（检测结果分别为144.0 kgf/</w:t>
                  </w:r>
                  <w:r>
                    <w:rPr>
                      <w:rFonts w:hint="eastAsia"/>
                      <w:color w:val="auto"/>
                      <w:sz w:val="22"/>
                      <w:szCs w:val="22"/>
                      <w:highlight w:val="none"/>
                      <w:lang w:val="en-US" w:eastAsia="zh-CN"/>
                    </w:rPr>
                    <w:t>cm</w:t>
                  </w:r>
                  <w:r>
                    <w:rPr>
                      <w:rFonts w:hint="eastAsia"/>
                      <w:color w:val="auto"/>
                      <w:sz w:val="22"/>
                      <w:szCs w:val="22"/>
                      <w:highlight w:val="none"/>
                      <w:vertAlign w:val="superscript"/>
                      <w:lang w:val="en-US" w:eastAsia="zh-CN"/>
                    </w:rPr>
                    <w:t>2</w:t>
                  </w:r>
                  <w:r>
                    <w:rPr>
                      <w:rFonts w:hint="default"/>
                      <w:color w:val="auto"/>
                      <w:sz w:val="22"/>
                      <w:szCs w:val="22"/>
                      <w:highlight w:val="none"/>
                      <w:lang w:val="en-US" w:eastAsia="zh-CN"/>
                    </w:rPr>
                    <w:t>、143.0 kgf</w:t>
                  </w:r>
                  <w:r>
                    <w:rPr>
                      <w:rFonts w:hint="eastAsia"/>
                      <w:color w:val="auto"/>
                      <w:sz w:val="22"/>
                      <w:szCs w:val="22"/>
                      <w:highlight w:val="none"/>
                      <w:lang w:val="en-US" w:eastAsia="zh-CN"/>
                    </w:rPr>
                    <w:t>/cm</w:t>
                  </w:r>
                  <w:r>
                    <w:rPr>
                      <w:rFonts w:hint="eastAsia"/>
                      <w:color w:val="auto"/>
                      <w:sz w:val="22"/>
                      <w:szCs w:val="22"/>
                      <w:highlight w:val="none"/>
                      <w:vertAlign w:val="superscript"/>
                      <w:lang w:val="en-US" w:eastAsia="zh-CN"/>
                    </w:rPr>
                    <w:t>2</w:t>
                  </w:r>
                  <w:r>
                    <w:rPr>
                      <w:rFonts w:hint="default"/>
                      <w:color w:val="auto"/>
                      <w:sz w:val="22"/>
                      <w:szCs w:val="22"/>
                      <w:highlight w:val="none"/>
                      <w:lang w:val="en-US" w:eastAsia="zh-CN"/>
                    </w:rPr>
                    <w:t>）。</w:t>
                  </w:r>
                </w:p>
              </w:tc>
            </w:tr>
            <w:tr w14:paraId="7A08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16F041D2">
                  <w:pPr>
                    <w:pStyle w:val="62"/>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软木、硅藻土混合粉末</w:t>
                  </w:r>
                </w:p>
              </w:tc>
              <w:tc>
                <w:tcPr>
                  <w:tcW w:w="8168" w:type="dxa"/>
                  <w:vAlign w:val="center"/>
                </w:tcPr>
                <w:p w14:paraId="61C878CB">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eastAsia"/>
                      <w:color w:val="auto"/>
                      <w:sz w:val="22"/>
                      <w:szCs w:val="22"/>
                      <w:highlight w:val="none"/>
                      <w:lang w:val="en-US" w:eastAsia="zh-CN"/>
                    </w:rPr>
                    <w:t>外购软木与硅藻土配比好的固体粉末成品，</w:t>
                  </w:r>
                  <w:r>
                    <w:rPr>
                      <w:rFonts w:hint="default"/>
                      <w:color w:val="auto"/>
                      <w:sz w:val="22"/>
                      <w:szCs w:val="22"/>
                      <w:highlight w:val="none"/>
                      <w:lang w:val="en-US" w:eastAsia="zh-CN"/>
                    </w:rPr>
                    <w:t>硅藻土主要成分为无定形二氧化硅（SiO₂），含少量金属氧化物（Al₂O₃、Fe₂O₃等）。软木赋予弹性（压缩后可回弹），硅藻土增加硬度和脆性。混合</w:t>
                  </w:r>
                  <w:r>
                    <w:rPr>
                      <w:rFonts w:hint="eastAsia"/>
                      <w:color w:val="auto"/>
                      <w:sz w:val="22"/>
                      <w:szCs w:val="22"/>
                      <w:highlight w:val="none"/>
                      <w:lang w:val="en-US" w:eastAsia="zh-CN"/>
                    </w:rPr>
                    <w:t>物</w:t>
                  </w:r>
                  <w:r>
                    <w:rPr>
                      <w:rFonts w:hint="default"/>
                      <w:color w:val="auto"/>
                      <w:sz w:val="22"/>
                      <w:szCs w:val="22"/>
                      <w:highlight w:val="none"/>
                      <w:lang w:val="en-US" w:eastAsia="zh-CN"/>
                    </w:rPr>
                    <w:t>表现为低强度、高压缩回弹性，适合缓冲或密封材料</w:t>
                  </w:r>
                  <w:r>
                    <w:rPr>
                      <w:rFonts w:hint="eastAsia"/>
                      <w:color w:val="auto"/>
                      <w:sz w:val="22"/>
                      <w:szCs w:val="22"/>
                      <w:highlight w:val="none"/>
                      <w:lang w:val="en-US" w:eastAsia="zh-CN"/>
                    </w:rPr>
                    <w:t>。软木可自然降解，硅藻土为无机物，长期稳定。</w:t>
                  </w:r>
                </w:p>
              </w:tc>
            </w:tr>
            <w:tr w14:paraId="0787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0190E5EA">
                  <w:pPr>
                    <w:pStyle w:val="62"/>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硅镁铝合金锭</w:t>
                  </w:r>
                </w:p>
              </w:tc>
              <w:tc>
                <w:tcPr>
                  <w:tcW w:w="8168" w:type="dxa"/>
                  <w:vAlign w:val="center"/>
                </w:tcPr>
                <w:p w14:paraId="2856E4D7">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eastAsia"/>
                      <w:color w:val="auto"/>
                      <w:sz w:val="22"/>
                      <w:szCs w:val="22"/>
                      <w:highlight w:val="none"/>
                      <w:lang w:val="en-US" w:eastAsia="zh-CN"/>
                    </w:rPr>
                    <w:t>铝合金，主要用于压铸成型，制造形状复杂的零部件，广泛应用于汽车、摩托车、电子通讯、机械制造等领域。化学成分：硅(Si)：6.5-7.5%；镁(Mg)：0.25-0.45%；铁(Fe)：≤0.12%；铜(Cu)：≤0.10%；锰(Mn)：≤0.10%；锌(Zn)：≤0.10%；钛(Ti)：≤0.20%；铝(Al)：余量。</w:t>
                  </w:r>
                </w:p>
              </w:tc>
            </w:tr>
            <w:tr w14:paraId="5D70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7" w:type="dxa"/>
                  <w:vAlign w:val="center"/>
                </w:tcPr>
                <w:p w14:paraId="43672D36">
                  <w:pPr>
                    <w:pStyle w:val="62"/>
                    <w:keepNext w:val="0"/>
                    <w:keepLines w:val="0"/>
                    <w:suppressLineNumbers w:val="0"/>
                    <w:spacing w:before="0" w:beforeAutospacing="0" w:after="0" w:afterAutospacing="0"/>
                    <w:ind w:left="0" w:right="0"/>
                    <w:jc w:val="center"/>
                    <w:rPr>
                      <w:rFonts w:hint="eastAsia"/>
                      <w:color w:val="auto"/>
                      <w:sz w:val="22"/>
                      <w:szCs w:val="22"/>
                      <w:highlight w:val="none"/>
                      <w:lang w:val="en-US" w:eastAsia="zh-CN"/>
                    </w:rPr>
                  </w:pPr>
                  <w:r>
                    <w:rPr>
                      <w:rFonts w:hint="eastAsia"/>
                      <w:color w:val="auto"/>
                      <w:sz w:val="22"/>
                      <w:szCs w:val="22"/>
                      <w:highlight w:val="none"/>
                      <w:lang w:val="en-US" w:eastAsia="zh-CN"/>
                    </w:rPr>
                    <w:t>除渣剂</w:t>
                  </w:r>
                </w:p>
              </w:tc>
              <w:tc>
                <w:tcPr>
                  <w:tcW w:w="8168" w:type="dxa"/>
                  <w:vAlign w:val="center"/>
                </w:tcPr>
                <w:p w14:paraId="5257981B">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eastAsia"/>
                      <w:color w:val="auto"/>
                      <w:sz w:val="22"/>
                      <w:szCs w:val="22"/>
                      <w:highlight w:val="none"/>
                      <w:lang w:val="en-US" w:eastAsia="zh-CN"/>
                    </w:rPr>
                    <w:t>主要成分为氯化镁、氯化钾，氯化镁含量10%-50%，氯化钾含量10%～50%。白色固体颗粒，无刺激性气味。不燃，应避免氧化剂。物理性危害：按照GHS 标准，未被列为有害物质。健康危害：根据GHS标准，未被列为健康危害物质。环境危害：根据GHS标准，未被列为环境危害物质。其MDSD详见附件7。</w:t>
                  </w:r>
                </w:p>
              </w:tc>
            </w:tr>
          </w:tbl>
          <w:p w14:paraId="3ED28106">
            <w:pPr>
              <w:pStyle w:val="50"/>
              <w:keepNext w:val="0"/>
              <w:keepLines w:val="0"/>
              <w:suppressLineNumbers w:val="0"/>
              <w:spacing w:before="0" w:beforeAutospacing="0" w:after="0" w:afterAutospacing="0"/>
              <w:ind w:left="0" w:right="0"/>
              <w:rPr>
                <w:rFonts w:hint="default"/>
                <w:color w:val="auto"/>
                <w:highlight w:val="none"/>
              </w:rPr>
            </w:pPr>
          </w:p>
          <w:p w14:paraId="73105BBF">
            <w:pPr>
              <w:keepNext w:val="0"/>
              <w:keepLines w:val="0"/>
              <w:suppressLineNumbers w:val="0"/>
              <w:adjustRightInd w:val="0"/>
              <w:snapToGrid w:val="0"/>
              <w:spacing w:before="0" w:beforeAutospacing="0" w:after="0" w:afterAutospacing="0" w:line="400" w:lineRule="exact"/>
              <w:ind w:left="0" w:right="0" w:firstLine="522" w:firstLineChars="200"/>
              <w:jc w:val="left"/>
              <w:rPr>
                <w:rFonts w:hint="default"/>
                <w:b/>
                <w:bCs/>
                <w:color w:val="auto"/>
                <w:sz w:val="26"/>
                <w:szCs w:val="26"/>
                <w:highlight w:val="none"/>
              </w:rPr>
            </w:pPr>
            <w:r>
              <w:rPr>
                <w:rFonts w:hint="eastAsia"/>
                <w:b/>
                <w:bCs/>
                <w:color w:val="auto"/>
                <w:sz w:val="26"/>
                <w:szCs w:val="26"/>
                <w:highlight w:val="none"/>
              </w:rPr>
              <w:t>2</w:t>
            </w:r>
            <w:r>
              <w:rPr>
                <w:rFonts w:hint="default"/>
                <w:b/>
                <w:bCs/>
                <w:color w:val="auto"/>
                <w:sz w:val="26"/>
                <w:szCs w:val="26"/>
                <w:highlight w:val="none"/>
              </w:rPr>
              <w:t>.5.</w:t>
            </w:r>
            <w:r>
              <w:rPr>
                <w:rFonts w:hint="eastAsia"/>
                <w:b/>
                <w:bCs/>
                <w:color w:val="auto"/>
                <w:sz w:val="26"/>
                <w:szCs w:val="26"/>
                <w:highlight w:val="none"/>
                <w:lang w:val="en-US" w:eastAsia="zh-CN"/>
              </w:rPr>
              <w:t>2</w:t>
            </w:r>
            <w:r>
              <w:rPr>
                <w:rFonts w:hint="eastAsia"/>
                <w:b/>
                <w:bCs/>
                <w:color w:val="auto"/>
                <w:sz w:val="26"/>
                <w:szCs w:val="26"/>
                <w:highlight w:val="none"/>
              </w:rPr>
              <w:t>资源能源消耗</w:t>
            </w:r>
          </w:p>
          <w:p w14:paraId="74103B71">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本项目</w:t>
            </w:r>
            <w:r>
              <w:rPr>
                <w:rFonts w:hint="eastAsia"/>
                <w:color w:val="auto"/>
                <w:sz w:val="26"/>
                <w:szCs w:val="26"/>
                <w:highlight w:val="none"/>
                <w:lang w:val="en-US" w:eastAsia="zh-CN"/>
              </w:rPr>
              <w:t>资源、</w:t>
            </w:r>
            <w:r>
              <w:rPr>
                <w:rFonts w:hint="eastAsia"/>
                <w:color w:val="auto"/>
                <w:sz w:val="26"/>
                <w:szCs w:val="26"/>
                <w:highlight w:val="none"/>
              </w:rPr>
              <w:t>能源消耗量见下表。</w:t>
            </w:r>
          </w:p>
          <w:p w14:paraId="7A86697B">
            <w:pPr>
              <w:pStyle w:val="50"/>
              <w:keepNext w:val="0"/>
              <w:keepLines w:val="0"/>
              <w:suppressLineNumbers w:val="0"/>
              <w:spacing w:before="0" w:beforeAutospacing="0" w:after="0" w:afterAutospacing="0"/>
              <w:ind w:left="0" w:right="0"/>
              <w:rPr>
                <w:rFonts w:hint="default"/>
                <w:color w:val="auto"/>
                <w:highlight w:val="none"/>
              </w:rPr>
            </w:pPr>
          </w:p>
          <w:p w14:paraId="6ED19813">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default"/>
                <w:color w:val="auto"/>
                <w:sz w:val="26"/>
                <w:szCs w:val="26"/>
                <w:highlight w:val="none"/>
              </w:rPr>
              <w:t>2.5-</w:t>
            </w:r>
            <w:r>
              <w:rPr>
                <w:rFonts w:hint="eastAsia"/>
                <w:color w:val="auto"/>
                <w:sz w:val="26"/>
                <w:szCs w:val="26"/>
                <w:highlight w:val="none"/>
                <w:lang w:val="en-US" w:eastAsia="zh-CN"/>
              </w:rPr>
              <w:t>3</w:t>
            </w:r>
            <w:r>
              <w:rPr>
                <w:rFonts w:hint="default"/>
                <w:color w:val="auto"/>
                <w:sz w:val="26"/>
                <w:szCs w:val="26"/>
                <w:highlight w:val="none"/>
              </w:rPr>
              <w:t xml:space="preserve">   </w:t>
            </w:r>
            <w:r>
              <w:rPr>
                <w:rFonts w:hint="eastAsia"/>
                <w:color w:val="auto"/>
                <w:sz w:val="26"/>
                <w:szCs w:val="26"/>
                <w:highlight w:val="none"/>
              </w:rPr>
              <w:t>项目</w:t>
            </w:r>
            <w:r>
              <w:rPr>
                <w:rFonts w:hint="eastAsia"/>
                <w:color w:val="auto"/>
                <w:sz w:val="26"/>
                <w:szCs w:val="26"/>
                <w:highlight w:val="none"/>
                <w:lang w:val="en-US" w:eastAsia="zh-CN"/>
              </w:rPr>
              <w:t>资源、</w:t>
            </w:r>
            <w:r>
              <w:rPr>
                <w:rFonts w:hint="eastAsia"/>
                <w:color w:val="auto"/>
                <w:sz w:val="26"/>
                <w:szCs w:val="26"/>
                <w:highlight w:val="none"/>
              </w:rPr>
              <w:t>能源消耗量</w:t>
            </w:r>
          </w:p>
          <w:tbl>
            <w:tblPr>
              <w:tblStyle w:val="25"/>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481"/>
              <w:gridCol w:w="1648"/>
              <w:gridCol w:w="1644"/>
              <w:gridCol w:w="3053"/>
            </w:tblGrid>
            <w:tr w14:paraId="45AA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14:paraId="37F50C8C">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序号</w:t>
                  </w:r>
                </w:p>
              </w:tc>
              <w:tc>
                <w:tcPr>
                  <w:tcW w:w="1481" w:type="dxa"/>
                  <w:tcBorders>
                    <w:top w:val="single" w:color="auto" w:sz="4" w:space="0"/>
                    <w:left w:val="single" w:color="auto" w:sz="4" w:space="0"/>
                    <w:bottom w:val="single" w:color="auto" w:sz="4" w:space="0"/>
                    <w:right w:val="single" w:color="auto" w:sz="4" w:space="0"/>
                  </w:tcBorders>
                  <w:vAlign w:val="center"/>
                </w:tcPr>
                <w:p w14:paraId="6CD199D8">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能源种类</w:t>
                  </w:r>
                </w:p>
              </w:tc>
              <w:tc>
                <w:tcPr>
                  <w:tcW w:w="1648" w:type="dxa"/>
                  <w:tcBorders>
                    <w:top w:val="single" w:color="auto" w:sz="4" w:space="0"/>
                    <w:left w:val="single" w:color="auto" w:sz="4" w:space="0"/>
                    <w:bottom w:val="single" w:color="auto" w:sz="4" w:space="0"/>
                    <w:right w:val="single" w:color="auto" w:sz="4" w:space="0"/>
                  </w:tcBorders>
                  <w:vAlign w:val="center"/>
                </w:tcPr>
                <w:p w14:paraId="469D3DE3">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单位</w:t>
                  </w:r>
                </w:p>
              </w:tc>
              <w:tc>
                <w:tcPr>
                  <w:tcW w:w="1644" w:type="dxa"/>
                  <w:tcBorders>
                    <w:top w:val="single" w:color="auto" w:sz="4" w:space="0"/>
                    <w:left w:val="single" w:color="auto" w:sz="4" w:space="0"/>
                    <w:bottom w:val="single" w:color="auto" w:sz="4" w:space="0"/>
                    <w:right w:val="single" w:color="auto" w:sz="4" w:space="0"/>
                  </w:tcBorders>
                  <w:vAlign w:val="center"/>
                </w:tcPr>
                <w:p w14:paraId="458B2D67">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年耗量</w:t>
                  </w:r>
                </w:p>
              </w:tc>
              <w:tc>
                <w:tcPr>
                  <w:tcW w:w="3052" w:type="dxa"/>
                  <w:tcBorders>
                    <w:top w:val="single" w:color="auto" w:sz="4" w:space="0"/>
                    <w:left w:val="single" w:color="auto" w:sz="4" w:space="0"/>
                    <w:bottom w:val="single" w:color="auto" w:sz="4" w:space="0"/>
                    <w:right w:val="single" w:color="auto" w:sz="4" w:space="0"/>
                  </w:tcBorders>
                  <w:vAlign w:val="center"/>
                </w:tcPr>
                <w:p w14:paraId="536809BD">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使用环节</w:t>
                  </w:r>
                </w:p>
              </w:tc>
            </w:tr>
            <w:tr w14:paraId="66AC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14:paraId="4641868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p>
              </w:tc>
              <w:tc>
                <w:tcPr>
                  <w:tcW w:w="1481" w:type="dxa"/>
                  <w:tcBorders>
                    <w:top w:val="single" w:color="auto" w:sz="4" w:space="0"/>
                    <w:left w:val="single" w:color="auto" w:sz="4" w:space="0"/>
                    <w:bottom w:val="single" w:color="auto" w:sz="4" w:space="0"/>
                    <w:right w:val="single" w:color="auto" w:sz="4" w:space="0"/>
                  </w:tcBorders>
                  <w:vAlign w:val="center"/>
                </w:tcPr>
                <w:p w14:paraId="42D939E2">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电</w:t>
                  </w:r>
                </w:p>
              </w:tc>
              <w:tc>
                <w:tcPr>
                  <w:tcW w:w="1648" w:type="dxa"/>
                  <w:tcBorders>
                    <w:top w:val="single" w:color="auto" w:sz="4" w:space="0"/>
                    <w:left w:val="single" w:color="auto" w:sz="4" w:space="0"/>
                    <w:bottom w:val="single" w:color="auto" w:sz="4" w:space="0"/>
                    <w:right w:val="single" w:color="auto" w:sz="4" w:space="0"/>
                  </w:tcBorders>
                  <w:vAlign w:val="center"/>
                </w:tcPr>
                <w:p w14:paraId="500BA389">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万</w:t>
                  </w:r>
                  <w:r>
                    <w:rPr>
                      <w:rFonts w:hint="default"/>
                      <w:color w:val="auto"/>
                      <w:highlight w:val="none"/>
                    </w:rPr>
                    <w:t>kWh/a</w:t>
                  </w:r>
                </w:p>
              </w:tc>
              <w:tc>
                <w:tcPr>
                  <w:tcW w:w="1644" w:type="dxa"/>
                  <w:tcBorders>
                    <w:top w:val="single" w:color="auto" w:sz="4" w:space="0"/>
                    <w:left w:val="single" w:color="auto" w:sz="4" w:space="0"/>
                    <w:bottom w:val="single" w:color="auto" w:sz="4" w:space="0"/>
                    <w:right w:val="single" w:color="auto" w:sz="4" w:space="0"/>
                  </w:tcBorders>
                  <w:vAlign w:val="center"/>
                </w:tcPr>
                <w:p w14:paraId="55A410ED">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2100</w:t>
                  </w:r>
                </w:p>
              </w:tc>
              <w:tc>
                <w:tcPr>
                  <w:tcW w:w="3052" w:type="dxa"/>
                  <w:tcBorders>
                    <w:top w:val="single" w:color="auto" w:sz="4" w:space="0"/>
                    <w:left w:val="single" w:color="auto" w:sz="4" w:space="0"/>
                    <w:bottom w:val="single" w:color="auto" w:sz="4" w:space="0"/>
                    <w:right w:val="single" w:color="auto" w:sz="4" w:space="0"/>
                  </w:tcBorders>
                  <w:vAlign w:val="center"/>
                </w:tcPr>
                <w:p w14:paraId="272138C2">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生产设备、</w:t>
                  </w:r>
                  <w:r>
                    <w:rPr>
                      <w:rFonts w:hint="eastAsia"/>
                      <w:color w:val="auto"/>
                      <w:highlight w:val="none"/>
                      <w:lang w:val="en-US" w:eastAsia="zh-CN"/>
                    </w:rPr>
                    <w:t>照明</w:t>
                  </w:r>
                  <w:r>
                    <w:rPr>
                      <w:rFonts w:hint="eastAsia"/>
                      <w:color w:val="auto"/>
                      <w:highlight w:val="none"/>
                    </w:rPr>
                    <w:t>等</w:t>
                  </w:r>
                </w:p>
              </w:tc>
            </w:tr>
            <w:tr w14:paraId="2884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14:paraId="1FE63C8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w:t>
                  </w:r>
                </w:p>
              </w:tc>
              <w:tc>
                <w:tcPr>
                  <w:tcW w:w="1481" w:type="dxa"/>
                  <w:tcBorders>
                    <w:top w:val="single" w:color="auto" w:sz="4" w:space="0"/>
                    <w:left w:val="single" w:color="auto" w:sz="4" w:space="0"/>
                    <w:bottom w:val="single" w:color="auto" w:sz="4" w:space="0"/>
                    <w:right w:val="single" w:color="auto" w:sz="4" w:space="0"/>
                  </w:tcBorders>
                  <w:vAlign w:val="center"/>
                </w:tcPr>
                <w:p w14:paraId="5B8BC3FB">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水</w:t>
                  </w:r>
                </w:p>
              </w:tc>
              <w:tc>
                <w:tcPr>
                  <w:tcW w:w="1648" w:type="dxa"/>
                  <w:tcBorders>
                    <w:top w:val="single" w:color="auto" w:sz="4" w:space="0"/>
                    <w:left w:val="single" w:color="auto" w:sz="4" w:space="0"/>
                    <w:bottom w:val="single" w:color="auto" w:sz="4" w:space="0"/>
                    <w:right w:val="single" w:color="auto" w:sz="4" w:space="0"/>
                  </w:tcBorders>
                  <w:vAlign w:val="center"/>
                </w:tcPr>
                <w:p w14:paraId="0A308B95">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万</w:t>
                  </w:r>
                  <w:r>
                    <w:rPr>
                      <w:rFonts w:hint="default"/>
                      <w:color w:val="auto"/>
                      <w:highlight w:val="none"/>
                    </w:rPr>
                    <w:t>m</w:t>
                  </w:r>
                  <w:r>
                    <w:rPr>
                      <w:rFonts w:hint="default"/>
                      <w:color w:val="auto"/>
                      <w:highlight w:val="none"/>
                      <w:vertAlign w:val="superscript"/>
                    </w:rPr>
                    <w:t>3</w:t>
                  </w:r>
                  <w:r>
                    <w:rPr>
                      <w:rFonts w:hint="default"/>
                      <w:color w:val="auto"/>
                      <w:highlight w:val="none"/>
                    </w:rPr>
                    <w:t>/a</w:t>
                  </w:r>
                </w:p>
              </w:tc>
              <w:tc>
                <w:tcPr>
                  <w:tcW w:w="1644" w:type="dxa"/>
                  <w:tcBorders>
                    <w:top w:val="single" w:color="auto" w:sz="4" w:space="0"/>
                    <w:left w:val="single" w:color="auto" w:sz="4" w:space="0"/>
                    <w:bottom w:val="single" w:color="auto" w:sz="4" w:space="0"/>
                    <w:right w:val="single" w:color="auto" w:sz="4" w:space="0"/>
                  </w:tcBorders>
                  <w:vAlign w:val="center"/>
                </w:tcPr>
                <w:p w14:paraId="1C11B411">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1.083</w:t>
                  </w:r>
                </w:p>
              </w:tc>
              <w:tc>
                <w:tcPr>
                  <w:tcW w:w="3052" w:type="dxa"/>
                  <w:tcBorders>
                    <w:top w:val="single" w:color="auto" w:sz="4" w:space="0"/>
                    <w:left w:val="single" w:color="auto" w:sz="4" w:space="0"/>
                    <w:bottom w:val="single" w:color="auto" w:sz="4" w:space="0"/>
                    <w:right w:val="single" w:color="auto" w:sz="4" w:space="0"/>
                  </w:tcBorders>
                  <w:vAlign w:val="center"/>
                </w:tcPr>
                <w:p w14:paraId="756CCA0A">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生活用水、生产用水</w:t>
                  </w:r>
                </w:p>
              </w:tc>
            </w:tr>
          </w:tbl>
          <w:p w14:paraId="33A8E0DD">
            <w:pPr>
              <w:pStyle w:val="50"/>
              <w:keepNext w:val="0"/>
              <w:keepLines w:val="0"/>
              <w:suppressLineNumbers w:val="0"/>
              <w:spacing w:before="0" w:beforeAutospacing="0" w:after="0" w:afterAutospacing="0"/>
              <w:ind w:left="0" w:right="0"/>
              <w:rPr>
                <w:rFonts w:hint="default"/>
                <w:color w:val="auto"/>
                <w:highlight w:val="none"/>
              </w:rPr>
            </w:pPr>
          </w:p>
          <w:p w14:paraId="0430094A">
            <w:pPr>
              <w:keepNext w:val="0"/>
              <w:keepLines w:val="0"/>
              <w:suppressLineNumbers w:val="0"/>
              <w:adjustRightInd w:val="0"/>
              <w:snapToGrid w:val="0"/>
              <w:spacing w:before="0" w:beforeAutospacing="0" w:after="0" w:afterAutospacing="0" w:line="400" w:lineRule="exact"/>
              <w:ind w:left="0" w:right="0" w:firstLine="522" w:firstLineChars="200"/>
              <w:rPr>
                <w:rFonts w:hint="default"/>
                <w:b/>
                <w:bCs/>
                <w:color w:val="auto"/>
                <w:sz w:val="26"/>
                <w:szCs w:val="26"/>
                <w:highlight w:val="none"/>
              </w:rPr>
            </w:pPr>
            <w:r>
              <w:rPr>
                <w:rFonts w:hint="default"/>
                <w:b/>
                <w:bCs/>
                <w:color w:val="auto"/>
                <w:sz w:val="26"/>
                <w:szCs w:val="26"/>
                <w:highlight w:val="none"/>
              </w:rPr>
              <w:t>2.6</w:t>
            </w:r>
            <w:r>
              <w:rPr>
                <w:rFonts w:hint="eastAsia"/>
                <w:b/>
                <w:bCs/>
                <w:color w:val="auto"/>
                <w:sz w:val="26"/>
                <w:szCs w:val="26"/>
                <w:highlight w:val="none"/>
              </w:rPr>
              <w:t>项目平面布置及周边情况</w:t>
            </w:r>
          </w:p>
          <w:p w14:paraId="31BD48AA">
            <w:pPr>
              <w:keepNext w:val="0"/>
              <w:keepLines w:val="0"/>
              <w:suppressLineNumbers w:val="0"/>
              <w:adjustRightInd w:val="0"/>
              <w:snapToGrid w:val="0"/>
              <w:spacing w:before="0" w:beforeAutospacing="0" w:after="0" w:afterAutospacing="0" w:line="400" w:lineRule="exact"/>
              <w:ind w:left="0" w:right="0" w:firstLine="522" w:firstLineChars="200"/>
              <w:rPr>
                <w:rFonts w:hint="eastAsia"/>
                <w:b/>
                <w:bCs/>
                <w:color w:val="auto"/>
                <w:sz w:val="26"/>
                <w:szCs w:val="26"/>
                <w:highlight w:val="none"/>
              </w:rPr>
            </w:pPr>
            <w:r>
              <w:rPr>
                <w:rFonts w:hint="default"/>
                <w:b/>
                <w:bCs/>
                <w:color w:val="auto"/>
                <w:sz w:val="26"/>
                <w:szCs w:val="26"/>
                <w:highlight w:val="none"/>
              </w:rPr>
              <w:t>2.6.1</w:t>
            </w:r>
            <w:r>
              <w:rPr>
                <w:rFonts w:hint="eastAsia"/>
                <w:b/>
                <w:bCs/>
                <w:color w:val="auto"/>
                <w:sz w:val="26"/>
                <w:szCs w:val="26"/>
                <w:highlight w:val="none"/>
              </w:rPr>
              <w:t xml:space="preserve"> 平面布置</w:t>
            </w:r>
          </w:p>
          <w:p w14:paraId="2D757A1F">
            <w:pPr>
              <w:pStyle w:val="14"/>
              <w:keepNext w:val="0"/>
              <w:keepLines w:val="0"/>
              <w:suppressLineNumbers w:val="0"/>
              <w:spacing w:before="0" w:beforeAutospacing="0" w:after="0" w:afterAutospacing="0"/>
              <w:ind w:right="0"/>
              <w:rPr>
                <w:rFonts w:hint="default"/>
                <w:color w:val="auto"/>
                <w:highlight w:val="none"/>
                <w:lang w:val="en-US" w:eastAsia="zh-CN"/>
              </w:rPr>
            </w:pPr>
            <w:r>
              <w:rPr>
                <w:rFonts w:hint="eastAsia"/>
                <w:color w:val="auto"/>
                <w:highlight w:val="none"/>
                <w:lang w:val="en-US" w:eastAsia="zh-CN"/>
              </w:rPr>
              <w:t>项目位于綦江区北渡铝产业园A04-03/02部分地块，用地呈不规则四边形，东西向长边约180.90m ，南北向长约210.60m。厂区内主要包含2栋地上单层门式钢架结构厂房（1号厂房、2号厂房）、1栋地上四层框架结构综合楼，以及1栋地上单层门卫房。两栋厂房位于厂区南侧一字排开，综合楼位于2号厂房北侧，门卫房位于厂区西北侧的入口处。项目的危废贮存库、一般固废贮存间位于厂区西南侧。</w:t>
            </w:r>
          </w:p>
          <w:p w14:paraId="011600D2">
            <w:pPr>
              <w:pStyle w:val="14"/>
              <w:keepNext w:val="0"/>
              <w:keepLines w:val="0"/>
              <w:suppressLineNumbers w:val="0"/>
              <w:spacing w:before="0" w:beforeAutospacing="0" w:after="0" w:afterAutospacing="0"/>
              <w:ind w:right="0"/>
              <w:rPr>
                <w:rFonts w:hint="default"/>
                <w:color w:val="auto"/>
                <w:highlight w:val="none"/>
                <w:lang w:val="en-US" w:eastAsia="zh-CN"/>
              </w:rPr>
            </w:pPr>
            <w:r>
              <w:rPr>
                <w:rFonts w:hint="eastAsia"/>
                <w:color w:val="auto"/>
                <w:highlight w:val="none"/>
                <w:lang w:val="en-US" w:eastAsia="zh-CN"/>
              </w:rPr>
              <w:t>2号厂房内部，依次布置车间办公室及装配车间、离合器装配区、装配清洗区、库房、预留区域、热熔压铸区、抛丸区、浸胶区、退火区、热压区、抛丸及磨加工区、冲裁区、固化区，2号厂房东侧为DA003、DA004排气筒及对应的废气治理设施，2号厂房南侧为DA001、DA002排气筒及对应的治理设施。空压机房位于2号厂房外的东侧。1号厂房暂不布置安装设备，作为预留。</w:t>
            </w:r>
          </w:p>
          <w:p w14:paraId="38560F15">
            <w:pPr>
              <w:keepNext w:val="0"/>
              <w:keepLines w:val="0"/>
              <w:suppressLineNumbers w:val="0"/>
              <w:adjustRightInd w:val="0"/>
              <w:snapToGrid w:val="0"/>
              <w:spacing w:before="0" w:beforeAutospacing="0" w:after="0" w:afterAutospacing="0" w:line="400" w:lineRule="exact"/>
              <w:ind w:left="0" w:right="0" w:firstLine="522" w:firstLineChars="200"/>
              <w:rPr>
                <w:rFonts w:hint="default"/>
                <w:b/>
                <w:bCs/>
                <w:color w:val="auto"/>
                <w:sz w:val="26"/>
                <w:szCs w:val="26"/>
                <w:highlight w:val="none"/>
              </w:rPr>
            </w:pPr>
            <w:r>
              <w:rPr>
                <w:rFonts w:hint="default"/>
                <w:b/>
                <w:bCs/>
                <w:color w:val="auto"/>
                <w:sz w:val="26"/>
                <w:szCs w:val="26"/>
                <w:highlight w:val="none"/>
              </w:rPr>
              <w:t>2.6.2</w:t>
            </w:r>
            <w:r>
              <w:rPr>
                <w:rFonts w:hint="eastAsia"/>
                <w:b/>
                <w:bCs/>
                <w:color w:val="auto"/>
                <w:sz w:val="26"/>
                <w:szCs w:val="26"/>
                <w:highlight w:val="none"/>
              </w:rPr>
              <w:t xml:space="preserve"> 周边</w:t>
            </w:r>
            <w:r>
              <w:rPr>
                <w:rFonts w:hint="default"/>
                <w:b/>
                <w:bCs/>
                <w:color w:val="auto"/>
                <w:sz w:val="26"/>
                <w:szCs w:val="26"/>
                <w:highlight w:val="none"/>
              </w:rPr>
              <w:t>外环境关系</w:t>
            </w:r>
          </w:p>
          <w:p w14:paraId="32F174CB">
            <w:pPr>
              <w:keepNext w:val="0"/>
              <w:keepLines w:val="0"/>
              <w:suppressLineNumbers w:val="0"/>
              <w:adjustRightInd w:val="0"/>
              <w:snapToGrid w:val="0"/>
              <w:spacing w:before="0" w:beforeAutospacing="0" w:after="0" w:afterAutospacing="0" w:line="400" w:lineRule="exact"/>
              <w:ind w:left="0" w:right="0" w:firstLine="520" w:firstLineChars="200"/>
              <w:rPr>
                <w:rFonts w:hint="default"/>
                <w:bCs/>
                <w:color w:val="auto"/>
                <w:sz w:val="26"/>
                <w:szCs w:val="26"/>
                <w:highlight w:val="none"/>
              </w:rPr>
            </w:pPr>
            <w:r>
              <w:rPr>
                <w:rFonts w:hint="eastAsia"/>
                <w:bCs/>
                <w:color w:val="auto"/>
                <w:sz w:val="26"/>
                <w:szCs w:val="26"/>
                <w:highlight w:val="none"/>
              </w:rPr>
              <w:t>本项目北侧为</w:t>
            </w:r>
            <w:r>
              <w:rPr>
                <w:rFonts w:hint="eastAsia"/>
                <w:bCs/>
                <w:color w:val="auto"/>
                <w:sz w:val="26"/>
                <w:szCs w:val="26"/>
                <w:highlight w:val="none"/>
                <w:lang w:val="en-US" w:eastAsia="zh-CN"/>
              </w:rPr>
              <w:t>綦四公路</w:t>
            </w:r>
            <w:r>
              <w:rPr>
                <w:rFonts w:hint="eastAsia"/>
                <w:bCs/>
                <w:color w:val="auto"/>
                <w:sz w:val="26"/>
                <w:szCs w:val="26"/>
                <w:highlight w:val="none"/>
              </w:rPr>
              <w:t>，</w:t>
            </w:r>
            <w:r>
              <w:rPr>
                <w:rFonts w:hint="eastAsia"/>
                <w:bCs/>
                <w:color w:val="auto"/>
                <w:sz w:val="26"/>
                <w:szCs w:val="26"/>
                <w:highlight w:val="none"/>
                <w:lang w:val="en-US" w:eastAsia="zh-CN"/>
              </w:rPr>
              <w:t>由于项目场地为不规则形状，</w:t>
            </w:r>
            <w:r>
              <w:rPr>
                <w:rFonts w:hint="eastAsia"/>
                <w:bCs/>
                <w:color w:val="auto"/>
                <w:sz w:val="26"/>
                <w:szCs w:val="26"/>
                <w:highlight w:val="none"/>
              </w:rPr>
              <w:t>项目</w:t>
            </w:r>
            <w:r>
              <w:rPr>
                <w:rFonts w:hint="eastAsia"/>
                <w:bCs/>
                <w:color w:val="auto"/>
                <w:sz w:val="26"/>
                <w:szCs w:val="26"/>
                <w:highlight w:val="none"/>
                <w:lang w:val="en-US" w:eastAsia="zh-CN"/>
              </w:rPr>
              <w:t>西侧由近至远分别为恒发、恒佳、恒亚等三家企业</w:t>
            </w:r>
            <w:r>
              <w:rPr>
                <w:rFonts w:hint="eastAsia"/>
                <w:bCs/>
                <w:color w:val="auto"/>
                <w:sz w:val="26"/>
                <w:szCs w:val="26"/>
                <w:highlight w:val="none"/>
              </w:rPr>
              <w:t>，</w:t>
            </w:r>
            <w:r>
              <w:rPr>
                <w:rFonts w:hint="eastAsia"/>
                <w:bCs/>
                <w:color w:val="auto"/>
                <w:sz w:val="26"/>
                <w:szCs w:val="26"/>
                <w:highlight w:val="none"/>
                <w:lang w:val="en-US" w:eastAsia="zh-CN"/>
              </w:rPr>
              <w:t>南侧由近到远依次为园区支路、空地、重庆三环（江綦高速）、旗能电铝（电厂），东侧现状为空地。</w:t>
            </w:r>
            <w:r>
              <w:rPr>
                <w:rFonts w:hint="eastAsia"/>
                <w:bCs/>
                <w:color w:val="auto"/>
                <w:sz w:val="26"/>
                <w:szCs w:val="26"/>
                <w:highlight w:val="none"/>
              </w:rPr>
              <w:t>项目外环境关系见下表及附图5。</w:t>
            </w:r>
          </w:p>
          <w:p w14:paraId="13CA9C84">
            <w:pPr>
              <w:pStyle w:val="65"/>
              <w:keepNext w:val="0"/>
              <w:keepLines w:val="0"/>
              <w:suppressLineNumbers w:val="0"/>
              <w:spacing w:before="0" w:beforeAutospacing="0" w:after="0" w:afterAutospacing="0"/>
              <w:ind w:left="0" w:right="0"/>
              <w:rPr>
                <w:rFonts w:hint="default"/>
                <w:color w:val="auto"/>
                <w:highlight w:val="none"/>
              </w:rPr>
            </w:pPr>
          </w:p>
          <w:p w14:paraId="77F8E3A7">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default"/>
                <w:color w:val="auto"/>
                <w:sz w:val="26"/>
                <w:szCs w:val="26"/>
                <w:highlight w:val="none"/>
              </w:rPr>
              <w:t xml:space="preserve">2.6-1 </w:t>
            </w:r>
            <w:r>
              <w:rPr>
                <w:rFonts w:hint="eastAsia"/>
                <w:color w:val="auto"/>
                <w:sz w:val="26"/>
                <w:szCs w:val="26"/>
                <w:highlight w:val="none"/>
                <w:lang w:val="en-US" w:eastAsia="zh-CN"/>
              </w:rPr>
              <w:t xml:space="preserve">  本</w:t>
            </w:r>
            <w:r>
              <w:rPr>
                <w:rFonts w:hint="eastAsia"/>
                <w:color w:val="auto"/>
                <w:sz w:val="26"/>
                <w:szCs w:val="26"/>
                <w:highlight w:val="none"/>
              </w:rPr>
              <w:t>项目关系一览表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355"/>
              <w:gridCol w:w="1000"/>
              <w:gridCol w:w="2544"/>
              <w:gridCol w:w="2546"/>
            </w:tblGrid>
            <w:tr w14:paraId="222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5C7FC95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序号</w:t>
                  </w:r>
                </w:p>
              </w:tc>
              <w:tc>
                <w:tcPr>
                  <w:tcW w:w="2355" w:type="dxa"/>
                  <w:vAlign w:val="center"/>
                </w:tcPr>
                <w:p w14:paraId="4FC0868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名称</w:t>
                  </w:r>
                </w:p>
              </w:tc>
              <w:tc>
                <w:tcPr>
                  <w:tcW w:w="1000" w:type="dxa"/>
                  <w:vAlign w:val="center"/>
                </w:tcPr>
                <w:p w14:paraId="5D35D147">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相对</w:t>
                  </w:r>
                </w:p>
                <w:p w14:paraId="102FFE0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关系</w:t>
                  </w:r>
                </w:p>
              </w:tc>
              <w:tc>
                <w:tcPr>
                  <w:tcW w:w="2544" w:type="dxa"/>
                  <w:vAlign w:val="center"/>
                </w:tcPr>
                <w:p w14:paraId="4351F927">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与本项目的最近距离（m）</w:t>
                  </w:r>
                </w:p>
              </w:tc>
              <w:tc>
                <w:tcPr>
                  <w:tcW w:w="2545" w:type="dxa"/>
                  <w:vAlign w:val="center"/>
                </w:tcPr>
                <w:p w14:paraId="2DBD194E">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备注</w:t>
                  </w:r>
                </w:p>
              </w:tc>
            </w:tr>
            <w:tr w14:paraId="0F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34E5C9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1</w:t>
                  </w:r>
                </w:p>
              </w:tc>
              <w:tc>
                <w:tcPr>
                  <w:tcW w:w="2355" w:type="dxa"/>
                  <w:vAlign w:val="center"/>
                </w:tcPr>
                <w:p w14:paraId="6A39D516">
                  <w:pPr>
                    <w:keepNext w:val="0"/>
                    <w:keepLines w:val="0"/>
                    <w:suppressLineNumbers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綦四公路</w:t>
                  </w:r>
                </w:p>
              </w:tc>
              <w:tc>
                <w:tcPr>
                  <w:tcW w:w="1000" w:type="dxa"/>
                  <w:vAlign w:val="center"/>
                </w:tcPr>
                <w:p w14:paraId="2286611F">
                  <w:pPr>
                    <w:keepNext w:val="0"/>
                    <w:keepLines w:val="0"/>
                    <w:suppressLineNumbers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北</w:t>
                  </w:r>
                </w:p>
              </w:tc>
              <w:tc>
                <w:tcPr>
                  <w:tcW w:w="2544" w:type="dxa"/>
                  <w:vAlign w:val="center"/>
                </w:tcPr>
                <w:p w14:paraId="444813BB">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5</w:t>
                  </w:r>
                </w:p>
              </w:tc>
              <w:tc>
                <w:tcPr>
                  <w:tcW w:w="2545" w:type="dxa"/>
                  <w:vAlign w:val="center"/>
                </w:tcPr>
                <w:p w14:paraId="03704884">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二级公路</w:t>
                  </w:r>
                </w:p>
              </w:tc>
            </w:tr>
            <w:tr w14:paraId="4172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50924B6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2</w:t>
                  </w:r>
                </w:p>
              </w:tc>
              <w:tc>
                <w:tcPr>
                  <w:tcW w:w="2355" w:type="dxa"/>
                  <w:vAlign w:val="center"/>
                </w:tcPr>
                <w:p w14:paraId="5C0EA822">
                  <w:pPr>
                    <w:keepNext w:val="0"/>
                    <w:keepLines w:val="0"/>
                    <w:suppressLineNumbers w:val="0"/>
                    <w:adjustRightInd w:val="0"/>
                    <w:snapToGrid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重庆三环（江綦高速）</w:t>
                  </w:r>
                </w:p>
              </w:tc>
              <w:tc>
                <w:tcPr>
                  <w:tcW w:w="1000" w:type="dxa"/>
                  <w:vAlign w:val="center"/>
                </w:tcPr>
                <w:p w14:paraId="4E4A776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南</w:t>
                  </w:r>
                  <w:r>
                    <w:rPr>
                      <w:rFonts w:hint="eastAsia"/>
                      <w:color w:val="auto"/>
                      <w:sz w:val="22"/>
                      <w:szCs w:val="22"/>
                      <w:highlight w:val="none"/>
                    </w:rPr>
                    <w:t xml:space="preserve"> </w:t>
                  </w:r>
                </w:p>
              </w:tc>
              <w:tc>
                <w:tcPr>
                  <w:tcW w:w="2544" w:type="dxa"/>
                  <w:vAlign w:val="center"/>
                </w:tcPr>
                <w:p w14:paraId="5C6369CF">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54</w:t>
                  </w:r>
                </w:p>
              </w:tc>
              <w:tc>
                <w:tcPr>
                  <w:tcW w:w="2545" w:type="dxa"/>
                  <w:vAlign w:val="center"/>
                </w:tcPr>
                <w:p w14:paraId="4B296B4A">
                  <w:pPr>
                    <w:keepNext w:val="0"/>
                    <w:keepLines w:val="0"/>
                    <w:suppressLineNumbers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高速公路</w:t>
                  </w:r>
                </w:p>
              </w:tc>
            </w:tr>
            <w:tr w14:paraId="6898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5F0ACD3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3</w:t>
                  </w:r>
                </w:p>
              </w:tc>
              <w:tc>
                <w:tcPr>
                  <w:tcW w:w="2355" w:type="dxa"/>
                  <w:vAlign w:val="center"/>
                </w:tcPr>
                <w:p w14:paraId="7D92FBEE">
                  <w:pPr>
                    <w:keepNext w:val="0"/>
                    <w:keepLines w:val="0"/>
                    <w:suppressLineNumbers w:val="0"/>
                    <w:adjustRightInd w:val="0"/>
                    <w:snapToGrid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恒发铝业</w:t>
                  </w:r>
                </w:p>
              </w:tc>
              <w:tc>
                <w:tcPr>
                  <w:tcW w:w="1000" w:type="dxa"/>
                  <w:vAlign w:val="center"/>
                </w:tcPr>
                <w:p w14:paraId="39AD42F8">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西</w:t>
                  </w:r>
                </w:p>
              </w:tc>
              <w:tc>
                <w:tcPr>
                  <w:tcW w:w="2544" w:type="dxa"/>
                  <w:vAlign w:val="center"/>
                </w:tcPr>
                <w:p w14:paraId="4B4EF225">
                  <w:pPr>
                    <w:keepNext w:val="0"/>
                    <w:keepLines w:val="0"/>
                    <w:suppressLineNumbers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紧邻</w:t>
                  </w:r>
                </w:p>
              </w:tc>
              <w:tc>
                <w:tcPr>
                  <w:tcW w:w="2545" w:type="dxa"/>
                  <w:vAlign w:val="center"/>
                </w:tcPr>
                <w:p w14:paraId="72C12451">
                  <w:pPr>
                    <w:keepNext w:val="0"/>
                    <w:keepLines w:val="0"/>
                    <w:suppressLineNumbers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eastAsia="宋体"/>
                      <w:color w:val="auto"/>
                      <w:sz w:val="22"/>
                      <w:szCs w:val="22"/>
                      <w:highlight w:val="none"/>
                      <w:lang w:val="en-US" w:eastAsia="zh-CN"/>
                    </w:rPr>
                    <w:t>铝型材</w:t>
                  </w:r>
                  <w:r>
                    <w:rPr>
                      <w:rFonts w:hint="eastAsia"/>
                      <w:color w:val="auto"/>
                      <w:sz w:val="22"/>
                      <w:szCs w:val="22"/>
                      <w:highlight w:val="none"/>
                      <w:lang w:val="en-US" w:eastAsia="zh-CN"/>
                    </w:rPr>
                    <w:t>制造企业</w:t>
                  </w:r>
                </w:p>
              </w:tc>
            </w:tr>
            <w:tr w14:paraId="1E2C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79BF88B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4</w:t>
                  </w:r>
                </w:p>
              </w:tc>
              <w:tc>
                <w:tcPr>
                  <w:tcW w:w="2355" w:type="dxa"/>
                  <w:vAlign w:val="center"/>
                </w:tcPr>
                <w:p w14:paraId="75611E3C">
                  <w:pPr>
                    <w:keepNext w:val="0"/>
                    <w:keepLines w:val="0"/>
                    <w:suppressLineNumbers w:val="0"/>
                    <w:adjustRightInd w:val="0"/>
                    <w:snapToGrid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恒佳</w:t>
                  </w:r>
                </w:p>
              </w:tc>
              <w:tc>
                <w:tcPr>
                  <w:tcW w:w="1000" w:type="dxa"/>
                  <w:vAlign w:val="center"/>
                </w:tcPr>
                <w:p w14:paraId="10D6804A">
                  <w:pPr>
                    <w:keepNext w:val="0"/>
                    <w:keepLines w:val="0"/>
                    <w:suppressLineNumbers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西</w:t>
                  </w:r>
                </w:p>
              </w:tc>
              <w:tc>
                <w:tcPr>
                  <w:tcW w:w="2544" w:type="dxa"/>
                  <w:vAlign w:val="center"/>
                </w:tcPr>
                <w:p w14:paraId="41796EE4">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紧邻（项目不规则形最西侧紧邻该厂）</w:t>
                  </w:r>
                </w:p>
              </w:tc>
              <w:tc>
                <w:tcPr>
                  <w:tcW w:w="2545" w:type="dxa"/>
                  <w:vAlign w:val="center"/>
                </w:tcPr>
                <w:p w14:paraId="557595A3">
                  <w:pPr>
                    <w:keepNext w:val="0"/>
                    <w:keepLines w:val="0"/>
                    <w:suppressLineNumbers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汽车零部件制造企业</w:t>
                  </w:r>
                </w:p>
              </w:tc>
            </w:tr>
            <w:tr w14:paraId="4725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00073A7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5</w:t>
                  </w:r>
                </w:p>
              </w:tc>
              <w:tc>
                <w:tcPr>
                  <w:tcW w:w="2355" w:type="dxa"/>
                  <w:vAlign w:val="center"/>
                </w:tcPr>
                <w:p w14:paraId="418B6368">
                  <w:pPr>
                    <w:keepNext w:val="0"/>
                    <w:keepLines w:val="0"/>
                    <w:suppressLineNumbers w:val="0"/>
                    <w:adjustRightInd w:val="0"/>
                    <w:snapToGrid w:val="0"/>
                    <w:spacing w:before="0" w:beforeAutospacing="0" w:after="0" w:afterAutospacing="0"/>
                    <w:ind w:left="0" w:leftChars="0" w:right="0" w:rightChars="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恒亚实业</w:t>
                  </w:r>
                </w:p>
              </w:tc>
              <w:tc>
                <w:tcPr>
                  <w:tcW w:w="1000" w:type="dxa"/>
                  <w:vAlign w:val="center"/>
                </w:tcPr>
                <w:p w14:paraId="27C3A8A8">
                  <w:pPr>
                    <w:keepNext w:val="0"/>
                    <w:keepLines w:val="0"/>
                    <w:suppressLineNumbers w:val="0"/>
                    <w:spacing w:before="0" w:beforeAutospacing="0" w:after="0" w:afterAutospacing="0"/>
                    <w:ind w:left="0" w:leftChars="0" w:right="0" w:rightChars="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西</w:t>
                  </w:r>
                </w:p>
              </w:tc>
              <w:tc>
                <w:tcPr>
                  <w:tcW w:w="2544" w:type="dxa"/>
                  <w:vAlign w:val="center"/>
                </w:tcPr>
                <w:p w14:paraId="489F1ABE">
                  <w:pPr>
                    <w:keepNext w:val="0"/>
                    <w:keepLines w:val="0"/>
                    <w:suppressLineNumbers w:val="0"/>
                    <w:spacing w:before="0" w:beforeAutospacing="0" w:after="0" w:afterAutospacing="0"/>
                    <w:ind w:left="0" w:leftChars="0" w:right="0" w:rightChars="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紧邻（项目不规则形最西侧紧邻该厂）</w:t>
                  </w:r>
                </w:p>
              </w:tc>
              <w:tc>
                <w:tcPr>
                  <w:tcW w:w="2545" w:type="dxa"/>
                  <w:vAlign w:val="center"/>
                </w:tcPr>
                <w:p w14:paraId="48960DDB">
                  <w:pPr>
                    <w:keepNext w:val="0"/>
                    <w:keepLines w:val="0"/>
                    <w:suppressLineNumbers w:val="0"/>
                    <w:adjustRightInd w:val="0"/>
                    <w:snapToGrid w:val="0"/>
                    <w:spacing w:before="0" w:beforeAutospacing="0" w:after="0" w:afterAutospacing="0"/>
                    <w:ind w:left="0" w:leftChars="0" w:right="0" w:rightChars="0"/>
                    <w:jc w:val="center"/>
                    <w:rPr>
                      <w:rFonts w:hint="default" w:eastAsia="宋体"/>
                      <w:color w:val="auto"/>
                      <w:sz w:val="22"/>
                      <w:szCs w:val="22"/>
                      <w:highlight w:val="none"/>
                      <w:lang w:val="en-US" w:eastAsia="zh-CN"/>
                    </w:rPr>
                  </w:pPr>
                  <w:r>
                    <w:rPr>
                      <w:rFonts w:hint="default"/>
                      <w:color w:val="auto"/>
                      <w:sz w:val="22"/>
                      <w:szCs w:val="22"/>
                      <w:highlight w:val="none"/>
                    </w:rPr>
                    <w:t>铝压延加工</w:t>
                  </w:r>
                  <w:r>
                    <w:rPr>
                      <w:rFonts w:hint="eastAsia"/>
                      <w:color w:val="auto"/>
                      <w:sz w:val="22"/>
                      <w:szCs w:val="22"/>
                      <w:highlight w:val="none"/>
                      <w:lang w:eastAsia="zh-CN"/>
                    </w:rPr>
                    <w:t>、</w:t>
                  </w:r>
                  <w:r>
                    <w:rPr>
                      <w:rFonts w:hint="default"/>
                      <w:color w:val="auto"/>
                      <w:sz w:val="22"/>
                      <w:szCs w:val="22"/>
                      <w:highlight w:val="none"/>
                    </w:rPr>
                    <w:t>铝合金制造</w:t>
                  </w:r>
                  <w:r>
                    <w:rPr>
                      <w:rFonts w:hint="eastAsia"/>
                      <w:color w:val="auto"/>
                      <w:sz w:val="22"/>
                      <w:szCs w:val="22"/>
                      <w:highlight w:val="none"/>
                      <w:lang w:val="en-US" w:eastAsia="zh-CN"/>
                    </w:rPr>
                    <w:t>企业</w:t>
                  </w:r>
                </w:p>
              </w:tc>
            </w:tr>
            <w:tr w14:paraId="472B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2BD6732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6</w:t>
                  </w:r>
                </w:p>
              </w:tc>
              <w:tc>
                <w:tcPr>
                  <w:tcW w:w="2355" w:type="dxa"/>
                  <w:vAlign w:val="center"/>
                </w:tcPr>
                <w:p w14:paraId="2950AB4E">
                  <w:pPr>
                    <w:keepNext w:val="0"/>
                    <w:keepLines w:val="0"/>
                    <w:suppressLineNumbers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旗能电铝（电厂）</w:t>
                  </w:r>
                </w:p>
              </w:tc>
              <w:tc>
                <w:tcPr>
                  <w:tcW w:w="1000" w:type="dxa"/>
                  <w:vAlign w:val="center"/>
                </w:tcPr>
                <w:p w14:paraId="795DC1BB">
                  <w:pPr>
                    <w:keepNext w:val="0"/>
                    <w:keepLines w:val="0"/>
                    <w:suppressLineNumbers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南</w:t>
                  </w:r>
                </w:p>
              </w:tc>
              <w:tc>
                <w:tcPr>
                  <w:tcW w:w="2544" w:type="dxa"/>
                  <w:vAlign w:val="center"/>
                </w:tcPr>
                <w:p w14:paraId="043CBA91">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208</w:t>
                  </w:r>
                </w:p>
              </w:tc>
              <w:tc>
                <w:tcPr>
                  <w:tcW w:w="2545" w:type="dxa"/>
                  <w:vAlign w:val="center"/>
                </w:tcPr>
                <w:p w14:paraId="1BB1D4BF">
                  <w:pPr>
                    <w:keepNext w:val="0"/>
                    <w:keepLines w:val="0"/>
                    <w:suppressLineNumbers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bCs/>
                      <w:color w:val="auto"/>
                      <w:sz w:val="22"/>
                      <w:szCs w:val="22"/>
                      <w:highlight w:val="none"/>
                      <w:lang w:val="en-US" w:eastAsia="zh-CN"/>
                    </w:rPr>
                    <w:t>旗能电铝电厂，</w:t>
                  </w:r>
                  <w:r>
                    <w:rPr>
                      <w:rFonts w:hint="default"/>
                      <w:color w:val="auto"/>
                      <w:sz w:val="22"/>
                      <w:szCs w:val="22"/>
                      <w:highlight w:val="none"/>
                    </w:rPr>
                    <w:t>电力、热力生产和供应</w:t>
                  </w:r>
                </w:p>
              </w:tc>
            </w:tr>
            <w:tr w14:paraId="5486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dxa"/>
                  <w:vAlign w:val="center"/>
                </w:tcPr>
                <w:p w14:paraId="1BEC1C96">
                  <w:pPr>
                    <w:keepNext w:val="0"/>
                    <w:keepLines w:val="0"/>
                    <w:suppressLineNumbers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7</w:t>
                  </w:r>
                </w:p>
              </w:tc>
              <w:tc>
                <w:tcPr>
                  <w:tcW w:w="2355" w:type="dxa"/>
                  <w:vAlign w:val="center"/>
                </w:tcPr>
                <w:p w14:paraId="3EBB966D">
                  <w:pPr>
                    <w:keepNext w:val="0"/>
                    <w:keepLines w:val="0"/>
                    <w:suppressLineNumbers w:val="0"/>
                    <w:spacing w:before="0" w:beforeAutospacing="0" w:after="0" w:afterAutospacing="0"/>
                    <w:ind w:left="0" w:right="0"/>
                    <w:jc w:val="center"/>
                    <w:rPr>
                      <w:rFonts w:hint="default"/>
                      <w:bCs/>
                      <w:color w:val="auto"/>
                      <w:sz w:val="22"/>
                      <w:szCs w:val="22"/>
                      <w:highlight w:val="none"/>
                      <w:lang w:val="en-US" w:eastAsia="zh-CN"/>
                    </w:rPr>
                  </w:pPr>
                  <w:r>
                    <w:rPr>
                      <w:rFonts w:hint="eastAsia"/>
                      <w:bCs/>
                      <w:color w:val="auto"/>
                      <w:sz w:val="22"/>
                      <w:szCs w:val="22"/>
                      <w:highlight w:val="none"/>
                      <w:lang w:val="en-US" w:eastAsia="zh-CN"/>
                    </w:rPr>
                    <w:t>园区支路</w:t>
                  </w:r>
                </w:p>
              </w:tc>
              <w:tc>
                <w:tcPr>
                  <w:tcW w:w="1000" w:type="dxa"/>
                  <w:vAlign w:val="center"/>
                </w:tcPr>
                <w:p w14:paraId="6BD255A5">
                  <w:pPr>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南、东</w:t>
                  </w:r>
                </w:p>
              </w:tc>
              <w:tc>
                <w:tcPr>
                  <w:tcW w:w="2544" w:type="dxa"/>
                  <w:vAlign w:val="center"/>
                </w:tcPr>
                <w:p w14:paraId="391E5A46">
                  <w:pPr>
                    <w:keepNext w:val="0"/>
                    <w:keepLines w:val="0"/>
                    <w:suppressLineNumbers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紧邻</w:t>
                  </w:r>
                </w:p>
              </w:tc>
              <w:tc>
                <w:tcPr>
                  <w:tcW w:w="2545" w:type="dxa"/>
                  <w:vAlign w:val="center"/>
                </w:tcPr>
                <w:p w14:paraId="33EF5D0B">
                  <w:pPr>
                    <w:keepNext w:val="0"/>
                    <w:keepLines w:val="0"/>
                    <w:suppressLineNumbers w:val="0"/>
                    <w:spacing w:before="0" w:beforeAutospacing="0" w:after="0" w:afterAutospacing="0"/>
                    <w:ind w:left="0" w:right="0"/>
                    <w:jc w:val="center"/>
                    <w:rPr>
                      <w:rFonts w:hint="default"/>
                      <w:bCs/>
                      <w:color w:val="auto"/>
                      <w:sz w:val="22"/>
                      <w:szCs w:val="22"/>
                      <w:highlight w:val="none"/>
                      <w:lang w:val="en-US" w:eastAsia="zh-CN"/>
                    </w:rPr>
                  </w:pPr>
                  <w:r>
                    <w:rPr>
                      <w:rFonts w:hint="eastAsia"/>
                      <w:bCs/>
                      <w:color w:val="auto"/>
                      <w:sz w:val="22"/>
                      <w:szCs w:val="22"/>
                      <w:highlight w:val="none"/>
                      <w:lang w:val="en-US" w:eastAsia="zh-CN"/>
                    </w:rPr>
                    <w:t>支路</w:t>
                  </w:r>
                </w:p>
              </w:tc>
            </w:tr>
          </w:tbl>
          <w:p w14:paraId="00AF9910">
            <w:pPr>
              <w:pStyle w:val="74"/>
              <w:keepNext w:val="0"/>
              <w:keepLines w:val="0"/>
              <w:suppressLineNumbers w:val="0"/>
              <w:spacing w:before="0" w:beforeAutospacing="0" w:after="0" w:afterAutospacing="0" w:line="240" w:lineRule="auto"/>
              <w:ind w:left="0" w:right="0" w:firstLine="520"/>
              <w:rPr>
                <w:rFonts w:hint="default"/>
                <w:color w:val="auto"/>
                <w:highlight w:val="none"/>
                <w:lang w:val="en-US"/>
              </w:rPr>
            </w:pPr>
          </w:p>
        </w:tc>
      </w:tr>
      <w:tr w14:paraId="6BD8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dxa"/>
            <w:vAlign w:val="center"/>
          </w:tcPr>
          <w:p w14:paraId="6B455F03">
            <w:pPr>
              <w:keepNext w:val="0"/>
              <w:keepLines w:val="0"/>
              <w:suppressLineNumbers w:val="0"/>
              <w:tabs>
                <w:tab w:val="left" w:pos="9127"/>
              </w:tabs>
              <w:spacing w:before="0" w:beforeAutospacing="0" w:after="0" w:afterAutospacing="0"/>
              <w:ind w:left="0" w:right="0"/>
              <w:jc w:val="both"/>
              <w:rPr>
                <w:rFonts w:hint="default"/>
                <w:color w:val="auto"/>
                <w:sz w:val="26"/>
                <w:szCs w:val="26"/>
                <w:highlight w:val="none"/>
              </w:rPr>
            </w:pPr>
            <w:r>
              <w:rPr>
                <w:rFonts w:hint="default"/>
                <w:color w:val="auto"/>
                <w:sz w:val="26"/>
                <w:szCs w:val="26"/>
                <w:highlight w:val="none"/>
              </w:rPr>
              <w:t>工艺流程和产排污环节</w:t>
            </w:r>
          </w:p>
        </w:tc>
        <w:tc>
          <w:tcPr>
            <w:tcW w:w="9421" w:type="dxa"/>
            <w:vAlign w:val="center"/>
          </w:tcPr>
          <w:p w14:paraId="6D3CBB06">
            <w:pPr>
              <w:keepNext w:val="0"/>
              <w:keepLines w:val="0"/>
              <w:suppressLineNumbers w:val="0"/>
              <w:adjustRightInd w:val="0"/>
              <w:snapToGrid w:val="0"/>
              <w:spacing w:before="0" w:beforeAutospacing="0" w:after="0" w:afterAutospacing="0" w:line="400" w:lineRule="exact"/>
              <w:ind w:left="0" w:right="0" w:firstLine="522" w:firstLineChars="200"/>
              <w:rPr>
                <w:rFonts w:hint="default"/>
                <w:b/>
                <w:bCs/>
                <w:color w:val="auto"/>
                <w:sz w:val="26"/>
                <w:szCs w:val="26"/>
                <w:highlight w:val="none"/>
              </w:rPr>
            </w:pPr>
            <w:r>
              <w:rPr>
                <w:rFonts w:hint="default"/>
                <w:b/>
                <w:bCs/>
                <w:color w:val="auto"/>
                <w:sz w:val="26"/>
                <w:szCs w:val="26"/>
                <w:highlight w:val="none"/>
              </w:rPr>
              <w:t>2.7</w:t>
            </w:r>
            <w:r>
              <w:rPr>
                <w:rFonts w:hint="eastAsia"/>
                <w:b/>
                <w:bCs/>
                <w:color w:val="auto"/>
                <w:sz w:val="26"/>
                <w:szCs w:val="26"/>
                <w:highlight w:val="none"/>
              </w:rPr>
              <w:t>工艺流程简述、主要污染工序及环节</w:t>
            </w:r>
          </w:p>
          <w:p w14:paraId="46081184">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eastAsia"/>
                <w:b/>
                <w:color w:val="auto"/>
                <w:sz w:val="26"/>
                <w:szCs w:val="26"/>
                <w:highlight w:val="none"/>
              </w:rPr>
              <w:t>2</w:t>
            </w:r>
            <w:r>
              <w:rPr>
                <w:rFonts w:hint="default"/>
                <w:b/>
                <w:color w:val="auto"/>
                <w:sz w:val="26"/>
                <w:szCs w:val="26"/>
                <w:highlight w:val="none"/>
              </w:rPr>
              <w:t>.7.1</w:t>
            </w:r>
            <w:r>
              <w:rPr>
                <w:rFonts w:hint="eastAsia"/>
                <w:b/>
                <w:color w:val="auto"/>
                <w:sz w:val="26"/>
                <w:szCs w:val="26"/>
                <w:highlight w:val="none"/>
              </w:rPr>
              <w:t>施工期工艺流程</w:t>
            </w:r>
          </w:p>
          <w:p w14:paraId="1F94FB52">
            <w:pPr>
              <w:keepNext w:val="0"/>
              <w:keepLines w:val="0"/>
              <w:suppressLineNumbers w:val="0"/>
              <w:adjustRightInd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施工工艺流程详见下图，施工期间产生少量施工扬尘</w:t>
            </w:r>
            <w:r>
              <w:rPr>
                <w:rFonts w:hint="eastAsia"/>
                <w:color w:val="auto"/>
                <w:sz w:val="26"/>
                <w:szCs w:val="26"/>
                <w:highlight w:val="none"/>
                <w:lang w:val="en-US" w:eastAsia="zh-CN"/>
              </w:rPr>
              <w:t>及车辆废气</w:t>
            </w:r>
            <w:r>
              <w:rPr>
                <w:rFonts w:hint="eastAsia"/>
                <w:color w:val="auto"/>
                <w:sz w:val="26"/>
                <w:szCs w:val="26"/>
                <w:highlight w:val="none"/>
              </w:rPr>
              <w:t>、废水、</w:t>
            </w:r>
            <w:r>
              <w:rPr>
                <w:rFonts w:hint="eastAsia"/>
                <w:color w:val="auto"/>
                <w:sz w:val="26"/>
                <w:szCs w:val="26"/>
                <w:highlight w:val="none"/>
                <w:lang w:val="en-US" w:eastAsia="zh-CN"/>
              </w:rPr>
              <w:t>弃土、</w:t>
            </w:r>
            <w:r>
              <w:rPr>
                <w:rFonts w:hint="eastAsia"/>
                <w:color w:val="auto"/>
                <w:sz w:val="26"/>
                <w:szCs w:val="26"/>
                <w:highlight w:val="none"/>
              </w:rPr>
              <w:t>建筑垃圾、生活垃圾</w:t>
            </w:r>
            <w:r>
              <w:rPr>
                <w:rFonts w:hint="eastAsia"/>
                <w:color w:val="auto"/>
                <w:sz w:val="26"/>
                <w:szCs w:val="26"/>
                <w:highlight w:val="none"/>
                <w:lang w:eastAsia="zh-CN"/>
              </w:rPr>
              <w:t>、</w:t>
            </w:r>
            <w:r>
              <w:rPr>
                <w:rFonts w:hint="eastAsia"/>
                <w:color w:val="auto"/>
                <w:sz w:val="26"/>
                <w:szCs w:val="26"/>
                <w:highlight w:val="none"/>
                <w:lang w:val="en-US" w:eastAsia="zh-CN"/>
              </w:rPr>
              <w:t>装修废材、废包装材料、</w:t>
            </w:r>
            <w:r>
              <w:rPr>
                <w:rFonts w:hint="eastAsia"/>
                <w:color w:val="auto"/>
                <w:sz w:val="26"/>
                <w:szCs w:val="26"/>
                <w:highlight w:val="none"/>
              </w:rPr>
              <w:t>噪声。</w:t>
            </w:r>
          </w:p>
          <w:p w14:paraId="3D70F103">
            <w:pPr>
              <w:pStyle w:val="74"/>
              <w:keepNext w:val="0"/>
              <w:keepLines w:val="0"/>
              <w:suppressLineNumbers w:val="0"/>
              <w:spacing w:before="0" w:beforeAutospacing="0" w:after="0" w:afterAutospacing="0" w:line="240" w:lineRule="auto"/>
              <w:ind w:left="0" w:right="0" w:firstLine="0" w:firstLineChars="0"/>
              <w:jc w:val="center"/>
              <w:rPr>
                <w:rFonts w:hint="eastAsia"/>
                <w:color w:val="auto"/>
                <w:highlight w:val="none"/>
              </w:rPr>
            </w:pPr>
            <w:r>
              <w:rPr>
                <w:rFonts w:hint="eastAsia"/>
                <w:color w:val="auto"/>
                <w:highlight w:val="none"/>
              </w:rPr>
              <w:object>
                <v:shape id="_x0000_i1025" o:spt="75" type="#_x0000_t75" style="height:95.25pt;width:326.25pt;" o:ole="t" filled="f" o:preferrelative="t" stroked="f" coordsize="21600,21600">
                  <v:path/>
                  <v:fill on="f" focussize="0,0"/>
                  <v:stroke on="f"/>
                  <v:imagedata r:id="rId11" o:title=""/>
                  <o:lock v:ext="edit" aspectratio="f"/>
                  <w10:wrap type="none"/>
                  <w10:anchorlock/>
                </v:shape>
                <o:OLEObject Type="Embed" ProgID="Visio.Drawing.15" ShapeID="_x0000_i1025" DrawAspect="Content" ObjectID="_1468075725" r:id="rId10">
                  <o:LockedField>false</o:LockedField>
                </o:OLEObject>
              </w:object>
            </w:r>
          </w:p>
          <w:p w14:paraId="780E8008">
            <w:pPr>
              <w:pStyle w:val="74"/>
              <w:keepNext w:val="0"/>
              <w:keepLines w:val="0"/>
              <w:suppressLineNumbers w:val="0"/>
              <w:spacing w:before="0" w:beforeAutospacing="0" w:after="0" w:afterAutospacing="0" w:line="240" w:lineRule="auto"/>
              <w:ind w:left="0" w:right="0" w:firstLine="0" w:firstLineChars="0"/>
              <w:jc w:val="center"/>
              <w:rPr>
                <w:rFonts w:hint="default"/>
                <w:color w:val="auto"/>
                <w:highlight w:val="none"/>
              </w:rPr>
            </w:pPr>
            <w:r>
              <w:rPr>
                <w:rFonts w:hint="eastAsia"/>
                <w:color w:val="auto"/>
                <w:highlight w:val="none"/>
              </w:rPr>
              <w:t>图</w:t>
            </w:r>
            <w:r>
              <w:rPr>
                <w:rFonts w:hint="default"/>
                <w:color w:val="auto"/>
                <w:highlight w:val="none"/>
              </w:rPr>
              <w:t xml:space="preserve">2.7-1 </w:t>
            </w:r>
            <w:r>
              <w:rPr>
                <w:rFonts w:hint="eastAsia"/>
                <w:color w:val="auto"/>
                <w:highlight w:val="none"/>
              </w:rPr>
              <w:t>项目施工工序及产污环节示意图</w:t>
            </w:r>
          </w:p>
          <w:p w14:paraId="6686CEE5">
            <w:pPr>
              <w:pStyle w:val="86"/>
              <w:keepNext w:val="0"/>
              <w:keepLines w:val="0"/>
              <w:suppressLineNumbers w:val="0"/>
              <w:bidi w:val="0"/>
              <w:spacing w:before="0" w:beforeAutospacing="0" w:after="0" w:afterAutospacing="0"/>
              <w:ind w:left="0" w:right="0"/>
              <w:rPr>
                <w:rFonts w:hint="eastAsia"/>
                <w:color w:val="auto"/>
                <w:highlight w:val="none"/>
              </w:rPr>
            </w:pPr>
          </w:p>
          <w:p w14:paraId="373839BB">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eastAsia"/>
                <w:b/>
                <w:color w:val="auto"/>
                <w:sz w:val="26"/>
                <w:szCs w:val="26"/>
                <w:highlight w:val="none"/>
              </w:rPr>
              <w:t>2</w:t>
            </w:r>
            <w:r>
              <w:rPr>
                <w:rFonts w:hint="default"/>
                <w:b/>
                <w:color w:val="auto"/>
                <w:sz w:val="26"/>
                <w:szCs w:val="26"/>
                <w:highlight w:val="none"/>
              </w:rPr>
              <w:t>.7.2</w:t>
            </w:r>
            <w:r>
              <w:rPr>
                <w:rFonts w:hint="eastAsia"/>
                <w:b/>
                <w:color w:val="auto"/>
                <w:sz w:val="26"/>
                <w:szCs w:val="26"/>
                <w:highlight w:val="none"/>
              </w:rPr>
              <w:t>运营期工艺流程</w:t>
            </w:r>
          </w:p>
          <w:p w14:paraId="2ABEC7C4">
            <w:pPr>
              <w:keepNext w:val="0"/>
              <w:keepLines w:val="0"/>
              <w:suppressLineNumbers w:val="0"/>
              <w:adjustRightInd w:val="0"/>
              <w:snapToGrid w:val="0"/>
              <w:spacing w:before="0" w:beforeAutospacing="0" w:after="0" w:afterAutospacing="0" w:line="400" w:lineRule="exact"/>
              <w:ind w:left="0" w:right="0" w:firstLine="522" w:firstLineChars="200"/>
              <w:rPr>
                <w:rFonts w:hint="eastAsia"/>
                <w:b/>
                <w:color w:val="auto"/>
                <w:sz w:val="26"/>
                <w:szCs w:val="26"/>
                <w:highlight w:val="none"/>
              </w:rPr>
            </w:pPr>
            <w:r>
              <w:rPr>
                <w:rFonts w:hint="eastAsia"/>
                <w:b/>
                <w:color w:val="auto"/>
                <w:sz w:val="26"/>
                <w:szCs w:val="26"/>
                <w:highlight w:val="none"/>
              </w:rPr>
              <w:t>2</w:t>
            </w:r>
            <w:r>
              <w:rPr>
                <w:rFonts w:hint="default"/>
                <w:b/>
                <w:color w:val="auto"/>
                <w:sz w:val="26"/>
                <w:szCs w:val="26"/>
                <w:highlight w:val="none"/>
              </w:rPr>
              <w:t>.7.2.1</w:t>
            </w:r>
            <w:r>
              <w:rPr>
                <w:rFonts w:hint="eastAsia"/>
                <w:b/>
                <w:color w:val="auto"/>
                <w:sz w:val="26"/>
                <w:szCs w:val="26"/>
                <w:highlight w:val="none"/>
                <w:lang w:val="en-US" w:eastAsia="zh-CN"/>
              </w:rPr>
              <w:t xml:space="preserve"> </w:t>
            </w:r>
            <w:r>
              <w:rPr>
                <w:rFonts w:hint="eastAsia"/>
                <w:b/>
                <w:color w:val="auto"/>
                <w:sz w:val="26"/>
                <w:szCs w:val="26"/>
                <w:highlight w:val="none"/>
              </w:rPr>
              <w:t>生产工艺及产排污环节</w:t>
            </w:r>
          </w:p>
          <w:p w14:paraId="3ECB2F87">
            <w:pPr>
              <w:keepNext w:val="0"/>
              <w:keepLines w:val="0"/>
              <w:suppressLineNumbers w:val="0"/>
              <w:adjustRightInd w:val="0"/>
              <w:snapToGrid w:val="0"/>
              <w:spacing w:before="0" w:beforeAutospacing="0" w:after="0" w:afterAutospacing="0" w:line="400" w:lineRule="exact"/>
              <w:ind w:left="0" w:right="0" w:firstLine="522" w:firstLineChars="200"/>
              <w:rPr>
                <w:rFonts w:hint="eastAsia"/>
                <w:b/>
                <w:color w:val="auto"/>
                <w:sz w:val="26"/>
                <w:szCs w:val="26"/>
                <w:highlight w:val="none"/>
                <w:lang w:val="en-US" w:eastAsia="zh-CN"/>
              </w:rPr>
            </w:pPr>
            <w:r>
              <w:rPr>
                <w:rFonts w:hint="eastAsia"/>
                <w:b/>
                <w:color w:val="auto"/>
                <w:sz w:val="26"/>
                <w:szCs w:val="26"/>
                <w:highlight w:val="none"/>
                <w:lang w:val="en-US" w:eastAsia="zh-CN"/>
              </w:rPr>
              <w:t>2.7.2.1.1离合器摩擦片工艺流程</w:t>
            </w:r>
          </w:p>
          <w:p w14:paraId="7219D413">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离合器摩擦片工艺流程如下图所示。</w:t>
            </w:r>
          </w:p>
          <w:p w14:paraId="74903BD4">
            <w:pPr>
              <w:pStyle w:val="86"/>
              <w:keepNext w:val="0"/>
              <w:keepLines w:val="0"/>
              <w:suppressLineNumbers w:val="0"/>
              <w:bidi w:val="0"/>
              <w:spacing w:before="0" w:beforeAutospacing="0" w:after="0" w:afterAutospacing="0"/>
              <w:ind w:left="0" w:right="0"/>
              <w:rPr>
                <w:rFonts w:hint="default"/>
                <w:color w:val="auto"/>
                <w:sz w:val="26"/>
                <w:szCs w:val="26"/>
                <w:highlight w:val="none"/>
                <w:lang w:val="en-US" w:eastAsia="zh-CN"/>
              </w:rPr>
            </w:pPr>
            <w:r>
              <w:rPr>
                <w:rFonts w:hint="eastAsia"/>
                <w:color w:val="auto"/>
                <w:sz w:val="26"/>
                <w:szCs w:val="26"/>
                <w:highlight w:val="none"/>
                <w:lang w:val="en-US" w:eastAsia="zh-CN"/>
              </w:rPr>
              <w:object>
                <v:shape id="_x0000_i1026" o:spt="75" type="#_x0000_t75" style="height:392.7pt;width:458.6pt;" o:ole="t" filled="f" o:preferrelative="t" stroked="f" coordsize="21600,21600">
                  <v:path/>
                  <v:fill on="f" focussize="0,0"/>
                  <v:stroke on="f"/>
                  <v:imagedata r:id="rId13" o:title=""/>
                  <o:lock v:ext="edit" aspectratio="f"/>
                  <w10:wrap type="none"/>
                  <w10:anchorlock/>
                </v:shape>
                <o:OLEObject Type="Embed" ProgID="Visio.Drawing.15" ShapeID="_x0000_i1026" DrawAspect="Content" ObjectID="_1468075726" r:id="rId12">
                  <o:LockedField>false</o:LockedField>
                </o:OLEObject>
              </w:object>
            </w:r>
            <w:r>
              <w:rPr>
                <w:rFonts w:hint="eastAsia"/>
                <w:color w:val="auto"/>
                <w:sz w:val="26"/>
                <w:szCs w:val="26"/>
                <w:highlight w:val="none"/>
                <w:lang w:val="en-US" w:eastAsia="zh-CN"/>
              </w:rPr>
              <w:t>图2.7-2 离合器摩擦片工艺流程及产污节点图</w:t>
            </w:r>
          </w:p>
          <w:p w14:paraId="773084BD">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p>
          <w:p w14:paraId="4F7C1EC0">
            <w:pPr>
              <w:pStyle w:val="74"/>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default"/>
                <w:b/>
                <w:bCs/>
                <w:color w:val="auto"/>
                <w:highlight w:val="none"/>
                <w:lang w:val="en-US" w:eastAsia="zh-CN"/>
              </w:rPr>
              <w:t>工艺流程简述如下：</w:t>
            </w:r>
          </w:p>
          <w:p w14:paraId="35B97DF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（1）铝</w:t>
            </w:r>
            <w:r>
              <w:rPr>
                <w:rFonts w:hint="eastAsia"/>
                <w:color w:val="auto"/>
                <w:highlight w:val="none"/>
                <w:lang w:val="en-US" w:eastAsia="zh-CN"/>
              </w:rPr>
              <w:t>合金</w:t>
            </w:r>
            <w:r>
              <w:rPr>
                <w:rFonts w:hint="default"/>
                <w:color w:val="auto"/>
                <w:highlight w:val="none"/>
                <w:lang w:val="en-US" w:eastAsia="zh-CN"/>
              </w:rPr>
              <w:t>熔化、压铸及退火</w:t>
            </w:r>
          </w:p>
          <w:p w14:paraId="62600A79">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①熔化</w:t>
            </w:r>
            <w:r>
              <w:rPr>
                <w:rFonts w:hint="eastAsia"/>
                <w:color w:val="auto"/>
                <w:highlight w:val="none"/>
                <w:lang w:val="en-US" w:eastAsia="zh-CN"/>
              </w:rPr>
              <w:t>、除渣</w:t>
            </w:r>
          </w:p>
          <w:p w14:paraId="77E47188">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本项目的铝合金锭热熔、除渣均在熔炉内完成。</w:t>
            </w:r>
            <w:r>
              <w:rPr>
                <w:rFonts w:hint="default"/>
                <w:color w:val="auto"/>
                <w:highlight w:val="none"/>
                <w:lang w:val="en-US" w:eastAsia="zh-CN"/>
              </w:rPr>
              <w:t>将外购铝</w:t>
            </w:r>
            <w:r>
              <w:rPr>
                <w:rFonts w:hint="eastAsia"/>
                <w:color w:val="auto"/>
                <w:highlight w:val="none"/>
                <w:lang w:val="en-US" w:eastAsia="zh-CN"/>
              </w:rPr>
              <w:t>合金锭</w:t>
            </w:r>
            <w:r>
              <w:rPr>
                <w:rFonts w:hint="default"/>
                <w:color w:val="auto"/>
                <w:highlight w:val="none"/>
                <w:lang w:val="en-US" w:eastAsia="zh-CN"/>
              </w:rPr>
              <w:t>放入电炉熔化炉中升温熔化，形成熔体的过程，铝水熔化温度约700℃。</w:t>
            </w:r>
            <w:r>
              <w:rPr>
                <w:rFonts w:hint="eastAsia"/>
                <w:color w:val="auto"/>
                <w:highlight w:val="none"/>
                <w:lang w:val="en-US" w:eastAsia="zh-CN"/>
              </w:rPr>
              <w:t>热熔的生产时长为6000h/a。</w:t>
            </w:r>
          </w:p>
          <w:p w14:paraId="23E76DE2">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除渣：温度达到680~740℃时启动除渣操作，以确保熔体的纯净度和化学成分均匀，除渣勺需提前预热烘干（避免水分遇高温铝液引发飞溅），抽风系统保持常开以控制粉尘和废气。人工操作均匀地撒入除渣剂，覆盖铝液表面。用除渣勺在距熔炉内的</w:t>
            </w:r>
            <w:r>
              <w:rPr>
                <w:rFonts w:hint="eastAsia"/>
                <w:b w:val="0"/>
                <w:bCs w:val="0"/>
                <w:color w:val="auto"/>
                <w:highlight w:val="none"/>
                <w:lang w:val="en-US" w:eastAsia="zh-CN"/>
              </w:rPr>
              <w:t>坩埚</w:t>
            </w:r>
            <w:r>
              <w:rPr>
                <w:rFonts w:hint="eastAsia"/>
                <w:color w:val="auto"/>
                <w:highlight w:val="none"/>
                <w:lang w:val="en-US" w:eastAsia="zh-CN"/>
              </w:rPr>
              <w:t>底部100～150mm处缓慢搅拌，确保除渣剂与铝液充分反应，直至反应停止（无明显气泡或烟雾产生）。搅拌后静置5～10分钟，待杂质上浮至表面，用除渣勺捞出浮渣，倒入密闭金属容器中自然冷却。冷却后的废渣装入编织袋，运至指定危废贮存库；每班结束后清理场地，确保无残留铝液或废渣。除渣频次为每班（8h）进行一次，每天除渣剂使用量为12kg，单次除渣持续时间共计约30min。</w:t>
            </w:r>
          </w:p>
          <w:p w14:paraId="054D0938">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铝</w:t>
            </w:r>
            <w:r>
              <w:rPr>
                <w:rFonts w:hint="eastAsia"/>
                <w:color w:val="auto"/>
                <w:highlight w:val="none"/>
                <w:lang w:val="en-US" w:eastAsia="zh-CN"/>
              </w:rPr>
              <w:t>合金</w:t>
            </w:r>
            <w:r>
              <w:rPr>
                <w:rFonts w:hint="default"/>
                <w:color w:val="auto"/>
                <w:highlight w:val="none"/>
                <w:lang w:val="en-US" w:eastAsia="zh-CN"/>
              </w:rPr>
              <w:t>锭熔化过程会产生少量的热熔</w:t>
            </w:r>
            <w:r>
              <w:rPr>
                <w:rFonts w:hint="eastAsia"/>
                <w:color w:val="auto"/>
                <w:highlight w:val="none"/>
                <w:lang w:val="en-US" w:eastAsia="zh-CN"/>
              </w:rPr>
              <w:t>除渣废气</w:t>
            </w:r>
            <w:r>
              <w:rPr>
                <w:rFonts w:hint="default"/>
                <w:color w:val="auto"/>
                <w:highlight w:val="none"/>
                <w:lang w:val="en-US" w:eastAsia="zh-CN"/>
              </w:rPr>
              <w:t>（G1</w:t>
            </w:r>
            <w:r>
              <w:rPr>
                <w:rFonts w:hint="eastAsia"/>
                <w:color w:val="auto"/>
                <w:highlight w:val="none"/>
                <w:lang w:val="en-US" w:eastAsia="zh-CN"/>
              </w:rPr>
              <w:t>，主要成分为颗粒物及少量的氯化氢</w:t>
            </w:r>
            <w:r>
              <w:rPr>
                <w:rFonts w:hint="default"/>
                <w:color w:val="auto"/>
                <w:highlight w:val="none"/>
                <w:lang w:val="en-US" w:eastAsia="zh-CN"/>
              </w:rPr>
              <w:t>）、布袋除尘收集的粉尘（S1-1）。</w:t>
            </w:r>
          </w:p>
          <w:p w14:paraId="652537E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②压铸</w:t>
            </w:r>
          </w:p>
          <w:p w14:paraId="6021D9B2">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将高温熔体铝液</w:t>
            </w:r>
            <w:r>
              <w:rPr>
                <w:rFonts w:hint="eastAsia"/>
                <w:color w:val="auto"/>
                <w:highlight w:val="none"/>
                <w:lang w:val="en-US" w:eastAsia="zh-CN"/>
              </w:rPr>
              <w:t>从熔铸机</w:t>
            </w:r>
            <w:r>
              <w:rPr>
                <w:rFonts w:hint="default"/>
                <w:color w:val="auto"/>
                <w:highlight w:val="none"/>
                <w:lang w:val="en-US" w:eastAsia="zh-CN"/>
              </w:rPr>
              <w:t>的</w:t>
            </w:r>
            <w:r>
              <w:rPr>
                <w:rFonts w:hint="eastAsia"/>
                <w:color w:val="auto"/>
                <w:highlight w:val="none"/>
                <w:lang w:val="en-US" w:eastAsia="zh-CN"/>
              </w:rPr>
              <w:t>自动连续注入</w:t>
            </w:r>
            <w:r>
              <w:rPr>
                <w:rFonts w:hint="default"/>
                <w:color w:val="auto"/>
                <w:highlight w:val="none"/>
                <w:lang w:val="en-US" w:eastAsia="zh-CN"/>
              </w:rPr>
              <w:t>钢模具中进行压铸，</w:t>
            </w:r>
            <w:r>
              <w:rPr>
                <w:rFonts w:hint="eastAsia"/>
                <w:color w:val="auto"/>
                <w:highlight w:val="none"/>
                <w:lang w:val="en-US" w:eastAsia="zh-CN"/>
              </w:rPr>
              <w:t>自动浇注过程中为密闭的，</w:t>
            </w:r>
            <w:r>
              <w:rPr>
                <w:rFonts w:hint="default"/>
                <w:color w:val="auto"/>
                <w:highlight w:val="none"/>
                <w:lang w:val="en-US" w:eastAsia="zh-CN"/>
              </w:rPr>
              <w:t>压铸时模具与熔体接触面要涂上一层脱模剂涂料（脱模剂与水按照1:</w:t>
            </w:r>
            <w:r>
              <w:rPr>
                <w:rFonts w:hint="eastAsia"/>
                <w:color w:val="auto"/>
                <w:highlight w:val="none"/>
                <w:lang w:val="en-US" w:eastAsia="zh-CN"/>
              </w:rPr>
              <w:t>80</w:t>
            </w:r>
            <w:r>
              <w:rPr>
                <w:rFonts w:hint="default"/>
                <w:color w:val="auto"/>
                <w:highlight w:val="none"/>
                <w:lang w:val="en-US" w:eastAsia="zh-CN"/>
              </w:rPr>
              <w:t>比例进行配制），以利于铸件的取出，高温铝液压铸后会使脱模剂挥发形成少量的有机废气（以非甲烷总烃计），同时脱模剂中的水分会随着高温自然蒸发。压铸模具使用间接水循环冷却，利用</w:t>
            </w:r>
            <w:r>
              <w:rPr>
                <w:rFonts w:hint="eastAsia"/>
                <w:color w:val="auto"/>
                <w:highlight w:val="none"/>
                <w:lang w:val="en-US" w:eastAsia="zh-CN"/>
              </w:rPr>
              <w:t>50</w:t>
            </w:r>
            <w:r>
              <w:rPr>
                <w:rFonts w:hint="default"/>
                <w:color w:val="auto"/>
                <w:highlight w:val="none"/>
                <w:lang w:val="en-US" w:eastAsia="zh-CN"/>
              </w:rPr>
              <w:t>m</w:t>
            </w:r>
            <w:r>
              <w:rPr>
                <w:rFonts w:hint="default"/>
                <w:color w:val="auto"/>
                <w:highlight w:val="none"/>
                <w:vertAlign w:val="superscript"/>
                <w:lang w:val="en-US" w:eastAsia="zh-CN"/>
              </w:rPr>
              <w:t>3</w:t>
            </w:r>
            <w:r>
              <w:rPr>
                <w:rFonts w:hint="default"/>
                <w:color w:val="auto"/>
                <w:highlight w:val="none"/>
                <w:lang w:val="en-US" w:eastAsia="zh-CN"/>
              </w:rPr>
              <w:t>的水池储存，配套</w:t>
            </w:r>
            <w:r>
              <w:rPr>
                <w:rFonts w:hint="eastAsia"/>
                <w:color w:val="auto"/>
                <w:highlight w:val="none"/>
                <w:lang w:val="en-US" w:eastAsia="zh-CN"/>
              </w:rPr>
              <w:t>1座</w:t>
            </w:r>
            <w:r>
              <w:rPr>
                <w:rFonts w:hint="default"/>
                <w:color w:val="auto"/>
                <w:highlight w:val="none"/>
                <w:lang w:val="en-US" w:eastAsia="zh-CN"/>
              </w:rPr>
              <w:t>冷却塔。在压铸模具上设置冷却水通道，使循环水通入成形芯块或型芯内，将热量带出模具。冷却水循环使用</w:t>
            </w:r>
            <w:r>
              <w:rPr>
                <w:rFonts w:hint="eastAsia"/>
                <w:color w:val="auto"/>
                <w:highlight w:val="none"/>
                <w:lang w:val="en-US" w:eastAsia="zh-CN"/>
              </w:rPr>
              <w:t>，定期</w:t>
            </w:r>
            <w:r>
              <w:rPr>
                <w:rFonts w:hint="default"/>
                <w:color w:val="auto"/>
                <w:highlight w:val="none"/>
                <w:lang w:val="en-US" w:eastAsia="zh-CN"/>
              </w:rPr>
              <w:t>外排</w:t>
            </w:r>
            <w:r>
              <w:rPr>
                <w:rFonts w:hint="eastAsia"/>
                <w:color w:val="auto"/>
                <w:highlight w:val="none"/>
                <w:lang w:val="en-US" w:eastAsia="zh-CN"/>
              </w:rPr>
              <w:t>排污水</w:t>
            </w:r>
            <w:r>
              <w:rPr>
                <w:rFonts w:hint="default"/>
                <w:color w:val="auto"/>
                <w:highlight w:val="none"/>
                <w:lang w:val="en-US" w:eastAsia="zh-CN"/>
              </w:rPr>
              <w:t>，从而制成所需铸件。本项目使用的钢模具外购，不涉及制芯造型等工艺</w:t>
            </w:r>
            <w:r>
              <w:rPr>
                <w:rFonts w:hint="default"/>
                <w:b w:val="0"/>
                <w:bCs w:val="0"/>
                <w:color w:val="auto"/>
                <w:highlight w:val="none"/>
                <w:lang w:val="en-US" w:eastAsia="zh-CN"/>
              </w:rPr>
              <w:t>，一套钢模具可正常使用6万次</w:t>
            </w:r>
            <w:r>
              <w:rPr>
                <w:rFonts w:hint="default"/>
                <w:b/>
                <w:bCs/>
                <w:color w:val="auto"/>
                <w:highlight w:val="none"/>
                <w:lang w:val="en-US" w:eastAsia="zh-CN"/>
              </w:rPr>
              <w:t>，</w:t>
            </w:r>
            <w:r>
              <w:rPr>
                <w:rFonts w:hint="default"/>
                <w:color w:val="auto"/>
                <w:highlight w:val="none"/>
                <w:lang w:val="en-US" w:eastAsia="zh-CN"/>
              </w:rPr>
              <w:t>钢模具定期进入模具维修区进行检维修。</w:t>
            </w:r>
            <w:r>
              <w:rPr>
                <w:rFonts w:hint="eastAsia"/>
                <w:color w:val="auto"/>
                <w:highlight w:val="none"/>
                <w:lang w:val="en-US" w:eastAsia="zh-CN"/>
              </w:rPr>
              <w:t>压铸、脱模的生产时长均为6000h/a。</w:t>
            </w:r>
          </w:p>
          <w:p w14:paraId="4C12B7A1">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脱模剂主要成分为乳化硅油，脱模剂中矿物油及合成脂含量约20%，在高温下部分脱模剂挥发，并有极少量脱模剂高温下分解，产生</w:t>
            </w:r>
            <w:r>
              <w:rPr>
                <w:rFonts w:hint="eastAsia"/>
                <w:color w:val="auto"/>
                <w:highlight w:val="none"/>
                <w:lang w:val="en-US" w:eastAsia="zh-CN"/>
              </w:rPr>
              <w:t>脱模</w:t>
            </w:r>
            <w:r>
              <w:rPr>
                <w:rFonts w:hint="default"/>
                <w:color w:val="auto"/>
                <w:highlight w:val="none"/>
                <w:lang w:val="en-US" w:eastAsia="zh-CN"/>
              </w:rPr>
              <w:t>废气（G2-1</w:t>
            </w:r>
            <w:r>
              <w:rPr>
                <w:rFonts w:hint="eastAsia"/>
                <w:color w:val="auto"/>
                <w:highlight w:val="none"/>
                <w:lang w:val="en-US" w:eastAsia="zh-CN"/>
              </w:rPr>
              <w:t>、非甲烷总烃、少量颗粒物、水蒸汽</w:t>
            </w:r>
            <w:r>
              <w:rPr>
                <w:rFonts w:hint="default"/>
                <w:color w:val="auto"/>
                <w:highlight w:val="none"/>
                <w:lang w:val="en-US" w:eastAsia="zh-CN"/>
              </w:rPr>
              <w:t>）和废气处理产生的废过滤棉</w:t>
            </w:r>
            <w:r>
              <w:rPr>
                <w:rFonts w:hint="eastAsia"/>
                <w:color w:val="auto"/>
                <w:highlight w:val="none"/>
                <w:lang w:val="en-US" w:eastAsia="zh-CN"/>
              </w:rPr>
              <w:t>（S7-1）</w:t>
            </w:r>
            <w:r>
              <w:rPr>
                <w:rFonts w:hint="default"/>
                <w:color w:val="auto"/>
                <w:highlight w:val="none"/>
                <w:lang w:val="en-US" w:eastAsia="zh-CN"/>
              </w:rPr>
              <w:t>和废活性炭（S6-1）。</w:t>
            </w:r>
          </w:p>
          <w:p w14:paraId="36C0D59E">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lang w:val="en-US" w:eastAsia="zh-CN"/>
              </w:rPr>
              <w:t>③退火</w:t>
            </w:r>
          </w:p>
          <w:p w14:paraId="2BB8B8FB">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经压铸冷却下来的铝铸件放入退火烘箱炉内进行退火处理，能源为电能，将铝铸件缓慢加热到一定温度，保持足够时间，然后以适宜速度冷却，退火可降低铝铸件硬度，改善机械加工性，消除残余应力，稳定尺寸，减少变形与裂纹倾向。</w:t>
            </w:r>
            <w:r>
              <w:rPr>
                <w:rFonts w:hint="eastAsia"/>
                <w:color w:val="auto"/>
                <w:highlight w:val="none"/>
                <w:lang w:val="en-US" w:eastAsia="zh-CN"/>
              </w:rPr>
              <w:t>退火后对部分表面平整度不高的铸件进行校平，热校平机的能源为电能，选择适当的校平温度（通常为150~300℃），避免过高温度导致二次变形或力学性能下降。</w:t>
            </w:r>
          </w:p>
          <w:p w14:paraId="1B9EAA6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（2）冲裁、检验</w:t>
            </w:r>
          </w:p>
          <w:p w14:paraId="4E9901F3">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铸</w:t>
            </w:r>
            <w:r>
              <w:rPr>
                <w:rFonts w:hint="eastAsia"/>
                <w:color w:val="auto"/>
                <w:highlight w:val="none"/>
                <w:lang w:val="en-US" w:eastAsia="zh-CN"/>
              </w:rPr>
              <w:t>件</w:t>
            </w:r>
            <w:r>
              <w:rPr>
                <w:rFonts w:hint="default"/>
                <w:color w:val="auto"/>
                <w:highlight w:val="none"/>
                <w:lang w:val="en-US" w:eastAsia="zh-CN"/>
              </w:rPr>
              <w:t>冷却后，在冲裁区进行冲裁处理并进行检验。冲裁和检验过程会产生噪声（N）、边角料（S2）和不合格产品（S3-1）。</w:t>
            </w:r>
          </w:p>
          <w:p w14:paraId="5A8111DA">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 xml:space="preserve">（3）抛丸 </w:t>
            </w:r>
          </w:p>
          <w:p w14:paraId="0BB7CBE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抛丸是利用高速钢丸的冲击作用清理和粗化基体表面的过程。具体原理为：采用压缩空气为动力，以形成高速喷射束将喷料（钢丸）高速喷射到需要处理的工件表面，使工件的外表面或形状发生变化，由于喷料对工件表面的冲击和切削作用，使工件表面获得一定的清洁度和不同的粗糙度（如形成亚光效果），使工件表面的机械性能得到改善，提高工件的抗疲劳性。本工序使用的不锈钢丸定期进行更换</w:t>
            </w:r>
            <w:r>
              <w:rPr>
                <w:rFonts w:hint="eastAsia"/>
                <w:color w:val="auto"/>
                <w:highlight w:val="none"/>
                <w:lang w:val="en-US" w:eastAsia="zh-CN"/>
              </w:rPr>
              <w:t>，抛丸的年加工时间为2000h/a。</w:t>
            </w:r>
          </w:p>
          <w:p w14:paraId="6E8D567D">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喷砂抛丸过程会产生噪声（N）、粉尘（G3-1）、布袋除尘收集的粉尘（S1-2）以及废旧钢丸（S4）。</w:t>
            </w:r>
          </w:p>
          <w:p w14:paraId="10BEE7D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（4）浸胶</w:t>
            </w:r>
          </w:p>
          <w:p w14:paraId="68AE64B4">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该过程为2条自动化浸胶线，经抛丸后的铝片悬挂于吊空输送线上，铝片通过浸胶线的4m×0.5m的胶水槽后，再缓慢通过长体烘箱（</w:t>
            </w:r>
            <w:r>
              <w:rPr>
                <w:rFonts w:hint="eastAsia"/>
                <w:color w:val="auto"/>
                <w:highlight w:val="none"/>
                <w:lang w:val="en-US" w:eastAsia="zh-CN"/>
              </w:rPr>
              <w:t>电加热，</w:t>
            </w:r>
            <w:r>
              <w:rPr>
                <w:rFonts w:hint="default"/>
                <w:color w:val="auto"/>
                <w:highlight w:val="none"/>
                <w:lang w:val="en-US" w:eastAsia="zh-CN"/>
              </w:rPr>
              <w:t>加热温度40℃左右）进行烘干。项目所用胶水为橡胶金属胶粘剂，是目前国内橡胶骨架制品行业的首选胶粘剂产品，是以乙醇作为溶剂，胶水通过外购乙醇和胶粉（胶粉主要成分为聚酯树脂，稳定性强，分解温度≥300℃以上，浸胶加热温度（40℃左右）远小于分解温度，不会造成胶粉的分解或挥发）配置而成，其配比按照胶粉:乙醇=1:7配制而成，使用无毒性</w:t>
            </w:r>
            <w:r>
              <w:rPr>
                <w:rFonts w:hint="eastAsia"/>
                <w:color w:val="auto"/>
                <w:highlight w:val="none"/>
                <w:lang w:val="en-US" w:eastAsia="zh-CN"/>
              </w:rPr>
              <w:t>，胶水配置在浸胶生产线配套集气罩收集范围内操作，纳入其收集、治理设施</w:t>
            </w:r>
            <w:r>
              <w:rPr>
                <w:rFonts w:hint="default"/>
                <w:color w:val="auto"/>
                <w:highlight w:val="none"/>
                <w:lang w:val="en-US" w:eastAsia="zh-CN"/>
              </w:rPr>
              <w:t>。</w:t>
            </w:r>
            <w:r>
              <w:rPr>
                <w:rFonts w:hint="eastAsia"/>
                <w:color w:val="auto"/>
                <w:highlight w:val="none"/>
                <w:lang w:val="en-US" w:eastAsia="zh-CN"/>
              </w:rPr>
              <w:t>该工序的生产时长为4000h/a。</w:t>
            </w:r>
          </w:p>
          <w:p w14:paraId="67E913CE">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b w:val="0"/>
                <w:bCs w:val="0"/>
                <w:color w:val="auto"/>
                <w:highlight w:val="none"/>
                <w:lang w:val="en-US" w:eastAsia="zh-CN"/>
              </w:rPr>
              <w:t>胶水配置、</w:t>
            </w:r>
            <w:r>
              <w:rPr>
                <w:rFonts w:hint="default"/>
                <w:b w:val="0"/>
                <w:bCs w:val="0"/>
                <w:color w:val="auto"/>
                <w:highlight w:val="none"/>
                <w:lang w:val="en-US" w:eastAsia="zh-CN"/>
              </w:rPr>
              <w:t>浸胶线</w:t>
            </w:r>
            <w:r>
              <w:rPr>
                <w:rFonts w:hint="eastAsia"/>
                <w:b w:val="0"/>
                <w:bCs w:val="0"/>
                <w:color w:val="auto"/>
                <w:highlight w:val="none"/>
                <w:lang w:val="en-US" w:eastAsia="zh-CN"/>
              </w:rPr>
              <w:t>会挥发</w:t>
            </w:r>
            <w:r>
              <w:rPr>
                <w:rFonts w:hint="default"/>
                <w:b w:val="0"/>
                <w:bCs w:val="0"/>
                <w:color w:val="auto"/>
                <w:highlight w:val="none"/>
                <w:lang w:val="en-US" w:eastAsia="zh-CN"/>
              </w:rPr>
              <w:t>乙醇气体</w:t>
            </w:r>
            <w:r>
              <w:rPr>
                <w:rFonts w:hint="default"/>
                <w:color w:val="auto"/>
                <w:highlight w:val="none"/>
                <w:lang w:val="en-US" w:eastAsia="zh-CN"/>
              </w:rPr>
              <w:t>（以非甲烷总烃计）（G2-2），</w:t>
            </w:r>
            <w:r>
              <w:rPr>
                <w:rFonts w:hint="eastAsia"/>
                <w:color w:val="auto"/>
                <w:highlight w:val="none"/>
                <w:lang w:val="en-US" w:eastAsia="zh-CN"/>
              </w:rPr>
              <w:t>按照配置及浸胶过程乙醇全部挥发考虑，</w:t>
            </w:r>
            <w:r>
              <w:rPr>
                <w:rFonts w:hint="default"/>
                <w:color w:val="auto"/>
                <w:highlight w:val="none"/>
                <w:lang w:val="en-US" w:eastAsia="zh-CN"/>
              </w:rPr>
              <w:t>采用水喷淋吸收塔进行吸收处理产生乙醇处理</w:t>
            </w:r>
            <w:r>
              <w:rPr>
                <w:rFonts w:hint="eastAsia"/>
                <w:color w:val="auto"/>
                <w:highlight w:val="none"/>
                <w:lang w:val="en-US" w:eastAsia="zh-CN"/>
              </w:rPr>
              <w:t>喷淋废水</w:t>
            </w:r>
            <w:r>
              <w:rPr>
                <w:rFonts w:hint="default"/>
                <w:color w:val="auto"/>
                <w:highlight w:val="none"/>
                <w:lang w:val="en-US" w:eastAsia="zh-CN"/>
              </w:rPr>
              <w:t>（</w:t>
            </w:r>
            <w:r>
              <w:rPr>
                <w:rFonts w:hint="eastAsia"/>
                <w:color w:val="auto"/>
                <w:highlight w:val="none"/>
                <w:lang w:val="en-US" w:eastAsia="zh-CN"/>
              </w:rPr>
              <w:t>W5</w:t>
            </w:r>
            <w:r>
              <w:rPr>
                <w:rFonts w:hint="default"/>
                <w:color w:val="auto"/>
                <w:highlight w:val="none"/>
                <w:lang w:val="en-US" w:eastAsia="zh-CN"/>
              </w:rPr>
              <w:t>）。</w:t>
            </w:r>
          </w:p>
          <w:p w14:paraId="64F92A3D">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（5）橡胶片生产</w:t>
            </w:r>
          </w:p>
          <w:p w14:paraId="285453A4">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橡胶片每批次的生产时长为2h，年生产1360批次，年生产时长为2720h。</w:t>
            </w:r>
          </w:p>
          <w:p w14:paraId="2E5D1644">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1）原料混合搅拌：外购配比好的软木、硅藻土的混合固体粉末，与丁腈</w:t>
            </w:r>
            <w:r>
              <w:rPr>
                <w:rFonts w:hint="eastAsia"/>
                <w:color w:val="auto"/>
                <w:lang w:val="en-US" w:eastAsia="zh-CN"/>
              </w:rPr>
              <w:t>橡</w:t>
            </w:r>
            <w:r>
              <w:rPr>
                <w:rFonts w:hint="eastAsia"/>
                <w:color w:val="auto"/>
                <w:highlight w:val="none"/>
                <w:lang w:val="en-US" w:eastAsia="zh-CN"/>
              </w:rPr>
              <w:t>胶以15:3.5的比例混合，共设置2台搅拌机，每批次投加15kg的软木、硅藻土的混合固体粉末，每批次投加3.5kg的丁腈胶，原料进入搅拌机内高速搅拌混合，搅拌时间约为20min。</w:t>
            </w:r>
          </w:p>
          <w:p w14:paraId="764F2AAD">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加热挤压成型：配套2台挤压机，搅拌后的物料采用容器盛装，人工转移放入挤压机内，挤压机温度控制在70℃左右，原料在挤压机内通过剪切力和热塑性使混合物熔融均质化，并初步成型。成型后采用间接冷却水进行冷却，利用10m</w:t>
            </w:r>
            <w:r>
              <w:rPr>
                <w:rFonts w:hint="eastAsia"/>
                <w:color w:val="auto"/>
                <w:highlight w:val="none"/>
                <w:vertAlign w:val="superscript"/>
                <w:lang w:val="en-US" w:eastAsia="zh-CN"/>
              </w:rPr>
              <w:t>3</w:t>
            </w:r>
            <w:r>
              <w:rPr>
                <w:rFonts w:hint="eastAsia"/>
                <w:color w:val="auto"/>
                <w:highlight w:val="none"/>
                <w:lang w:val="en-US" w:eastAsia="zh-CN"/>
              </w:rPr>
              <w:t>的水池储存，配套1座冷却塔。</w:t>
            </w:r>
          </w:p>
          <w:p w14:paraId="1B029D2E">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3）制片：配套6台制片机，加热挤压成型得到的橡胶片为矩形的半成品，采用容器存放半成品，并人工转移至旁边的制片机，进入制片机内进行切片，得到满足尺寸要求的橡胶片。</w:t>
            </w:r>
          </w:p>
          <w:p w14:paraId="6904B554">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橡胶片生产的混合搅拌主要产生粉尘（G4-1），加热挤压会产生废气G4-2（主要为非甲烷总烃、颗粒物、臭气浓度），废气治理产生除尘灰（S1-4）、废活性炭（S6-3）。</w:t>
            </w:r>
          </w:p>
          <w:p w14:paraId="399CE9A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6</w:t>
            </w:r>
            <w:r>
              <w:rPr>
                <w:rFonts w:hint="default"/>
                <w:color w:val="auto"/>
                <w:highlight w:val="none"/>
                <w:lang w:val="en-US" w:eastAsia="zh-CN"/>
              </w:rPr>
              <w:t>）热压、固化</w:t>
            </w:r>
          </w:p>
          <w:p w14:paraId="20778DCA">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橡胶片和铸件通过自动浸胶线进行粘合后经一次热压成型，形成粗坯，为使离合器摩擦片更稳定、耐热性更高，热压后的摩擦片进入固化炉进行热处理固化，固化炉热源为电源，最高温度可达140℃，</w:t>
            </w:r>
            <w:r>
              <w:rPr>
                <w:rFonts w:hint="eastAsia"/>
                <w:color w:val="auto"/>
                <w:highlight w:val="none"/>
                <w:lang w:val="en-US" w:eastAsia="zh-CN"/>
              </w:rPr>
              <w:t>热压、固化年生产2000h/a</w:t>
            </w:r>
            <w:r>
              <w:rPr>
                <w:rFonts w:hint="default"/>
                <w:color w:val="auto"/>
                <w:highlight w:val="none"/>
                <w:lang w:val="en-US" w:eastAsia="zh-CN"/>
              </w:rPr>
              <w:t>。</w:t>
            </w:r>
          </w:p>
          <w:p w14:paraId="464F80FB">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热压、固化热处理过程主要产生有机废气（G2-3、G2-4）（非甲烷总烃），以及废气处理产生的废过滤</w:t>
            </w:r>
            <w:r>
              <w:rPr>
                <w:rFonts w:hint="eastAsia"/>
                <w:color w:val="auto"/>
                <w:highlight w:val="none"/>
                <w:lang w:val="en-US" w:eastAsia="zh-CN"/>
              </w:rPr>
              <w:t>材料（S7-2）</w:t>
            </w:r>
            <w:r>
              <w:rPr>
                <w:rFonts w:hint="default"/>
                <w:color w:val="auto"/>
                <w:highlight w:val="none"/>
                <w:lang w:val="en-US" w:eastAsia="zh-CN"/>
              </w:rPr>
              <w:t>和废活性炭（S6-2）。</w:t>
            </w:r>
          </w:p>
          <w:p w14:paraId="1BEB4F2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7</w:t>
            </w:r>
            <w:r>
              <w:rPr>
                <w:rFonts w:hint="default"/>
                <w:color w:val="auto"/>
                <w:highlight w:val="none"/>
                <w:lang w:val="en-US" w:eastAsia="zh-CN"/>
              </w:rPr>
              <w:t xml:space="preserve">）磨加工 </w:t>
            </w:r>
          </w:p>
          <w:p w14:paraId="03ECCB8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为得到更高精度尺寸的产品，需对固化后的产品进行磨加工，主要有去毛刺、磨片、抛丸等工序</w:t>
            </w:r>
            <w:r>
              <w:rPr>
                <w:rFonts w:hint="eastAsia"/>
                <w:color w:val="auto"/>
                <w:highlight w:val="none"/>
                <w:lang w:val="en-US" w:eastAsia="zh-CN"/>
              </w:rPr>
              <w:t>，根据产品的需要进行不同的磨加工处理，抛丸和其他磨加工设备的加工负荷各约为20%、80%</w:t>
            </w:r>
            <w:r>
              <w:rPr>
                <w:rFonts w:hint="default"/>
                <w:color w:val="auto"/>
                <w:highlight w:val="none"/>
                <w:lang w:val="en-US" w:eastAsia="zh-CN"/>
              </w:rPr>
              <w:t>。</w:t>
            </w:r>
            <w:r>
              <w:rPr>
                <w:rFonts w:hint="eastAsia"/>
                <w:color w:val="auto"/>
                <w:highlight w:val="none"/>
                <w:lang w:val="en-US" w:eastAsia="zh-CN"/>
              </w:rPr>
              <w:t>磨加工的年生产时间为2000h/a。本项目磨加工环节不涉及切削液的使用。</w:t>
            </w:r>
          </w:p>
          <w:p w14:paraId="0CA73FCD">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磨加工过程产生较大量的粉尘（G3-2）、噪声（N）以及布袋除尘收集的粉尘（S1-3）。</w:t>
            </w:r>
          </w:p>
          <w:p w14:paraId="0CE21B2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w:t>
            </w:r>
            <w:r>
              <w:rPr>
                <w:rFonts w:hint="eastAsia"/>
                <w:color w:val="auto"/>
                <w:highlight w:val="none"/>
                <w:lang w:val="en-US" w:eastAsia="zh-CN"/>
              </w:rPr>
              <w:t>8</w:t>
            </w:r>
            <w:r>
              <w:rPr>
                <w:rFonts w:hint="default"/>
                <w:color w:val="auto"/>
                <w:highlight w:val="none"/>
                <w:lang w:val="en-US" w:eastAsia="zh-CN"/>
              </w:rPr>
              <w:t>）检验、包装入库</w:t>
            </w:r>
          </w:p>
          <w:p w14:paraId="4478FF83">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经磨加工后的产品进行人工检验和包装入库。</w:t>
            </w:r>
          </w:p>
          <w:p w14:paraId="3AAD9EA1">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lang w:val="en-US" w:eastAsia="zh-CN"/>
              </w:rPr>
              <w:t>此时主要产生不合格产品（S3-2）和废包装材料（S</w:t>
            </w:r>
            <w:r>
              <w:rPr>
                <w:rFonts w:hint="eastAsia"/>
                <w:color w:val="auto"/>
                <w:highlight w:val="none"/>
                <w:lang w:val="en-US" w:eastAsia="zh-CN"/>
              </w:rPr>
              <w:t>8</w:t>
            </w:r>
            <w:r>
              <w:rPr>
                <w:rFonts w:hint="default"/>
                <w:color w:val="auto"/>
                <w:highlight w:val="none"/>
                <w:lang w:val="en-US" w:eastAsia="zh-CN"/>
              </w:rPr>
              <w:t>）</w:t>
            </w:r>
            <w:r>
              <w:rPr>
                <w:rFonts w:hint="eastAsia"/>
                <w:color w:val="auto"/>
                <w:highlight w:val="none"/>
                <w:lang w:val="en-US" w:eastAsia="zh-CN"/>
              </w:rPr>
              <w:t>。</w:t>
            </w:r>
          </w:p>
          <w:p w14:paraId="1FB65C91">
            <w:pPr>
              <w:pStyle w:val="74"/>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2.7.2.2摩托车、电动车离合器总成装配工艺流程</w:t>
            </w:r>
          </w:p>
          <w:p w14:paraId="4C1C839A">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摩托车、电动车离合器总成装配工艺流程详见下图。</w:t>
            </w:r>
          </w:p>
          <w:p w14:paraId="5BC0D363">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p>
          <w:p w14:paraId="6E97B40F">
            <w:pPr>
              <w:pStyle w:val="12"/>
              <w:keepNext w:val="0"/>
              <w:keepLines w:val="0"/>
              <w:suppressLineNumbers w:val="0"/>
              <w:adjustRightInd w:val="0"/>
              <w:snapToGrid w:val="0"/>
              <w:spacing w:before="0" w:beforeAutospacing="0" w:after="0" w:afterAutospacing="0"/>
              <w:ind w:left="0" w:right="0" w:firstLine="522"/>
              <w:rPr>
                <w:rFonts w:hint="eastAsia" w:ascii="Times New Roman" w:hAnsi="Times New Roman"/>
                <w:color w:val="auto"/>
                <w:sz w:val="26"/>
                <w:szCs w:val="26"/>
                <w:highlight w:val="none"/>
              </w:rPr>
            </w:pPr>
            <w:r>
              <w:rPr>
                <w:rFonts w:hint="default"/>
                <w:bCs/>
                <w:color w:val="auto"/>
                <w:sz w:val="26"/>
                <w:szCs w:val="26"/>
                <w:highlight w:val="none"/>
              </w:rPr>
              <mc:AlternateContent>
                <mc:Choice Requires="wpc">
                  <w:drawing>
                    <wp:inline distT="0" distB="0" distL="114300" distR="114300">
                      <wp:extent cx="5036185" cy="2609850"/>
                      <wp:effectExtent l="0" t="0" r="0" b="0"/>
                      <wp:docPr id="64" name="画布 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8" name="直接箭头连接符 448"/>
                              <wps:cNvCnPr>
                                <a:cxnSpLocks noChangeShapeType="1"/>
                              </wps:cNvCnPr>
                              <wps:spPr bwMode="auto">
                                <a:xfrm>
                                  <a:off x="1539875" y="663922"/>
                                  <a:ext cx="253365" cy="635"/>
                                </a:xfrm>
                                <a:prstGeom prst="straightConnector1">
                                  <a:avLst/>
                                </a:prstGeom>
                                <a:noFill/>
                                <a:ln w="9525">
                                  <a:solidFill>
                                    <a:srgbClr val="000000"/>
                                  </a:solidFill>
                                  <a:round/>
                                  <a:tailEnd type="triangle" w="med" len="med"/>
                                </a:ln>
                                <a:effectLst/>
                              </wps:spPr>
                              <wps:bodyPr/>
                            </wps:wsp>
                            <wps:wsp>
                              <wps:cNvPr id="449" name="矩形 449"/>
                              <wps:cNvSpPr>
                                <a:spLocks noChangeArrowheads="1"/>
                              </wps:cNvSpPr>
                              <wps:spPr bwMode="auto">
                                <a:xfrm>
                                  <a:off x="1793240" y="427702"/>
                                  <a:ext cx="537845" cy="459740"/>
                                </a:xfrm>
                                <a:prstGeom prst="rect">
                                  <a:avLst/>
                                </a:prstGeom>
                                <a:solidFill>
                                  <a:srgbClr val="FFFFFF"/>
                                </a:solidFill>
                                <a:ln w="9525">
                                  <a:solidFill>
                                    <a:srgbClr val="000000"/>
                                  </a:solidFill>
                                  <a:miter lim="800000"/>
                                </a:ln>
                                <a:effectLst/>
                              </wps:spPr>
                              <wps:txbx>
                                <w:txbxContent>
                                  <w:p w14:paraId="7C84CFAE">
                                    <w:pPr>
                                      <w:adjustRightInd w:val="0"/>
                                      <w:snapToGrid w:val="0"/>
                                      <w:spacing w:line="280" w:lineRule="exact"/>
                                      <w:jc w:val="center"/>
                                    </w:pPr>
                                    <w:r>
                                      <w:rPr>
                                        <w:rFonts w:hint="eastAsia"/>
                                      </w:rPr>
                                      <w:t>检查外观</w:t>
                                    </w:r>
                                  </w:p>
                                </w:txbxContent>
                              </wps:txbx>
                              <wps:bodyPr rot="0" vert="horz" wrap="square" lIns="91440" tIns="45720" rIns="91440" bIns="45720" anchor="t" anchorCtr="0" upright="1">
                                <a:noAutofit/>
                              </wps:bodyPr>
                            </wps:wsp>
                            <wps:wsp>
                              <wps:cNvPr id="450" name="矩形 450"/>
                              <wps:cNvSpPr>
                                <a:spLocks noChangeArrowheads="1"/>
                              </wps:cNvSpPr>
                              <wps:spPr bwMode="auto">
                                <a:xfrm>
                                  <a:off x="2583180" y="434052"/>
                                  <a:ext cx="716280" cy="459740"/>
                                </a:xfrm>
                                <a:prstGeom prst="rect">
                                  <a:avLst/>
                                </a:prstGeom>
                                <a:solidFill>
                                  <a:srgbClr val="FFFFFF"/>
                                </a:solidFill>
                                <a:ln w="9525">
                                  <a:solidFill>
                                    <a:srgbClr val="000000"/>
                                  </a:solidFill>
                                  <a:miter lim="800000"/>
                                </a:ln>
                                <a:effectLst/>
                              </wps:spPr>
                              <wps:txbx>
                                <w:txbxContent>
                                  <w:p w14:paraId="6E57987E">
                                    <w:pPr>
                                      <w:adjustRightInd w:val="0"/>
                                      <w:snapToGrid w:val="0"/>
                                      <w:spacing w:line="280" w:lineRule="exact"/>
                                      <w:jc w:val="center"/>
                                    </w:pPr>
                                    <w:r>
                                      <w:rPr>
                                        <w:rFonts w:hint="eastAsia"/>
                                      </w:rPr>
                                      <w:t>主、从动片安装</w:t>
                                    </w:r>
                                  </w:p>
                                </w:txbxContent>
                              </wps:txbx>
                              <wps:bodyPr rot="0" vert="horz" wrap="square" lIns="91440" tIns="45720" rIns="91440" bIns="45720" anchor="t" anchorCtr="0" upright="1">
                                <a:noAutofit/>
                              </wps:bodyPr>
                            </wps:wsp>
                            <wps:wsp>
                              <wps:cNvPr id="451" name="矩形 451"/>
                              <wps:cNvSpPr>
                                <a:spLocks noChangeArrowheads="1"/>
                              </wps:cNvSpPr>
                              <wps:spPr bwMode="auto">
                                <a:xfrm>
                                  <a:off x="4326890" y="416907"/>
                                  <a:ext cx="513080" cy="459740"/>
                                </a:xfrm>
                                <a:prstGeom prst="rect">
                                  <a:avLst/>
                                </a:prstGeom>
                                <a:solidFill>
                                  <a:srgbClr val="FFFFFF"/>
                                </a:solidFill>
                                <a:ln w="9525">
                                  <a:solidFill>
                                    <a:srgbClr val="000000"/>
                                  </a:solidFill>
                                  <a:miter lim="800000"/>
                                </a:ln>
                                <a:effectLst/>
                              </wps:spPr>
                              <wps:txbx>
                                <w:txbxContent>
                                  <w:p w14:paraId="6D170ABE">
                                    <w:pPr>
                                      <w:adjustRightInd w:val="0"/>
                                      <w:snapToGrid w:val="0"/>
                                      <w:spacing w:line="280" w:lineRule="exact"/>
                                      <w:jc w:val="center"/>
                                    </w:pPr>
                                    <w:r>
                                      <w:rPr>
                                        <w:rFonts w:hint="eastAsia"/>
                                      </w:rPr>
                                      <w:t>升版安装</w:t>
                                    </w:r>
                                  </w:p>
                                </w:txbxContent>
                              </wps:txbx>
                              <wps:bodyPr rot="0" vert="horz" wrap="square" lIns="91440" tIns="45720" rIns="91440" bIns="45720" anchor="t" anchorCtr="0" upright="1">
                                <a:noAutofit/>
                              </wps:bodyPr>
                            </wps:wsp>
                            <wps:wsp>
                              <wps:cNvPr id="452" name="直接箭头连接符 452"/>
                              <wps:cNvCnPr>
                                <a:cxnSpLocks noChangeShapeType="1"/>
                              </wps:cNvCnPr>
                              <wps:spPr bwMode="auto">
                                <a:xfrm>
                                  <a:off x="4592955" y="893792"/>
                                  <a:ext cx="635" cy="323215"/>
                                </a:xfrm>
                                <a:prstGeom prst="straightConnector1">
                                  <a:avLst/>
                                </a:prstGeom>
                                <a:noFill/>
                                <a:ln w="9525">
                                  <a:solidFill>
                                    <a:srgbClr val="000000"/>
                                  </a:solidFill>
                                  <a:round/>
                                  <a:tailEnd type="triangle" w="med" len="med"/>
                                </a:ln>
                                <a:effectLst/>
                              </wps:spPr>
                              <wps:bodyPr/>
                            </wps:wsp>
                            <wps:wsp>
                              <wps:cNvPr id="453" name="矩形 453"/>
                              <wps:cNvSpPr>
                                <a:spLocks noChangeArrowheads="1"/>
                              </wps:cNvSpPr>
                              <wps:spPr bwMode="auto">
                                <a:xfrm>
                                  <a:off x="456565" y="416907"/>
                                  <a:ext cx="1191895" cy="495935"/>
                                </a:xfrm>
                                <a:prstGeom prst="rect">
                                  <a:avLst/>
                                </a:prstGeom>
                                <a:noFill/>
                                <a:ln>
                                  <a:noFill/>
                                </a:ln>
                                <a:effectLst/>
                              </wps:spPr>
                              <wps:txbx>
                                <w:txbxContent>
                                  <w:p w14:paraId="6E88F82E">
                                    <w:pPr>
                                      <w:adjustRightInd w:val="0"/>
                                      <w:snapToGrid w:val="0"/>
                                      <w:spacing w:line="280" w:lineRule="exact"/>
                                      <w:jc w:val="center"/>
                                    </w:pPr>
                                    <w:r>
                                      <w:rPr>
                                        <w:rFonts w:hint="eastAsia"/>
                                      </w:rPr>
                                      <w:t>离合器摩擦片及其他零部件</w:t>
                                    </w:r>
                                  </w:p>
                                </w:txbxContent>
                              </wps:txbx>
                              <wps:bodyPr rot="0" vert="horz" wrap="square" lIns="91440" tIns="45720" rIns="91440" bIns="45720" anchor="t" anchorCtr="0" upright="1">
                                <a:noAutofit/>
                              </wps:bodyPr>
                            </wps:wsp>
                            <wps:wsp>
                              <wps:cNvPr id="454" name="矩形 454"/>
                              <wps:cNvSpPr>
                                <a:spLocks noChangeArrowheads="1"/>
                              </wps:cNvSpPr>
                              <wps:spPr bwMode="auto">
                                <a:xfrm>
                                  <a:off x="1541145" y="1204307"/>
                                  <a:ext cx="939800" cy="454660"/>
                                </a:xfrm>
                                <a:prstGeom prst="rect">
                                  <a:avLst/>
                                </a:prstGeom>
                                <a:solidFill>
                                  <a:srgbClr val="FFFFFF"/>
                                </a:solidFill>
                                <a:ln w="9525">
                                  <a:solidFill>
                                    <a:srgbClr val="000000"/>
                                  </a:solidFill>
                                  <a:miter lim="800000"/>
                                </a:ln>
                                <a:effectLst/>
                              </wps:spPr>
                              <wps:txbx>
                                <w:txbxContent>
                                  <w:p w14:paraId="5BC01C67">
                                    <w:pPr>
                                      <w:adjustRightInd w:val="0"/>
                                      <w:snapToGrid w:val="0"/>
                                      <w:spacing w:line="280" w:lineRule="exact"/>
                                      <w:jc w:val="center"/>
                                    </w:pPr>
                                    <w:r>
                                      <w:rPr>
                                        <w:rFonts w:hint="eastAsia"/>
                                      </w:rPr>
                                      <w:t>检验扭力、分离特性等</w:t>
                                    </w:r>
                                  </w:p>
                                </w:txbxContent>
                              </wps:txbx>
                              <wps:bodyPr rot="0" vert="horz" wrap="square" lIns="91440" tIns="45720" rIns="91440" bIns="45720" anchor="t" anchorCtr="0" upright="1">
                                <a:noAutofit/>
                              </wps:bodyPr>
                            </wps:wsp>
                            <wps:wsp>
                              <wps:cNvPr id="455" name="直接箭头连接符 455"/>
                              <wps:cNvCnPr>
                                <a:cxnSpLocks noChangeShapeType="1"/>
                              </wps:cNvCnPr>
                              <wps:spPr bwMode="auto">
                                <a:xfrm flipH="1">
                                  <a:off x="4068445" y="1439257"/>
                                  <a:ext cx="264795" cy="635"/>
                                </a:xfrm>
                                <a:prstGeom prst="straightConnector1">
                                  <a:avLst/>
                                </a:prstGeom>
                                <a:noFill/>
                                <a:ln w="9525">
                                  <a:solidFill>
                                    <a:srgbClr val="000000"/>
                                  </a:solidFill>
                                  <a:round/>
                                  <a:tailEnd type="triangle" w="med" len="med"/>
                                </a:ln>
                                <a:effectLst/>
                              </wps:spPr>
                              <wps:bodyPr/>
                            </wps:wsp>
                            <wps:wsp>
                              <wps:cNvPr id="456" name="矩形 456"/>
                              <wps:cNvSpPr>
                                <a:spLocks noChangeArrowheads="1"/>
                              </wps:cNvSpPr>
                              <wps:spPr bwMode="auto">
                                <a:xfrm>
                                  <a:off x="0" y="1210657"/>
                                  <a:ext cx="497840" cy="459740"/>
                                </a:xfrm>
                                <a:prstGeom prst="rect">
                                  <a:avLst/>
                                </a:prstGeom>
                                <a:noFill/>
                                <a:ln>
                                  <a:noFill/>
                                </a:ln>
                                <a:effectLst/>
                              </wps:spPr>
                              <wps:txbx>
                                <w:txbxContent>
                                  <w:p w14:paraId="43D4514F">
                                    <w:pPr>
                                      <w:adjustRightInd w:val="0"/>
                                      <w:snapToGrid w:val="0"/>
                                      <w:spacing w:line="280" w:lineRule="exact"/>
                                      <w:jc w:val="center"/>
                                    </w:pPr>
                                    <w:r>
                                      <w:rPr>
                                        <w:rFonts w:hint="eastAsia"/>
                                      </w:rPr>
                                      <w:t>包装入库</w:t>
                                    </w:r>
                                  </w:p>
                                </w:txbxContent>
                              </wps:txbx>
                              <wps:bodyPr rot="0" vert="horz" wrap="square" lIns="91440" tIns="45720" rIns="91440" bIns="45720" anchor="t" anchorCtr="0" upright="1">
                                <a:noAutofit/>
                              </wps:bodyPr>
                            </wps:wsp>
                            <wps:wsp>
                              <wps:cNvPr id="457" name="直接箭头连接符 457"/>
                              <wps:cNvCnPr>
                                <a:cxnSpLocks noChangeShapeType="1"/>
                              </wps:cNvCnPr>
                              <wps:spPr bwMode="auto">
                                <a:xfrm flipH="1">
                                  <a:off x="1275080" y="1451957"/>
                                  <a:ext cx="264795" cy="635"/>
                                </a:xfrm>
                                <a:prstGeom prst="straightConnector1">
                                  <a:avLst/>
                                </a:prstGeom>
                                <a:noFill/>
                                <a:ln w="9525">
                                  <a:solidFill>
                                    <a:srgbClr val="000000"/>
                                  </a:solidFill>
                                  <a:round/>
                                  <a:tailEnd type="triangle" w="med" len="med"/>
                                </a:ln>
                                <a:effectLst/>
                              </wps:spPr>
                              <wps:bodyPr/>
                            </wps:wsp>
                            <wps:wsp>
                              <wps:cNvPr id="459" name="直接箭头连接符 459"/>
                              <wps:cNvCnPr>
                                <a:cxnSpLocks noChangeShapeType="1"/>
                              </wps:cNvCnPr>
                              <wps:spPr bwMode="auto">
                                <a:xfrm>
                                  <a:off x="2332990" y="663287"/>
                                  <a:ext cx="250190" cy="635"/>
                                </a:xfrm>
                                <a:prstGeom prst="straightConnector1">
                                  <a:avLst/>
                                </a:prstGeom>
                                <a:noFill/>
                                <a:ln w="9525">
                                  <a:solidFill>
                                    <a:srgbClr val="000000"/>
                                  </a:solidFill>
                                  <a:round/>
                                  <a:tailEnd type="triangle" w="med" len="med"/>
                                </a:ln>
                                <a:effectLst/>
                              </wps:spPr>
                              <wps:bodyPr/>
                            </wps:wsp>
                            <wps:wsp>
                              <wps:cNvPr id="460" name="直接箭头连接符 460"/>
                              <wps:cNvCnPr>
                                <a:cxnSpLocks noChangeShapeType="1"/>
                              </wps:cNvCnPr>
                              <wps:spPr bwMode="auto">
                                <a:xfrm flipV="1">
                                  <a:off x="2947035" y="223867"/>
                                  <a:ext cx="635" cy="210185"/>
                                </a:xfrm>
                                <a:prstGeom prst="straightConnector1">
                                  <a:avLst/>
                                </a:prstGeom>
                                <a:noFill/>
                                <a:ln w="9525">
                                  <a:solidFill>
                                    <a:srgbClr val="C00000"/>
                                  </a:solidFill>
                                  <a:prstDash val="sysDash"/>
                                  <a:round/>
                                  <a:tailEnd type="triangle" w="med" len="med"/>
                                </a:ln>
                                <a:effectLst/>
                              </wps:spPr>
                              <wps:bodyPr/>
                            </wps:wsp>
                            <wps:wsp>
                              <wps:cNvPr id="461" name="矩形 461"/>
                              <wps:cNvSpPr>
                                <a:spLocks noChangeArrowheads="1"/>
                              </wps:cNvSpPr>
                              <wps:spPr bwMode="auto">
                                <a:xfrm>
                                  <a:off x="3550920" y="416907"/>
                                  <a:ext cx="532130" cy="459740"/>
                                </a:xfrm>
                                <a:prstGeom prst="rect">
                                  <a:avLst/>
                                </a:prstGeom>
                                <a:solidFill>
                                  <a:srgbClr val="FFFFFF"/>
                                </a:solidFill>
                                <a:ln w="9525">
                                  <a:solidFill>
                                    <a:srgbClr val="000000"/>
                                  </a:solidFill>
                                  <a:miter lim="800000"/>
                                </a:ln>
                                <a:effectLst/>
                              </wps:spPr>
                              <wps:txbx>
                                <w:txbxContent>
                                  <w:p w14:paraId="1A853CB0">
                                    <w:pPr>
                                      <w:adjustRightInd w:val="0"/>
                                      <w:snapToGrid w:val="0"/>
                                      <w:spacing w:line="280" w:lineRule="exact"/>
                                      <w:jc w:val="center"/>
                                    </w:pPr>
                                    <w:r>
                                      <w:rPr>
                                        <w:rFonts w:hint="eastAsia"/>
                                      </w:rPr>
                                      <w:t>压盘装配</w:t>
                                    </w:r>
                                  </w:p>
                                </w:txbxContent>
                              </wps:txbx>
                              <wps:bodyPr rot="0" vert="horz" wrap="square" lIns="91440" tIns="45720" rIns="91440" bIns="45720" anchor="t" anchorCtr="0" upright="1">
                                <a:noAutofit/>
                              </wps:bodyPr>
                            </wps:wsp>
                            <wps:wsp>
                              <wps:cNvPr id="462" name="直接箭头连接符 462"/>
                              <wps:cNvCnPr>
                                <a:cxnSpLocks noChangeShapeType="1"/>
                              </wps:cNvCnPr>
                              <wps:spPr bwMode="auto">
                                <a:xfrm>
                                  <a:off x="3300730" y="646142"/>
                                  <a:ext cx="250190" cy="635"/>
                                </a:xfrm>
                                <a:prstGeom prst="straightConnector1">
                                  <a:avLst/>
                                </a:prstGeom>
                                <a:noFill/>
                                <a:ln w="9525">
                                  <a:solidFill>
                                    <a:srgbClr val="000000"/>
                                  </a:solidFill>
                                  <a:round/>
                                  <a:tailEnd type="triangle" w="med" len="med"/>
                                </a:ln>
                                <a:effectLst/>
                              </wps:spPr>
                              <wps:bodyPr/>
                            </wps:wsp>
                            <wps:wsp>
                              <wps:cNvPr id="463" name="直接箭头连接符 463"/>
                              <wps:cNvCnPr>
                                <a:cxnSpLocks noChangeShapeType="1"/>
                              </wps:cNvCnPr>
                              <wps:spPr bwMode="auto">
                                <a:xfrm>
                                  <a:off x="4083050" y="645507"/>
                                  <a:ext cx="250190" cy="635"/>
                                </a:xfrm>
                                <a:prstGeom prst="straightConnector1">
                                  <a:avLst/>
                                </a:prstGeom>
                                <a:noFill/>
                                <a:ln w="9525">
                                  <a:solidFill>
                                    <a:srgbClr val="000000"/>
                                  </a:solidFill>
                                  <a:round/>
                                  <a:tailEnd type="triangle" w="med" len="med"/>
                                </a:ln>
                                <a:effectLst/>
                              </wps:spPr>
                              <wps:bodyPr/>
                            </wps:wsp>
                            <wps:wsp>
                              <wps:cNvPr id="464" name="矩形 464"/>
                              <wps:cNvSpPr>
                                <a:spLocks noChangeArrowheads="1"/>
                              </wps:cNvSpPr>
                              <wps:spPr bwMode="auto">
                                <a:xfrm>
                                  <a:off x="4339590" y="1217007"/>
                                  <a:ext cx="513080" cy="459740"/>
                                </a:xfrm>
                                <a:prstGeom prst="rect">
                                  <a:avLst/>
                                </a:prstGeom>
                                <a:solidFill>
                                  <a:srgbClr val="FFFFFF"/>
                                </a:solidFill>
                                <a:ln w="9525">
                                  <a:solidFill>
                                    <a:srgbClr val="000000"/>
                                  </a:solidFill>
                                  <a:miter lim="800000"/>
                                </a:ln>
                                <a:effectLst/>
                              </wps:spPr>
                              <wps:txbx>
                                <w:txbxContent>
                                  <w:p w14:paraId="416E5703">
                                    <w:pPr>
                                      <w:adjustRightInd w:val="0"/>
                                      <w:snapToGrid w:val="0"/>
                                      <w:spacing w:line="280" w:lineRule="exact"/>
                                      <w:jc w:val="center"/>
                                    </w:pPr>
                                    <w:r>
                                      <w:rPr>
                                        <w:rFonts w:hint="eastAsia"/>
                                      </w:rPr>
                                      <w:t>螺丝拧入</w:t>
                                    </w:r>
                                  </w:p>
                                </w:txbxContent>
                              </wps:txbx>
                              <wps:bodyPr rot="0" vert="horz" wrap="square" lIns="91440" tIns="45720" rIns="91440" bIns="45720" anchor="t" anchorCtr="0" upright="1">
                                <a:noAutofit/>
                              </wps:bodyPr>
                            </wps:wsp>
                            <wps:wsp>
                              <wps:cNvPr id="465" name="矩形 465"/>
                              <wps:cNvSpPr>
                                <a:spLocks noChangeArrowheads="1"/>
                              </wps:cNvSpPr>
                              <wps:spPr bwMode="auto">
                                <a:xfrm>
                                  <a:off x="3529965" y="1204307"/>
                                  <a:ext cx="537845" cy="459740"/>
                                </a:xfrm>
                                <a:prstGeom prst="rect">
                                  <a:avLst/>
                                </a:prstGeom>
                                <a:solidFill>
                                  <a:srgbClr val="FFFFFF"/>
                                </a:solidFill>
                                <a:ln w="9525">
                                  <a:solidFill>
                                    <a:srgbClr val="000000"/>
                                  </a:solidFill>
                                  <a:miter lim="800000"/>
                                </a:ln>
                                <a:effectLst/>
                              </wps:spPr>
                              <wps:txbx>
                                <w:txbxContent>
                                  <w:p w14:paraId="29B1A39E">
                                    <w:pPr>
                                      <w:adjustRightInd w:val="0"/>
                                      <w:snapToGrid w:val="0"/>
                                      <w:spacing w:line="280" w:lineRule="exact"/>
                                      <w:jc w:val="center"/>
                                    </w:pPr>
                                    <w:r>
                                      <w:rPr>
                                        <w:rFonts w:hint="eastAsia"/>
                                      </w:rPr>
                                      <w:t>人工检验</w:t>
                                    </w:r>
                                  </w:p>
                                </w:txbxContent>
                              </wps:txbx>
                              <wps:bodyPr rot="0" vert="horz" wrap="square" lIns="91440" tIns="45720" rIns="91440" bIns="45720" anchor="t" anchorCtr="0" upright="1">
                                <a:noAutofit/>
                              </wps:bodyPr>
                            </wps:wsp>
                            <wps:wsp>
                              <wps:cNvPr id="466" name="直接箭头连接符 466"/>
                              <wps:cNvCnPr>
                                <a:cxnSpLocks noChangeShapeType="1"/>
                              </wps:cNvCnPr>
                              <wps:spPr bwMode="auto">
                                <a:xfrm flipH="1">
                                  <a:off x="2480945" y="1432907"/>
                                  <a:ext cx="264795" cy="635"/>
                                </a:xfrm>
                                <a:prstGeom prst="straightConnector1">
                                  <a:avLst/>
                                </a:prstGeom>
                                <a:noFill/>
                                <a:ln w="9525">
                                  <a:solidFill>
                                    <a:srgbClr val="000000"/>
                                  </a:solidFill>
                                  <a:round/>
                                  <a:tailEnd type="triangle" w="med" len="med"/>
                                </a:ln>
                                <a:effectLst/>
                              </wps:spPr>
                              <wps:bodyPr/>
                            </wps:wsp>
                            <wps:wsp>
                              <wps:cNvPr id="467" name="矩形 467"/>
                              <wps:cNvSpPr>
                                <a:spLocks noChangeArrowheads="1"/>
                              </wps:cNvSpPr>
                              <wps:spPr bwMode="auto">
                                <a:xfrm>
                                  <a:off x="2752090" y="1210657"/>
                                  <a:ext cx="513080" cy="459740"/>
                                </a:xfrm>
                                <a:prstGeom prst="rect">
                                  <a:avLst/>
                                </a:prstGeom>
                                <a:solidFill>
                                  <a:srgbClr val="FFFFFF"/>
                                </a:solidFill>
                                <a:ln w="9525">
                                  <a:solidFill>
                                    <a:srgbClr val="000000"/>
                                  </a:solidFill>
                                  <a:miter lim="800000"/>
                                </a:ln>
                                <a:effectLst/>
                              </wps:spPr>
                              <wps:txbx>
                                <w:txbxContent>
                                  <w:p w14:paraId="1A3E28B0">
                                    <w:pPr>
                                      <w:adjustRightInd w:val="0"/>
                                      <w:snapToGrid w:val="0"/>
                                      <w:spacing w:line="280" w:lineRule="exact"/>
                                      <w:jc w:val="center"/>
                                    </w:pPr>
                                    <w:r>
                                      <w:rPr>
                                        <w:rFonts w:hint="eastAsia"/>
                                      </w:rPr>
                                      <w:t>螺丝紧固</w:t>
                                    </w:r>
                                  </w:p>
                                </w:txbxContent>
                              </wps:txbx>
                              <wps:bodyPr rot="0" vert="horz" wrap="square" lIns="91440" tIns="45720" rIns="91440" bIns="45720" anchor="t" anchorCtr="0" upright="1">
                                <a:noAutofit/>
                              </wps:bodyPr>
                            </wps:wsp>
                            <wps:wsp>
                              <wps:cNvPr id="468" name="直接箭头连接符 468"/>
                              <wps:cNvCnPr>
                                <a:cxnSpLocks noChangeShapeType="1"/>
                              </wps:cNvCnPr>
                              <wps:spPr bwMode="auto">
                                <a:xfrm flipH="1">
                                  <a:off x="3265170" y="1438622"/>
                                  <a:ext cx="264795" cy="635"/>
                                </a:xfrm>
                                <a:prstGeom prst="straightConnector1">
                                  <a:avLst/>
                                </a:prstGeom>
                                <a:noFill/>
                                <a:ln w="9525">
                                  <a:solidFill>
                                    <a:srgbClr val="000000"/>
                                  </a:solidFill>
                                  <a:round/>
                                  <a:tailEnd type="triangle" w="med" len="med"/>
                                </a:ln>
                                <a:effectLst/>
                              </wps:spPr>
                              <wps:bodyPr/>
                            </wps:wsp>
                            <wps:wsp>
                              <wps:cNvPr id="473" name="直接箭头连接符 473"/>
                              <wps:cNvCnPr>
                                <a:cxnSpLocks noChangeShapeType="1"/>
                              </wps:cNvCnPr>
                              <wps:spPr bwMode="auto">
                                <a:xfrm flipV="1">
                                  <a:off x="3815080" y="206722"/>
                                  <a:ext cx="635" cy="210185"/>
                                </a:xfrm>
                                <a:prstGeom prst="straightConnector1">
                                  <a:avLst/>
                                </a:prstGeom>
                                <a:noFill/>
                                <a:ln w="9525">
                                  <a:solidFill>
                                    <a:srgbClr val="C00000"/>
                                  </a:solidFill>
                                  <a:prstDash val="sysDash"/>
                                  <a:round/>
                                  <a:tailEnd type="triangle" w="med" len="med"/>
                                </a:ln>
                                <a:effectLst/>
                              </wps:spPr>
                              <wps:bodyPr/>
                            </wps:wsp>
                            <wps:wsp>
                              <wps:cNvPr id="475" name="直接箭头连接符 475"/>
                              <wps:cNvCnPr>
                                <a:cxnSpLocks noChangeShapeType="1"/>
                              </wps:cNvCnPr>
                              <wps:spPr bwMode="auto">
                                <a:xfrm flipV="1">
                                  <a:off x="4585970" y="206722"/>
                                  <a:ext cx="635" cy="210185"/>
                                </a:xfrm>
                                <a:prstGeom prst="straightConnector1">
                                  <a:avLst/>
                                </a:prstGeom>
                                <a:noFill/>
                                <a:ln w="9525">
                                  <a:solidFill>
                                    <a:srgbClr val="C00000"/>
                                  </a:solidFill>
                                  <a:prstDash val="sysDash"/>
                                  <a:round/>
                                  <a:tailEnd type="triangle" w="med" len="med"/>
                                </a:ln>
                                <a:effectLst/>
                              </wps:spPr>
                              <wps:bodyPr/>
                            </wps:wsp>
                            <wps:wsp>
                              <wps:cNvPr id="478" name="直接箭头连接符 478"/>
                              <wps:cNvCnPr>
                                <a:cxnSpLocks noChangeShapeType="1"/>
                              </wps:cNvCnPr>
                              <wps:spPr bwMode="auto">
                                <a:xfrm>
                                  <a:off x="3803015" y="1670397"/>
                                  <a:ext cx="635" cy="254635"/>
                                </a:xfrm>
                                <a:prstGeom prst="straightConnector1">
                                  <a:avLst/>
                                </a:prstGeom>
                                <a:noFill/>
                                <a:ln w="9525">
                                  <a:solidFill>
                                    <a:srgbClr val="C00000"/>
                                  </a:solidFill>
                                  <a:prstDash val="sysDash"/>
                                  <a:round/>
                                  <a:tailEnd type="triangle" w="med" len="med"/>
                                </a:ln>
                                <a:effectLst/>
                              </wps:spPr>
                              <wps:bodyPr/>
                            </wps:wsp>
                            <wps:wsp>
                              <wps:cNvPr id="482" name="直接箭头连接符 482"/>
                              <wps:cNvCnPr>
                                <a:cxnSpLocks noChangeShapeType="1"/>
                              </wps:cNvCnPr>
                              <wps:spPr bwMode="auto">
                                <a:xfrm>
                                  <a:off x="2019300" y="1670397"/>
                                  <a:ext cx="635" cy="254635"/>
                                </a:xfrm>
                                <a:prstGeom prst="straightConnector1">
                                  <a:avLst/>
                                </a:prstGeom>
                                <a:noFill/>
                                <a:ln w="9525">
                                  <a:solidFill>
                                    <a:srgbClr val="C00000"/>
                                  </a:solidFill>
                                  <a:prstDash val="sysDash"/>
                                  <a:round/>
                                  <a:tailEnd type="triangle" w="med" len="med"/>
                                </a:ln>
                                <a:effectLst/>
                              </wps:spPr>
                              <wps:bodyPr/>
                            </wps:wsp>
                            <wps:wsp>
                              <wps:cNvPr id="484" name="矩形 484"/>
                              <wps:cNvSpPr>
                                <a:spLocks noChangeArrowheads="1"/>
                              </wps:cNvSpPr>
                              <wps:spPr bwMode="auto">
                                <a:xfrm>
                                  <a:off x="771525" y="1297017"/>
                                  <a:ext cx="503555" cy="302260"/>
                                </a:xfrm>
                                <a:prstGeom prst="rect">
                                  <a:avLst/>
                                </a:prstGeom>
                                <a:solidFill>
                                  <a:srgbClr val="FFFFFF"/>
                                </a:solidFill>
                                <a:ln w="9525">
                                  <a:solidFill>
                                    <a:srgbClr val="000000"/>
                                  </a:solidFill>
                                  <a:miter lim="800000"/>
                                </a:ln>
                                <a:effectLst/>
                              </wps:spPr>
                              <wps:txbx>
                                <w:txbxContent>
                                  <w:p w14:paraId="23B3B5DD">
                                    <w:pPr>
                                      <w:adjustRightInd w:val="0"/>
                                      <w:snapToGrid w:val="0"/>
                                      <w:spacing w:line="280" w:lineRule="exact"/>
                                      <w:jc w:val="center"/>
                                    </w:pPr>
                                    <w:r>
                                      <w:rPr>
                                        <w:rFonts w:hint="eastAsia"/>
                                      </w:rPr>
                                      <w:t>清洗</w:t>
                                    </w:r>
                                  </w:p>
                                </w:txbxContent>
                              </wps:txbx>
                              <wps:bodyPr rot="0" vert="horz" wrap="square" lIns="91440" tIns="45720" rIns="91440" bIns="45720" anchor="t" anchorCtr="0" upright="1">
                                <a:noAutofit/>
                              </wps:bodyPr>
                            </wps:wsp>
                            <wps:wsp>
                              <wps:cNvPr id="485" name="直接箭头连接符 485"/>
                              <wps:cNvCnPr>
                                <a:cxnSpLocks noChangeShapeType="1"/>
                              </wps:cNvCnPr>
                              <wps:spPr bwMode="auto">
                                <a:xfrm>
                                  <a:off x="1009015" y="1125567"/>
                                  <a:ext cx="635" cy="171450"/>
                                </a:xfrm>
                                <a:prstGeom prst="straightConnector1">
                                  <a:avLst/>
                                </a:prstGeom>
                                <a:noFill/>
                                <a:ln w="9525">
                                  <a:solidFill>
                                    <a:srgbClr val="000000"/>
                                  </a:solidFill>
                                  <a:round/>
                                  <a:tailEnd type="triangle" w="med" len="med"/>
                                </a:ln>
                                <a:effectLst/>
                              </wps:spPr>
                              <wps:bodyPr/>
                            </wps:wsp>
                            <wps:wsp>
                              <wps:cNvPr id="486" name="直接箭头连接符 486"/>
                              <wps:cNvCnPr>
                                <a:cxnSpLocks noChangeShapeType="1"/>
                              </wps:cNvCnPr>
                              <wps:spPr bwMode="auto">
                                <a:xfrm flipH="1">
                                  <a:off x="497840" y="1437987"/>
                                  <a:ext cx="264795" cy="635"/>
                                </a:xfrm>
                                <a:prstGeom prst="straightConnector1">
                                  <a:avLst/>
                                </a:prstGeom>
                                <a:noFill/>
                                <a:ln w="9525">
                                  <a:solidFill>
                                    <a:srgbClr val="000000"/>
                                  </a:solidFill>
                                  <a:round/>
                                  <a:tailEnd type="triangle" w="med" len="med"/>
                                </a:ln>
                                <a:effectLst/>
                              </wps:spPr>
                              <wps:bodyPr/>
                            </wps:wsp>
                            <wps:wsp>
                              <wps:cNvPr id="487" name="矩形 487"/>
                              <wps:cNvSpPr>
                                <a:spLocks noChangeArrowheads="1"/>
                              </wps:cNvSpPr>
                              <wps:spPr bwMode="auto">
                                <a:xfrm>
                                  <a:off x="235585" y="894080"/>
                                  <a:ext cx="1581150" cy="267335"/>
                                </a:xfrm>
                                <a:prstGeom prst="rect">
                                  <a:avLst/>
                                </a:prstGeom>
                                <a:noFill/>
                                <a:ln>
                                  <a:noFill/>
                                </a:ln>
                                <a:effectLst/>
                              </wps:spPr>
                              <wps:txbx>
                                <w:txbxContent>
                                  <w:p w14:paraId="4CBE2FDE">
                                    <w:pPr>
                                      <w:adjustRightInd w:val="0"/>
                                      <w:snapToGrid w:val="0"/>
                                      <w:spacing w:line="280" w:lineRule="exact"/>
                                      <w:jc w:val="center"/>
                                    </w:pPr>
                                    <w:r>
                                      <w:rPr>
                                        <w:rFonts w:hint="eastAsia"/>
                                      </w:rPr>
                                      <w:t>清洗剂(</w:t>
                                    </w:r>
                                    <w:r>
                                      <w:rPr>
                                        <w:szCs w:val="21"/>
                                      </w:rPr>
                                      <w:t>与水</w:t>
                                    </w:r>
                                    <w:r>
                                      <w:rPr>
                                        <w:rFonts w:hint="eastAsia"/>
                                        <w:szCs w:val="21"/>
                                      </w:rPr>
                                      <w:t>1:20溶解</w:t>
                                    </w:r>
                                    <w:r>
                                      <w:rPr>
                                        <w:rFonts w:hint="eastAsia"/>
                                      </w:rPr>
                                      <w:t>)</w:t>
                                    </w:r>
                                  </w:p>
                                </w:txbxContent>
                              </wps:txbx>
                              <wps:bodyPr rot="0" vert="horz" wrap="square" lIns="91440" tIns="45720" rIns="91440" bIns="45720" anchor="t" anchorCtr="0" upright="1">
                                <a:noAutofit/>
                              </wps:bodyPr>
                            </wps:wsp>
                            <wps:wsp>
                              <wps:cNvPr id="488" name="直接箭头连接符 488"/>
                              <wps:cNvCnPr>
                                <a:cxnSpLocks noChangeShapeType="1"/>
                              </wps:cNvCnPr>
                              <wps:spPr bwMode="auto">
                                <a:xfrm>
                                  <a:off x="1009650" y="1599277"/>
                                  <a:ext cx="635" cy="254635"/>
                                </a:xfrm>
                                <a:prstGeom prst="straightConnector1">
                                  <a:avLst/>
                                </a:prstGeom>
                                <a:noFill/>
                                <a:ln w="9525">
                                  <a:solidFill>
                                    <a:srgbClr val="C00000"/>
                                  </a:solidFill>
                                  <a:prstDash val="sysDash"/>
                                  <a:round/>
                                  <a:tailEnd type="triangle" w="med" len="med"/>
                                </a:ln>
                                <a:effectLst/>
                              </wps:spPr>
                              <wps:bodyPr/>
                            </wps:wsp>
                            <wps:wsp>
                              <wps:cNvPr id="250" name="矩形 250"/>
                              <wps:cNvSpPr>
                                <a:spLocks noChangeArrowheads="1"/>
                              </wps:cNvSpPr>
                              <wps:spPr bwMode="auto">
                                <a:xfrm>
                                  <a:off x="3594100" y="1874232"/>
                                  <a:ext cx="422910" cy="267335"/>
                                </a:xfrm>
                                <a:prstGeom prst="rect">
                                  <a:avLst/>
                                </a:prstGeom>
                                <a:noFill/>
                                <a:ln>
                                  <a:noFill/>
                                </a:ln>
                                <a:effectLst/>
                              </wps:spPr>
                              <wps:txbx>
                                <w:txbxContent>
                                  <w:p w14:paraId="147978F8">
                                    <w:pPr>
                                      <w:pStyle w:val="22"/>
                                      <w:spacing w:before="0" w:beforeAutospacing="0" w:after="0" w:afterAutospacing="0" w:line="280" w:lineRule="exact"/>
                                      <w:jc w:val="center"/>
                                      <w:rPr>
                                        <w:rFonts w:hint="default" w:eastAsia="宋体"/>
                                        <w:color w:val="C00000"/>
                                        <w:lang w:val="en-US" w:eastAsia="zh-CN"/>
                                      </w:rPr>
                                    </w:pPr>
                                    <w:r>
                                      <w:rPr>
                                        <w:rFonts w:ascii="Times New Roman" w:hAnsi="Times New Roman"/>
                                        <w:color w:val="C00000"/>
                                        <w:kern w:val="2"/>
                                        <w:sz w:val="21"/>
                                        <w:szCs w:val="21"/>
                                      </w:rPr>
                                      <w:t>S</w:t>
                                    </w:r>
                                    <w:r>
                                      <w:rPr>
                                        <w:rFonts w:hint="eastAsia" w:ascii="Times New Roman" w:hAnsi="Times New Roman"/>
                                        <w:color w:val="C00000"/>
                                        <w:kern w:val="2"/>
                                        <w:sz w:val="21"/>
                                        <w:szCs w:val="21"/>
                                        <w:lang w:val="en-US" w:eastAsia="zh-CN"/>
                                      </w:rPr>
                                      <w:t>10</w:t>
                                    </w:r>
                                  </w:p>
                                </w:txbxContent>
                              </wps:txbx>
                              <wps:bodyPr rot="0" vert="horz" wrap="square" lIns="91440" tIns="45720" rIns="91440" bIns="45720" anchor="t" anchorCtr="0" upright="1">
                                <a:noAutofit/>
                              </wps:bodyPr>
                            </wps:wsp>
                            <wps:wsp>
                              <wps:cNvPr id="251" name="矩形 251"/>
                              <wps:cNvSpPr>
                                <a:spLocks noChangeArrowheads="1"/>
                              </wps:cNvSpPr>
                              <wps:spPr bwMode="auto">
                                <a:xfrm>
                                  <a:off x="1793240" y="1853912"/>
                                  <a:ext cx="422910" cy="267335"/>
                                </a:xfrm>
                                <a:prstGeom prst="rect">
                                  <a:avLst/>
                                </a:prstGeom>
                                <a:noFill/>
                                <a:ln>
                                  <a:noFill/>
                                </a:ln>
                                <a:effectLst/>
                              </wps:spPr>
                              <wps:txbx>
                                <w:txbxContent>
                                  <w:p w14:paraId="7178C2DD">
                                    <w:pPr>
                                      <w:pStyle w:val="22"/>
                                      <w:spacing w:before="0" w:beforeAutospacing="0" w:after="0" w:afterAutospacing="0" w:line="280" w:lineRule="exact"/>
                                      <w:jc w:val="center"/>
                                      <w:rPr>
                                        <w:color w:val="C00000"/>
                                      </w:rPr>
                                    </w:pPr>
                                    <w:r>
                                      <w:rPr>
                                        <w:rFonts w:ascii="Times New Roman" w:hAnsi="Times New Roman"/>
                                        <w:color w:val="C00000"/>
                                        <w:kern w:val="2"/>
                                        <w:sz w:val="21"/>
                                        <w:szCs w:val="21"/>
                                      </w:rPr>
                                      <w:t>S</w:t>
                                    </w:r>
                                    <w:r>
                                      <w:rPr>
                                        <w:rFonts w:hint="eastAsia" w:ascii="Times New Roman" w:hAnsi="Times New Roman"/>
                                        <w:color w:val="C00000"/>
                                        <w:kern w:val="2"/>
                                        <w:sz w:val="21"/>
                                        <w:szCs w:val="21"/>
                                      </w:rPr>
                                      <w:t>9</w:t>
                                    </w:r>
                                  </w:p>
                                </w:txbxContent>
                              </wps:txbx>
                              <wps:bodyPr rot="0" vert="horz" wrap="square" lIns="91440" tIns="45720" rIns="91440" bIns="45720" anchor="t" anchorCtr="0" upright="1">
                                <a:noAutofit/>
                              </wps:bodyPr>
                            </wps:wsp>
                            <wps:wsp>
                              <wps:cNvPr id="252" name="矩形 252"/>
                              <wps:cNvSpPr>
                                <a:spLocks noChangeArrowheads="1"/>
                              </wps:cNvSpPr>
                              <wps:spPr bwMode="auto">
                                <a:xfrm>
                                  <a:off x="796925" y="1790707"/>
                                  <a:ext cx="422910" cy="267335"/>
                                </a:xfrm>
                                <a:prstGeom prst="rect">
                                  <a:avLst/>
                                </a:prstGeom>
                                <a:noFill/>
                                <a:ln>
                                  <a:noFill/>
                                </a:ln>
                                <a:effectLst/>
                              </wps:spPr>
                              <wps:txbx>
                                <w:txbxContent>
                                  <w:p w14:paraId="610DF5C2">
                                    <w:pPr>
                                      <w:pStyle w:val="22"/>
                                      <w:spacing w:before="0" w:beforeAutospacing="0" w:after="0" w:afterAutospacing="0" w:line="280" w:lineRule="exact"/>
                                      <w:jc w:val="center"/>
                                      <w:rPr>
                                        <w:rFonts w:hint="default" w:ascii="Times New Roman" w:hAnsi="Times New Roman" w:eastAsia="宋体" w:cs="Times New Roman"/>
                                        <w:color w:val="C00000"/>
                                        <w:lang w:val="en-US" w:eastAsia="zh-CN"/>
                                      </w:rPr>
                                    </w:pPr>
                                    <w:r>
                                      <w:rPr>
                                        <w:rFonts w:hint="default" w:ascii="Times New Roman" w:hAnsi="Times New Roman" w:cs="Times New Roman"/>
                                        <w:color w:val="C00000"/>
                                        <w:lang w:val="en-US" w:eastAsia="zh-CN"/>
                                      </w:rPr>
                                      <w:t>W4</w:t>
                                    </w:r>
                                  </w:p>
                                </w:txbxContent>
                              </wps:txbx>
                              <wps:bodyPr rot="0" vert="horz" wrap="square" lIns="91440" tIns="45720" rIns="91440" bIns="45720" anchor="t" anchorCtr="0" upright="1">
                                <a:noAutofit/>
                              </wps:bodyPr>
                            </wps:wsp>
                            <wps:wsp>
                              <wps:cNvPr id="253" name="直接箭头连接符 253"/>
                              <wps:cNvCnPr>
                                <a:cxnSpLocks noChangeShapeType="1"/>
                              </wps:cNvCnPr>
                              <wps:spPr bwMode="auto">
                                <a:xfrm>
                                  <a:off x="262550" y="1619597"/>
                                  <a:ext cx="635" cy="254635"/>
                                </a:xfrm>
                                <a:prstGeom prst="straightConnector1">
                                  <a:avLst/>
                                </a:prstGeom>
                                <a:noFill/>
                                <a:ln w="9525">
                                  <a:solidFill>
                                    <a:srgbClr val="C00000"/>
                                  </a:solidFill>
                                  <a:prstDash val="sysDash"/>
                                  <a:round/>
                                  <a:tailEnd type="triangle" w="med" len="med"/>
                                </a:ln>
                                <a:effectLst/>
                              </wps:spPr>
                              <wps:bodyPr/>
                            </wps:wsp>
                            <wps:wsp>
                              <wps:cNvPr id="254" name="矩形 254"/>
                              <wps:cNvSpPr>
                                <a:spLocks noChangeArrowheads="1"/>
                              </wps:cNvSpPr>
                              <wps:spPr bwMode="auto">
                                <a:xfrm>
                                  <a:off x="20955" y="1798955"/>
                                  <a:ext cx="494030" cy="267335"/>
                                </a:xfrm>
                                <a:prstGeom prst="rect">
                                  <a:avLst/>
                                </a:prstGeom>
                                <a:noFill/>
                                <a:ln>
                                  <a:noFill/>
                                </a:ln>
                                <a:effectLst/>
                              </wps:spPr>
                              <wps:txbx>
                                <w:txbxContent>
                                  <w:p w14:paraId="4BD8D1D6">
                                    <w:pPr>
                                      <w:pStyle w:val="22"/>
                                      <w:spacing w:before="0" w:beforeAutospacing="0" w:after="0" w:afterAutospacing="0" w:line="280" w:lineRule="exact"/>
                                      <w:jc w:val="center"/>
                                      <w:rPr>
                                        <w:rFonts w:hint="eastAsia" w:eastAsia="宋体"/>
                                        <w:color w:val="C00000"/>
                                        <w:lang w:eastAsia="zh-CN"/>
                                      </w:rPr>
                                    </w:pPr>
                                    <w:r>
                                      <w:rPr>
                                        <w:rFonts w:ascii="Times New Roman" w:hAnsi="Times New Roman"/>
                                        <w:color w:val="C00000"/>
                                        <w:kern w:val="2"/>
                                        <w:sz w:val="21"/>
                                        <w:szCs w:val="21"/>
                                      </w:rPr>
                                      <w:t>S</w:t>
                                    </w:r>
                                    <w:r>
                                      <w:rPr>
                                        <w:rFonts w:hint="eastAsia" w:ascii="Times New Roman" w:hAnsi="Times New Roman"/>
                                        <w:color w:val="C00000"/>
                                        <w:kern w:val="2"/>
                                        <w:sz w:val="21"/>
                                        <w:szCs w:val="21"/>
                                        <w:lang w:val="en-US" w:eastAsia="zh-CN"/>
                                      </w:rPr>
                                      <w:t>8</w:t>
                                    </w:r>
                                  </w:p>
                                </w:txbxContent>
                              </wps:txbx>
                              <wps:bodyPr rot="0" vert="horz" wrap="square" lIns="91440" tIns="45720" rIns="91440" bIns="45720" anchor="t" anchorCtr="0" upright="1">
                                <a:noAutofit/>
                              </wps:bodyPr>
                            </wps:wsp>
                            <wps:wsp>
                              <wps:cNvPr id="255" name="矩形 255"/>
                              <wps:cNvSpPr>
                                <a:spLocks noChangeArrowheads="1"/>
                              </wps:cNvSpPr>
                              <wps:spPr bwMode="auto">
                                <a:xfrm>
                                  <a:off x="2735580" y="19692"/>
                                  <a:ext cx="422910" cy="267335"/>
                                </a:xfrm>
                                <a:prstGeom prst="rect">
                                  <a:avLst/>
                                </a:prstGeom>
                                <a:noFill/>
                                <a:ln>
                                  <a:noFill/>
                                </a:ln>
                                <a:effectLst/>
                              </wps:spPr>
                              <wps:txbx>
                                <w:txbxContent>
                                  <w:p w14:paraId="0B54B97E">
                                    <w:pPr>
                                      <w:pStyle w:val="22"/>
                                      <w:spacing w:before="0" w:beforeAutospacing="0" w:after="0" w:afterAutospacing="0" w:line="280" w:lineRule="exact"/>
                                      <w:jc w:val="center"/>
                                      <w:rPr>
                                        <w:color w:val="C00000"/>
                                      </w:rPr>
                                    </w:pPr>
                                    <w:r>
                                      <w:rPr>
                                        <w:rFonts w:hint="eastAsia" w:ascii="Times New Roman" w:hAnsi="Times New Roman"/>
                                        <w:color w:val="C00000"/>
                                        <w:kern w:val="2"/>
                                        <w:sz w:val="21"/>
                                        <w:szCs w:val="21"/>
                                      </w:rPr>
                                      <w:t>N</w:t>
                                    </w:r>
                                  </w:p>
                                </w:txbxContent>
                              </wps:txbx>
                              <wps:bodyPr rot="0" vert="horz" wrap="square" lIns="91440" tIns="45720" rIns="91440" bIns="45720" anchor="t" anchorCtr="0" upright="1">
                                <a:noAutofit/>
                              </wps:bodyPr>
                            </wps:wsp>
                            <wps:wsp>
                              <wps:cNvPr id="256" name="矩形 256"/>
                              <wps:cNvSpPr>
                                <a:spLocks noChangeArrowheads="1"/>
                              </wps:cNvSpPr>
                              <wps:spPr bwMode="auto">
                                <a:xfrm>
                                  <a:off x="3602990" y="12027"/>
                                  <a:ext cx="422910" cy="267335"/>
                                </a:xfrm>
                                <a:prstGeom prst="rect">
                                  <a:avLst/>
                                </a:prstGeom>
                                <a:noFill/>
                                <a:ln>
                                  <a:noFill/>
                                </a:ln>
                                <a:effectLst/>
                              </wps:spPr>
                              <wps:txbx>
                                <w:txbxContent>
                                  <w:p w14:paraId="3085971A">
                                    <w:pPr>
                                      <w:pStyle w:val="22"/>
                                      <w:spacing w:before="0" w:beforeAutospacing="0" w:after="0" w:afterAutospacing="0" w:line="280" w:lineRule="exact"/>
                                      <w:jc w:val="center"/>
                                      <w:rPr>
                                        <w:color w:val="C00000"/>
                                      </w:rPr>
                                    </w:pPr>
                                    <w:r>
                                      <w:rPr>
                                        <w:rFonts w:ascii="Times New Roman" w:hAnsi="Times New Roman"/>
                                        <w:color w:val="C00000"/>
                                        <w:kern w:val="2"/>
                                        <w:sz w:val="21"/>
                                        <w:szCs w:val="21"/>
                                      </w:rPr>
                                      <w:t>N</w:t>
                                    </w:r>
                                  </w:p>
                                </w:txbxContent>
                              </wps:txbx>
                              <wps:bodyPr rot="0" vert="horz" wrap="square" lIns="91440" tIns="45720" rIns="91440" bIns="45720" anchor="t" anchorCtr="0" upright="1">
                                <a:noAutofit/>
                              </wps:bodyPr>
                            </wps:wsp>
                            <wps:wsp>
                              <wps:cNvPr id="257" name="矩形 257"/>
                              <wps:cNvSpPr>
                                <a:spLocks noChangeArrowheads="1"/>
                              </wps:cNvSpPr>
                              <wps:spPr bwMode="auto">
                                <a:xfrm>
                                  <a:off x="4373880" y="2842"/>
                                  <a:ext cx="422910" cy="267335"/>
                                </a:xfrm>
                                <a:prstGeom prst="rect">
                                  <a:avLst/>
                                </a:prstGeom>
                                <a:noFill/>
                                <a:ln>
                                  <a:noFill/>
                                </a:ln>
                                <a:effectLst/>
                              </wps:spPr>
                              <wps:txbx>
                                <w:txbxContent>
                                  <w:p w14:paraId="2250C110">
                                    <w:pPr>
                                      <w:pStyle w:val="22"/>
                                      <w:spacing w:before="0" w:beforeAutospacing="0" w:after="0" w:afterAutospacing="0" w:line="280" w:lineRule="exact"/>
                                      <w:jc w:val="center"/>
                                      <w:rPr>
                                        <w:color w:val="C00000"/>
                                      </w:rPr>
                                    </w:pPr>
                                    <w:r>
                                      <w:rPr>
                                        <w:rFonts w:ascii="Times New Roman" w:hAnsi="Times New Roman"/>
                                        <w:color w:val="C00000"/>
                                        <w:kern w:val="2"/>
                                        <w:sz w:val="21"/>
                                        <w:szCs w:val="21"/>
                                      </w:rPr>
                                      <w:t>N</w:t>
                                    </w:r>
                                  </w:p>
                                </w:txbxContent>
                              </wps:txbx>
                              <wps:bodyPr rot="0" vert="horz" wrap="square" lIns="91440" tIns="45720" rIns="91440" bIns="45720" anchor="t" anchorCtr="0" upright="1">
                                <a:noAutofit/>
                              </wps:bodyPr>
                            </wps:wsp>
                            <wps:wsp>
                              <wps:cNvPr id="261" name="矩形 261"/>
                              <wps:cNvSpPr>
                                <a:spLocks noChangeArrowheads="1"/>
                              </wps:cNvSpPr>
                              <wps:spPr bwMode="auto">
                                <a:xfrm>
                                  <a:off x="2331085" y="2141567"/>
                                  <a:ext cx="2625090" cy="430530"/>
                                </a:xfrm>
                                <a:prstGeom prst="rect">
                                  <a:avLst/>
                                </a:prstGeom>
                                <a:noFill/>
                                <a:ln>
                                  <a:noFill/>
                                </a:ln>
                                <a:effectLst/>
                              </wps:spPr>
                              <wps:txbx>
                                <w:txbxContent>
                                  <w:p w14:paraId="1D668EF9">
                                    <w:pPr>
                                      <w:pStyle w:val="22"/>
                                      <w:spacing w:before="0" w:beforeAutospacing="0" w:after="0" w:afterAutospacing="0" w:line="280" w:lineRule="exact"/>
                                    </w:pPr>
                                    <w:r>
                                      <w:rPr>
                                        <w:rFonts w:ascii="Times New Roman" w:hAnsi="Times New Roman"/>
                                        <w:kern w:val="2"/>
                                        <w:sz w:val="21"/>
                                        <w:szCs w:val="21"/>
                                      </w:rPr>
                                      <w:t>图例：</w:t>
                                    </w:r>
                                  </w:p>
                                  <w:p w14:paraId="77870AC9">
                                    <w:pPr>
                                      <w:pStyle w:val="22"/>
                                      <w:spacing w:before="0" w:beforeAutospacing="0" w:after="0" w:afterAutospacing="0" w:line="280" w:lineRule="exact"/>
                                      <w:rPr>
                                        <w:color w:val="C00000"/>
                                      </w:rPr>
                                    </w:pPr>
                                    <w:r>
                                      <w:rPr>
                                        <w:rFonts w:ascii="Times New Roman" w:hAnsi="Times New Roman"/>
                                        <w:color w:val="C00000"/>
                                        <w:kern w:val="2"/>
                                        <w:sz w:val="21"/>
                                        <w:szCs w:val="21"/>
                                      </w:rPr>
                                      <w:t>G：废气；S：固废；W：废水；N：噪声</w:t>
                                    </w:r>
                                  </w:p>
                                </w:txbxContent>
                              </wps:txbx>
                              <wps:bodyPr rot="0" vert="horz" wrap="square" lIns="91440" tIns="45720" rIns="91440" bIns="45720" anchor="t" anchorCtr="0" upright="1">
                                <a:noAutofit/>
                              </wps:bodyPr>
                            </wps:wsp>
                            <wps:wsp>
                              <wps:cNvPr id="5" name="直接箭头连接符 5"/>
                              <wps:cNvCnPr>
                                <a:cxnSpLocks noChangeShapeType="1"/>
                              </wps:cNvCnPr>
                              <wps:spPr bwMode="auto">
                                <a:xfrm flipH="1">
                                  <a:off x="2055495" y="887095"/>
                                  <a:ext cx="2540" cy="117475"/>
                                </a:xfrm>
                                <a:prstGeom prst="straightConnector1">
                                  <a:avLst/>
                                </a:prstGeom>
                                <a:noFill/>
                                <a:ln w="9525">
                                  <a:solidFill>
                                    <a:srgbClr val="C00000"/>
                                  </a:solidFill>
                                  <a:prstDash val="sysDash"/>
                                  <a:round/>
                                  <a:tailEnd type="triangle" w="med" len="med"/>
                                </a:ln>
                                <a:effectLst/>
                              </wps:spPr>
                              <wps:bodyPr/>
                            </wps:wsp>
                            <wps:wsp>
                              <wps:cNvPr id="249" name="矩形 249"/>
                              <wps:cNvSpPr>
                                <a:spLocks noChangeArrowheads="1"/>
                              </wps:cNvSpPr>
                              <wps:spPr bwMode="auto">
                                <a:xfrm>
                                  <a:off x="1854200" y="963295"/>
                                  <a:ext cx="423545" cy="243205"/>
                                </a:xfrm>
                                <a:prstGeom prst="rect">
                                  <a:avLst/>
                                </a:prstGeom>
                                <a:noFill/>
                                <a:ln>
                                  <a:noFill/>
                                </a:ln>
                                <a:effectLst/>
                              </wps:spPr>
                              <wps:txbx>
                                <w:txbxContent>
                                  <w:p w14:paraId="5E78D94E">
                                    <w:pPr>
                                      <w:pStyle w:val="22"/>
                                      <w:spacing w:before="0" w:beforeAutospacing="0" w:after="0" w:afterAutospacing="0" w:line="280" w:lineRule="exact"/>
                                      <w:jc w:val="center"/>
                                      <w:rPr>
                                        <w:color w:val="C00000"/>
                                      </w:rPr>
                                    </w:pPr>
                                    <w:r>
                                      <w:rPr>
                                        <w:rFonts w:hint="eastAsia" w:ascii="Times New Roman"/>
                                        <w:color w:val="C00000"/>
                                        <w:kern w:val="2"/>
                                        <w:sz w:val="21"/>
                                        <w:szCs w:val="21"/>
                                      </w:rPr>
                                      <w:t>S9</w:t>
                                    </w:r>
                                  </w:p>
                                </w:txbxContent>
                              </wps:txbx>
                              <wps:bodyPr rot="0" vert="horz" wrap="square" lIns="91440" tIns="45720" rIns="91440" bIns="45720" anchor="t" anchorCtr="0" upright="1">
                                <a:noAutofit/>
                              </wps:bodyPr>
                            </wps:wsp>
                            <wps:wsp>
                              <wps:cNvPr id="6" name="矩形 6"/>
                              <wps:cNvSpPr>
                                <a:spLocks noChangeArrowheads="1"/>
                              </wps:cNvSpPr>
                              <wps:spPr bwMode="auto">
                                <a:xfrm>
                                  <a:off x="2821305" y="824865"/>
                                  <a:ext cx="422910" cy="267335"/>
                                </a:xfrm>
                                <a:prstGeom prst="rect">
                                  <a:avLst/>
                                </a:prstGeom>
                                <a:noFill/>
                                <a:ln>
                                  <a:noFill/>
                                </a:ln>
                                <a:effectLst/>
                              </wps:spPr>
                              <wps:txbx>
                                <w:txbxContent>
                                  <w:p w14:paraId="656567A8">
                                    <w:pPr>
                                      <w:pStyle w:val="22"/>
                                      <w:spacing w:before="0" w:beforeAutospacing="0" w:after="0" w:afterAutospacing="0" w:line="280" w:lineRule="exact"/>
                                      <w:jc w:val="center"/>
                                      <w:rPr>
                                        <w:color w:val="C00000"/>
                                      </w:rPr>
                                    </w:pPr>
                                    <w:r>
                                      <w:rPr>
                                        <w:rFonts w:hint="eastAsia" w:ascii="Times New Roman" w:hAnsi="Times New Roman"/>
                                        <w:color w:val="C00000"/>
                                        <w:kern w:val="2"/>
                                        <w:sz w:val="21"/>
                                        <w:szCs w:val="21"/>
                                      </w:rPr>
                                      <w:t>N</w:t>
                                    </w:r>
                                  </w:p>
                                </w:txbxContent>
                              </wps:txbx>
                              <wps:bodyPr rot="0" vert="horz" wrap="square" lIns="91440" tIns="45720" rIns="91440" bIns="45720" anchor="t" anchorCtr="0" upright="1">
                                <a:noAutofit/>
                              </wps:bodyPr>
                            </wps:wsp>
                            <wps:wsp>
                              <wps:cNvPr id="7" name="直接箭头连接符 7"/>
                              <wps:cNvCnPr>
                                <a:cxnSpLocks noChangeShapeType="1"/>
                              </wps:cNvCnPr>
                              <wps:spPr bwMode="auto">
                                <a:xfrm flipV="1">
                                  <a:off x="3028950" y="1038225"/>
                                  <a:ext cx="2540" cy="172085"/>
                                </a:xfrm>
                                <a:prstGeom prst="straightConnector1">
                                  <a:avLst/>
                                </a:prstGeom>
                                <a:noFill/>
                                <a:ln w="9525">
                                  <a:solidFill>
                                    <a:srgbClr val="C00000"/>
                                  </a:solidFill>
                                  <a:prstDash val="sysDash"/>
                                  <a:round/>
                                  <a:tailEnd type="triangle" w="med" len="med"/>
                                </a:ln>
                                <a:effectLst/>
                              </wps:spPr>
                              <wps:bodyPr/>
                            </wps:wsp>
                            <wps:wsp>
                              <wps:cNvPr id="8" name="直接箭头连接符 8"/>
                              <wps:cNvCnPr>
                                <a:cxnSpLocks noChangeShapeType="1"/>
                              </wps:cNvCnPr>
                              <wps:spPr bwMode="auto">
                                <a:xfrm flipV="1">
                                  <a:off x="4777105" y="1036955"/>
                                  <a:ext cx="2540" cy="172085"/>
                                </a:xfrm>
                                <a:prstGeom prst="straightConnector1">
                                  <a:avLst/>
                                </a:prstGeom>
                                <a:noFill/>
                                <a:ln w="9525">
                                  <a:solidFill>
                                    <a:srgbClr val="C00000"/>
                                  </a:solidFill>
                                  <a:prstDash val="sysDash"/>
                                  <a:round/>
                                  <a:tailEnd type="triangle" w="med" len="med"/>
                                </a:ln>
                                <a:effectLst/>
                              </wps:spPr>
                              <wps:bodyPr/>
                            </wps:wsp>
                            <wps:wsp>
                              <wps:cNvPr id="9" name="矩形 9"/>
                              <wps:cNvSpPr>
                                <a:spLocks noChangeArrowheads="1"/>
                              </wps:cNvSpPr>
                              <wps:spPr bwMode="auto">
                                <a:xfrm>
                                  <a:off x="4565015" y="816610"/>
                                  <a:ext cx="422910" cy="267335"/>
                                </a:xfrm>
                                <a:prstGeom prst="rect">
                                  <a:avLst/>
                                </a:prstGeom>
                                <a:noFill/>
                                <a:ln>
                                  <a:noFill/>
                                </a:ln>
                                <a:effectLst/>
                              </wps:spPr>
                              <wps:txbx>
                                <w:txbxContent>
                                  <w:p w14:paraId="56B2CE14">
                                    <w:pPr>
                                      <w:pStyle w:val="22"/>
                                      <w:spacing w:before="0" w:beforeAutospacing="0" w:after="0" w:afterAutospacing="0" w:line="280" w:lineRule="exact"/>
                                      <w:jc w:val="center"/>
                                      <w:rPr>
                                        <w:color w:val="C00000"/>
                                      </w:rPr>
                                    </w:pPr>
                                    <w:r>
                                      <w:rPr>
                                        <w:rFonts w:ascii="Times New Roman" w:hAnsi="Times New Roman"/>
                                        <w:color w:val="C00000"/>
                                        <w:kern w:val="2"/>
                                        <w:sz w:val="21"/>
                                        <w:szCs w:val="21"/>
                                      </w:rPr>
                                      <w:t>N</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05.5pt;width:396.55pt;" coordsize="5036185,2609850" editas="canvas"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">
                      <o:lock v:ext="edit" aspectratio="f"/>
                      <v:shape id="_x0000_s1026" o:spid="_x0000_s1026" style="position:absolute;left:0;top:0;height:2609850;width:5036185;"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">
                        <v:fill on="f" focussize="0,0"/>
                        <v:stroke on="f"/>
                        <v:imagedata o:title=""/>
                        <o:lock v:ext="edit" aspectratio="t"/>
                      </v:shape>
                      <v:shape id="_x0000_s1026" o:spid="_x0000_s1026" o:spt="32" type="#_x0000_t32" style="position:absolute;left:1539875;top:663922;height:635;width:253365;" filled="f" stroked="t" coordsize="21600,21600" o:gfxdata="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0c&#10;NFLXAAAABQEAAA8AAAAAAAAAAQAgAAAAIgAAAGRycy9kb3ducmV2LnhtbFBLAQIUABQAAAAIAIdO&#10;4kDcWQr0JAIAAAoEAAAOAAAAAAAAAAEAIAAAACYBAABkcnMvZTJvRG9jLnhtbFBLBQYAAAAABgAG&#10;AFkBAAC8BQAAAAA=&#10;">
                        <v:fill on="f" focussize="0,0"/>
                        <v:stroke color="#000000" joinstyle="round" endarrow="block"/>
                        <v:imagedata o:title=""/>
                        <o:lock v:ext="edit" aspectratio="f"/>
                      </v:shape>
                      <v:rect id="_x0000_s1026" o:spid="_x0000_s1026" o:spt="1" style="position:absolute;left:1793240;top:427702;height:459740;width:537845;"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YMni1AAAAAUBAAAPAAAAAAAAAAEAIAAA&#10;ACIAAABkcnMvZG93bnJldi54bWxQSwECFAAUAAAACACHTuJA1X8VqUkCAACWBAAADgAAAAAAAAAB&#10;ACAAAAAjAQAAZHJzL2Uyb0RvYy54bWxQSwUGAAAAAAYABgBZAQAA3gUAAAAA&#10;">
                        <v:fill on="t" focussize="0,0"/>
                        <v:stroke color="#000000" miterlimit="8" joinstyle="miter"/>
                        <v:imagedata o:title=""/>
                        <o:lock v:ext="edit" aspectratio="f"/>
                        <v:textbox>
                          <w:txbxContent>
                            <w:p w14:paraId="7C84CFAE">
                              <w:pPr>
                                <w:adjustRightInd w:val="0"/>
                                <w:snapToGrid w:val="0"/>
                                <w:spacing w:line="280" w:lineRule="exact"/>
                                <w:jc w:val="center"/>
                              </w:pPr>
                              <w:r>
                                <w:rPr>
                                  <w:rFonts w:hint="eastAsia"/>
                                </w:rPr>
                                <w:t>检查外观</w:t>
                              </w:r>
                            </w:p>
                          </w:txbxContent>
                        </v:textbox>
                      </v:rect>
                      <v:rect id="_x0000_s1026" o:spid="_x0000_s1026" o:spt="1" style="position:absolute;left:2583180;top:434052;height:459740;width:716280;"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z2DJ4tQAAAAFAQAADwAAAAAAAAABACAA&#10;AAAiAAAAZHJzL2Rvd25yZXYueG1sUEsBAhQAFAAAAAgAh07iQKesYNBKAgAAlgQAAA4AAAAAAAAA&#10;AQAgAAAAIwEAAGRycy9lMm9Eb2MueG1sUEsFBgAAAAAGAAYAWQEAAN8FAAAAAA==&#10;">
                        <v:fill on="t" focussize="0,0"/>
                        <v:stroke color="#000000" miterlimit="8" joinstyle="miter"/>
                        <v:imagedata o:title=""/>
                        <o:lock v:ext="edit" aspectratio="f"/>
                        <v:textbox>
                          <w:txbxContent>
                            <w:p w14:paraId="6E57987E">
                              <w:pPr>
                                <w:adjustRightInd w:val="0"/>
                                <w:snapToGrid w:val="0"/>
                                <w:spacing w:line="280" w:lineRule="exact"/>
                                <w:jc w:val="center"/>
                              </w:pPr>
                              <w:r>
                                <w:rPr>
                                  <w:rFonts w:hint="eastAsia"/>
                                </w:rPr>
                                <w:t>主、从动片安装</w:t>
                              </w:r>
                            </w:p>
                          </w:txbxContent>
                        </v:textbox>
                      </v:rect>
                      <v:rect id="_x0000_s1026" o:spid="_x0000_s1026" o:spt="1" style="position:absolute;left:4326890;top:416907;height:459740;width:513080;"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PYMni1AAAAAUBAAAPAAAAAAAAAAEA&#10;IAAAACIAAABkcnMvZG93bnJldi54bWxQSwECFAAUAAAACACHTuJAQizmFkwCAACWBAAADgAAAAAA&#10;AAABACAAAAAjAQAAZHJzL2Uyb0RvYy54bWxQSwUGAAAAAAYABgBZAQAA4QUAAAAA&#10;">
                        <v:fill on="t" focussize="0,0"/>
                        <v:stroke color="#000000" miterlimit="8" joinstyle="miter"/>
                        <v:imagedata o:title=""/>
                        <o:lock v:ext="edit" aspectratio="f"/>
                        <v:textbox>
                          <w:txbxContent>
                            <w:p w14:paraId="6D170ABE">
                              <w:pPr>
                                <w:adjustRightInd w:val="0"/>
                                <w:snapToGrid w:val="0"/>
                                <w:spacing w:line="280" w:lineRule="exact"/>
                                <w:jc w:val="center"/>
                              </w:pPr>
                              <w:r>
                                <w:rPr>
                                  <w:rFonts w:hint="eastAsia"/>
                                </w:rPr>
                                <w:t>升版安装</w:t>
                              </w:r>
                            </w:p>
                          </w:txbxContent>
                        </v:textbox>
                      </v:rect>
                      <v:shape id="_x0000_s1026" o:spid="_x0000_s1026" o:spt="32" type="#_x0000_t32" style="position:absolute;left:4592955;top:893792;height:323215;width:635;" filled="f" stroked="t" coordsize="21600,21600" o:gfxdata="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Rw0&#10;UtcAAAAFAQAADwAAAAAAAAABACAAAAAiAAAAZHJzL2Rvd25yZXYueG1sUEsBAhQAFAAAAAgAh07i&#10;QJqEWbIjAgAACgQAAA4AAAAAAAAAAQAgAAAAJgEAAGRycy9lMm9Eb2MueG1sUEsFBgAAAAAGAAYA&#10;WQEAALsFAAAAAA==&#10;">
                        <v:fill on="f" focussize="0,0"/>
                        <v:stroke color="#000000" joinstyle="round" endarrow="block"/>
                        <v:imagedata o:title=""/>
                        <o:lock v:ext="edit" aspectratio="f"/>
                      </v:shape>
                      <v:rect id="_x0000_s1026" o:spid="_x0000_s1026" o:spt="1" style="position:absolute;left:456565;top:416907;height:495935;width:1191895;"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ANM31wAAAAUB&#10;AAAPAAAAAAAAAAEAIAAAACIAAABkcnMvZG93bnJldi54bWxQSwECFAAUAAAACACHTuJAsO10HhwC&#10;AAAkBAAADgAAAAAAAAABACAAAAAmAQAAZHJzL2Uyb0RvYy54bWxQSwUGAAAAAAYABgBZAQAAtAUA&#10;AAAA&#10;">
                        <v:fill on="f" focussize="0,0"/>
                        <v:stroke on="f"/>
                        <v:imagedata o:title=""/>
                        <o:lock v:ext="edit" aspectratio="f"/>
                        <v:textbox>
                          <w:txbxContent>
                            <w:p w14:paraId="6E88F82E">
                              <w:pPr>
                                <w:adjustRightInd w:val="0"/>
                                <w:snapToGrid w:val="0"/>
                                <w:spacing w:line="280" w:lineRule="exact"/>
                                <w:jc w:val="center"/>
                              </w:pPr>
                              <w:r>
                                <w:rPr>
                                  <w:rFonts w:hint="eastAsia"/>
                                </w:rPr>
                                <w:t>离合器摩擦片及其他零部件</w:t>
                              </w:r>
                            </w:p>
                          </w:txbxContent>
                        </v:textbox>
                      </v:rect>
                      <v:rect id="_x0000_s1026" o:spid="_x0000_s1026" o:spt="1" style="position:absolute;left:1541145;top:1204307;height:454660;width:939800;"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2DJ4tQAAAAFAQAADwAAAAAAAAAB&#10;ACAAAAAiAAAAZHJzL2Rvd25yZXYueG1sUEsBAhQAFAAAAAgAh07iQBYeRAJNAgAAlwQAAA4AAAAA&#10;AAAAAQAgAAAAIwEAAGRycy9lMm9Eb2MueG1sUEsFBgAAAAAGAAYAWQEAAOIFAAAAAA==&#10;">
                        <v:fill on="t" focussize="0,0"/>
                        <v:stroke color="#000000" miterlimit="8" joinstyle="miter"/>
                        <v:imagedata o:title=""/>
                        <o:lock v:ext="edit" aspectratio="f"/>
                        <v:textbox>
                          <w:txbxContent>
                            <w:p w14:paraId="5BC01C67">
                              <w:pPr>
                                <w:adjustRightInd w:val="0"/>
                                <w:snapToGrid w:val="0"/>
                                <w:spacing w:line="280" w:lineRule="exact"/>
                                <w:jc w:val="center"/>
                              </w:pPr>
                              <w:r>
                                <w:rPr>
                                  <w:rFonts w:hint="eastAsia"/>
                                </w:rPr>
                                <w:t>检验扭力、分离特性等</w:t>
                              </w:r>
                            </w:p>
                          </w:txbxContent>
                        </v:textbox>
                      </v:rect>
                      <v:shape id="_x0000_s1026" o:spid="_x0000_s1026" o:spt="32" type="#_x0000_t32" style="position:absolute;left:4068445;top:1439257;flip:x;height:635;width:264795;" filled="f" stroked="t" coordsize="21600,21600" o:gfxdata="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gBws1gAAAAUBAAAPAAAAAAAAAAEAIAAAACIAAABkcnMvZG93bnJldi54bWxQSwECFAAU&#10;AAAACACHTuJA6mNViiwCAAAVBAAADgAAAAAAAAABACAAAAAlAQAAZHJzL2Uyb0RvYy54bWxQSwUG&#10;AAAAAAYABgBZAQAAwwUAAAAA&#10;">
                        <v:fill on="f" focussize="0,0"/>
                        <v:stroke color="#000000" joinstyle="round" endarrow="block"/>
                        <v:imagedata o:title=""/>
                        <o:lock v:ext="edit" aspectratio="f"/>
                      </v:shape>
                      <v:rect id="_x0000_s1026" o:spid="_x0000_s1026" o:spt="1" style="position:absolute;left:0;top:1210657;height:459740;width:49784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gDTN9cAAAAFAQAADwAA&#10;AAAAAAABACAAAAAiAAAAZHJzL2Rvd25yZXYueG1sUEsBAhQAFAAAAAgAh07iQAYgODYXAgAAHwQA&#10;AA4AAAAAAAAAAQAgAAAAJgEAAGRycy9lMm9Eb2MueG1sUEsFBgAAAAAGAAYAWQEAAK8FAAAAAA==&#10;">
                        <v:fill on="f" focussize="0,0"/>
                        <v:stroke on="f"/>
                        <v:imagedata o:title=""/>
                        <o:lock v:ext="edit" aspectratio="f"/>
                        <v:textbox>
                          <w:txbxContent>
                            <w:p w14:paraId="43D4514F">
                              <w:pPr>
                                <w:adjustRightInd w:val="0"/>
                                <w:snapToGrid w:val="0"/>
                                <w:spacing w:line="280" w:lineRule="exact"/>
                                <w:jc w:val="center"/>
                              </w:pPr>
                              <w:r>
                                <w:rPr>
                                  <w:rFonts w:hint="eastAsia"/>
                                </w:rPr>
                                <w:t>包装入库</w:t>
                              </w:r>
                            </w:p>
                          </w:txbxContent>
                        </v:textbox>
                      </v:rect>
                      <v:shape id="_x0000_s1026" o:spid="_x0000_s1026" o:spt="32" type="#_x0000_t32" style="position:absolute;left:1275080;top:1451957;flip:x;height:635;width:264795;" filled="f" stroked="t" coordsize="21600,21600" o:gfxdata="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YAcLNYAAAAFAQAADwAAAAAAAAABACAAAAAiAAAAZHJzL2Rvd25yZXYueG1sUEsBAhQAFAAA&#10;AAgAh07iQCnKYA4qAgAAFQQAAA4AAAAAAAAAAQAgAAAAJQEAAGRycy9lMm9Eb2MueG1sUEsFBgAA&#10;AAAGAAYAWQEAAMEFAAAAAA==&#10;">
                        <v:fill on="f" focussize="0,0"/>
                        <v:stroke color="#000000" joinstyle="round" endarrow="block"/>
                        <v:imagedata o:title=""/>
                        <o:lock v:ext="edit" aspectratio="f"/>
                      </v:shape>
                      <v:shape id="_x0000_s1026" o:spid="_x0000_s1026" o:spt="32" type="#_x0000_t32" style="position:absolute;left:2332990;top:663287;height:635;width:250190;" filled="f" stroked="t" coordsize="21600,21600" o:gfxdata="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Rw0&#10;UtcAAAAFAQAADwAAAAAAAAABACAAAAAiAAAAZHJzL2Rvd25yZXYueG1sUEsBAhQAFAAAAAgAh07i&#10;QBwNeVcjAgAACgQAAA4AAAAAAAAAAQAgAAAAJgEAAGRycy9lMm9Eb2MueG1sUEsFBgAAAAAGAAYA&#10;WQEAALsFAAAAAA==&#10;">
                        <v:fill on="f" focussize="0,0"/>
                        <v:stroke color="#000000" joinstyle="round" endarrow="block"/>
                        <v:imagedata o:title=""/>
                        <o:lock v:ext="edit" aspectratio="f"/>
                      </v:shape>
                      <v:shape id="_x0000_s1026" o:spid="_x0000_s1026" o:spt="32" type="#_x0000_t32" style="position:absolute;left:2947035;top:223867;flip:y;height:210185;width:635;" filled="f" stroked="t" coordsize="21600,21600" o:gfxdata="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FBondQAAAAFAQAADwAAAAAAAAABACAAAAAiAAAAZHJzL2Rvd25yZXYueG1s&#10;UEsBAhQAFAAAAAgAh07iQFvR+1E1AgAALwQAAA4AAAAAAAAAAQAgAAAAIwEAAGRycy9lMm9Eb2Mu&#10;eG1sUEsFBgAAAAAGAAYAWQEAAMoFAAAAAA==&#10;">
                        <v:fill on="f" focussize="0,0"/>
                        <v:stroke color="#C00000" joinstyle="round" dashstyle="3 1" endarrow="block"/>
                        <v:imagedata o:title=""/>
                        <o:lock v:ext="edit" aspectratio="f"/>
                      </v:shape>
                      <v:rect id="_x0000_s1026" o:spid="_x0000_s1026" o:spt="1" style="position:absolute;left:3550920;top:416907;height:459740;width:532130;"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PYMni1AAAAAUBAAAPAAAAAAAAAAEA&#10;IAAAACIAAABkcnMvZG93bnJldi54bWxQSwECFAAUAAAACACHTuJAUswhXkwCAACWBAAADgAAAAAA&#10;AAABACAAAAAjAQAAZHJzL2Uyb0RvYy54bWxQSwUGAAAAAAYABgBZAQAA4QUAAAAA&#10;">
                        <v:fill on="t" focussize="0,0"/>
                        <v:stroke color="#000000" miterlimit="8" joinstyle="miter"/>
                        <v:imagedata o:title=""/>
                        <o:lock v:ext="edit" aspectratio="f"/>
                        <v:textbox>
                          <w:txbxContent>
                            <w:p w14:paraId="1A853CB0">
                              <w:pPr>
                                <w:adjustRightInd w:val="0"/>
                                <w:snapToGrid w:val="0"/>
                                <w:spacing w:line="280" w:lineRule="exact"/>
                                <w:jc w:val="center"/>
                              </w:pPr>
                              <w:r>
                                <w:rPr>
                                  <w:rFonts w:hint="eastAsia"/>
                                </w:rPr>
                                <w:t>压盘装配</w:t>
                              </w:r>
                            </w:p>
                          </w:txbxContent>
                        </v:textbox>
                      </v:rect>
                      <v:shape id="_x0000_s1026" o:spid="_x0000_s1026" o:spt="32" type="#_x0000_t32" style="position:absolute;left:3300730;top:646142;height:635;width:250190;" filled="f" stroked="t" coordsize="21600,21600" o:gfxdata="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0c&#10;NFLXAAAABQEAAA8AAAAAAAAAAQAgAAAAIgAAAGRycy9kb3ducmV2LnhtbFBLAQIUABQAAAAIAIdO&#10;4kDm0T4fJAIAAAoEAAAOAAAAAAAAAAEAIAAAACYBAABkcnMvZTJvRG9jLnhtbFBLBQYAAAAABgAG&#10;AFkBAAC8BQAAAAA=&#10;">
                        <v:fill on="f" focussize="0,0"/>
                        <v:stroke color="#000000" joinstyle="round" endarrow="block"/>
                        <v:imagedata o:title=""/>
                        <o:lock v:ext="edit" aspectratio="f"/>
                      </v:shape>
                      <v:shape id="_x0000_s1026" o:spid="_x0000_s1026" o:spt="32" type="#_x0000_t32" style="position:absolute;left:4083050;top:645507;height:635;width:250190;" filled="f" stroked="t" coordsize="21600,21600" o:gfxdata="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0c&#10;NFLXAAAABQEAAA8AAAAAAAAAAQAgAAAAIgAAAGRycy9kb3ducmV2LnhtbFBLAQIUABQAAAAIAIdO&#10;4kAqkH8XJAIAAAoEAAAOAAAAAAAAAAEAIAAAACYBAABkcnMvZTJvRG9jLnhtbFBLBQYAAAAABgAG&#10;AFkBAAC8BQAAAAA=&#10;">
                        <v:fill on="f" focussize="0,0"/>
                        <v:stroke color="#000000" joinstyle="round" endarrow="block"/>
                        <v:imagedata o:title=""/>
                        <o:lock v:ext="edit" aspectratio="f"/>
                      </v:shape>
                      <v:rect id="_x0000_s1026" o:spid="_x0000_s1026" o:spt="1" style="position:absolute;left:4339590;top:1217007;height:459740;width:513080;"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2DJ4tQAAAAFAQAADwAAAAAAAAAB&#10;ACAAAAAiAAAAZHJzL2Rvd25yZXYueG1sUEsBAhQAFAAAAAgAh07iQKHsyUFNAgAAlwQAAA4AAAAA&#10;AAAAAQAgAAAAIwEAAGRycy9lMm9Eb2MueG1sUEsFBgAAAAAGAAYAWQEAAOIFAAAAAA==&#10;">
                        <v:fill on="t" focussize="0,0"/>
                        <v:stroke color="#000000" miterlimit="8" joinstyle="miter"/>
                        <v:imagedata o:title=""/>
                        <o:lock v:ext="edit" aspectratio="f"/>
                        <v:textbox>
                          <w:txbxContent>
                            <w:p w14:paraId="416E5703">
                              <w:pPr>
                                <w:adjustRightInd w:val="0"/>
                                <w:snapToGrid w:val="0"/>
                                <w:spacing w:line="280" w:lineRule="exact"/>
                                <w:jc w:val="center"/>
                              </w:pPr>
                              <w:r>
                                <w:rPr>
                                  <w:rFonts w:hint="eastAsia"/>
                                </w:rPr>
                                <w:t>螺丝拧入</w:t>
                              </w:r>
                            </w:p>
                          </w:txbxContent>
                        </v:textbox>
                      </v:rect>
                      <v:rect id="_x0000_s1026" o:spid="_x0000_s1026" o:spt="1" style="position:absolute;left:3529965;top:1204307;height:459740;width:537845;"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2DJ4tQAAAAFAQAADwAAAAAAAAAB&#10;ACAAAAAiAAAAZHJzL2Rvd25yZXYueG1sUEsBAhQAFAAAAAgAh07iQAaATWZNAgAAlwQAAA4AAAAA&#10;AAAAAQAgAAAAIwEAAGRycy9lMm9Eb2MueG1sUEsFBgAAAAAGAAYAWQEAAOIFAAAAAA==&#10;">
                        <v:fill on="t" focussize="0,0"/>
                        <v:stroke color="#000000" miterlimit="8" joinstyle="miter"/>
                        <v:imagedata o:title=""/>
                        <o:lock v:ext="edit" aspectratio="f"/>
                        <v:textbox>
                          <w:txbxContent>
                            <w:p w14:paraId="29B1A39E">
                              <w:pPr>
                                <w:adjustRightInd w:val="0"/>
                                <w:snapToGrid w:val="0"/>
                                <w:spacing w:line="280" w:lineRule="exact"/>
                                <w:jc w:val="center"/>
                              </w:pPr>
                              <w:r>
                                <w:rPr>
                                  <w:rFonts w:hint="eastAsia"/>
                                </w:rPr>
                                <w:t>人工检验</w:t>
                              </w:r>
                            </w:p>
                          </w:txbxContent>
                        </v:textbox>
                      </v:rect>
                      <v:shape id="_x0000_s1026" o:spid="_x0000_s1026" o:spt="32" type="#_x0000_t32" style="position:absolute;left:2480945;top:1432907;flip:x;height:635;width:264795;" filled="f" stroked="t" coordsize="21600,21600" o:gfxdata="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2AHCzWAAAABQEAAA8AAAAAAAAAAQAgAAAAIgAAAGRycy9kb3ducmV2LnhtbFBLAQIUABQA&#10;AAAIAIdO4kAT65iZKwIAABUEAAAOAAAAAAAAAAEAIAAAACUBAABkcnMvZTJvRG9jLnhtbFBLBQYA&#10;AAAABgAGAFkBAADCBQAAAAA=&#10;">
                        <v:fill on="f" focussize="0,0"/>
                        <v:stroke color="#000000" joinstyle="round" endarrow="block"/>
                        <v:imagedata o:title=""/>
                        <o:lock v:ext="edit" aspectratio="f"/>
                      </v:shape>
                      <v:rect id="_x0000_s1026" o:spid="_x0000_s1026" o:spt="1" style="position:absolute;left:2752090;top:1210657;height:459740;width:513080;"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2DJ4tQAAAAFAQAADwAAAAAAAAAB&#10;ACAAAAAiAAAAZHJzL2Rvd25yZXYueG1sUEsBAhQAFAAAAAgAh07iQN1lwIhNAgAAlwQAAA4AAAAA&#10;AAAAAQAgAAAAIwEAAGRycy9lMm9Eb2MueG1sUEsFBgAAAAAGAAYAWQEAAOIFAAAAAA==&#10;">
                        <v:fill on="t" focussize="0,0"/>
                        <v:stroke color="#000000" miterlimit="8" joinstyle="miter"/>
                        <v:imagedata o:title=""/>
                        <o:lock v:ext="edit" aspectratio="f"/>
                        <v:textbox>
                          <w:txbxContent>
                            <w:p w14:paraId="1A3E28B0">
                              <w:pPr>
                                <w:adjustRightInd w:val="0"/>
                                <w:snapToGrid w:val="0"/>
                                <w:spacing w:line="280" w:lineRule="exact"/>
                                <w:jc w:val="center"/>
                              </w:pPr>
                              <w:r>
                                <w:rPr>
                                  <w:rFonts w:hint="eastAsia"/>
                                </w:rPr>
                                <w:t>螺丝紧固</w:t>
                              </w:r>
                            </w:p>
                          </w:txbxContent>
                        </v:textbox>
                      </v:rect>
                      <v:shape id="_x0000_s1026" o:spid="_x0000_s1026" o:spt="32" type="#_x0000_t32" style="position:absolute;left:3265170;top:1438622;flip:x;height:635;width:264795;" filled="f" stroked="t" coordsize="21600,21600" o:gfxdata="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gBws1gAAAAUBAAAPAAAAAAAAAAEAIAAAACIAAABkcnMvZG93bnJldi54bWxQSwECFAAU&#10;AAAACACHTuJAt4PIrSwCAAAVBAAADgAAAAAAAAABACAAAAAlAQAAZHJzL2Uyb0RvYy54bWxQSwUG&#10;AAAAAAYABgBZAQAAwwUAAAAA&#10;">
                        <v:fill on="f" focussize="0,0"/>
                        <v:stroke color="#000000" joinstyle="round" endarrow="block"/>
                        <v:imagedata o:title=""/>
                        <o:lock v:ext="edit" aspectratio="f"/>
                      </v:shape>
                      <v:shape id="_x0000_s1026" o:spid="_x0000_s1026" o:spt="32" type="#_x0000_t32" style="position:absolute;left:3815080;top:206722;flip:y;height:210185;width:635;" filled="f" stroked="t" coordsize="21600,21600" o:gfxdata="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UGid1AAAAAUBAAAPAAAAAAAAAAEAIAAAACIAAABkcnMvZG93bnJldi54&#10;bWxQSwECFAAUAAAACACHTuJArk3eijcCAAAvBAAADgAAAAAAAAABACAAAAAjAQAAZHJzL2Uyb0Rv&#10;Yy54bWxQSwUGAAAAAAYABgBZAQAAzAUAAAAA&#10;">
                        <v:fill on="f" focussize="0,0"/>
                        <v:stroke color="#C00000" joinstyle="round" dashstyle="3 1" endarrow="block"/>
                        <v:imagedata o:title=""/>
                        <o:lock v:ext="edit" aspectratio="f"/>
                      </v:shape>
                      <v:shape id="_x0000_s1026" o:spid="_x0000_s1026" o:spt="32" type="#_x0000_t32" style="position:absolute;left:4585970;top:206722;flip:y;height:210185;width:635;" filled="f" stroked="t" coordsize="21600,21600" o:gfxdata="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UGid1AAAAAUBAAAPAAAAAAAAAAEAIAAAACIAAABkcnMvZG93bnJldi54&#10;bWxQSwECFAAUAAAACACHTuJA8Q27SDcCAAAvBAAADgAAAAAAAAABACAAAAAjAQAAZHJzL2Uyb0Rv&#10;Yy54bWxQSwUGAAAAAAYABgBZAQAAzAUAAAAA&#10;">
                        <v:fill on="f" focussize="0,0"/>
                        <v:stroke color="#C00000" joinstyle="round" dashstyle="3 1" endarrow="block"/>
                        <v:imagedata o:title=""/>
                        <o:lock v:ext="edit" aspectratio="f"/>
                      </v:shape>
                      <v:shape id="_x0000_s1026" o:spid="_x0000_s1026" o:spt="32" type="#_x0000_t32" style="position:absolute;left:3803015;top:1670397;height:254635;width:635;" filled="f" stroked="t" coordsize="21600,21600" o:gfxdata="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jj8+fWAAAABQEAAA8AAAAAAAAAAQAgAAAAIgAAAGRycy9kb3ducmV2LnhtbFBL&#10;AQIUABQAAAAIAIdO4kA/lMpSMQIAACYEAAAOAAAAAAAAAAEAIAAAACUBAABkcnMvZTJvRG9jLnht&#10;bFBLBQYAAAAABgAGAFkBAADIBQAAAAA=&#10;">
                        <v:fill on="f" focussize="0,0"/>
                        <v:stroke color="#C00000" joinstyle="round" dashstyle="3 1" endarrow="block"/>
                        <v:imagedata o:title=""/>
                        <o:lock v:ext="edit" aspectratio="f"/>
                      </v:shape>
                      <v:shape id="_x0000_s1026" o:spid="_x0000_s1026" o:spt="32" type="#_x0000_t32" style="position:absolute;left:2019300;top:1670397;height:254635;width:635;" filled="f" stroked="t" coordsize="21600,21600" o:gfxdata="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jj8+fWAAAABQEAAA8AAAAAAAAAAQAgAAAAIgAAAGRycy9kb3ducmV2LnhtbFBL&#10;AQIUABQAAAAIAIdO4kBCdu94MQIAACYEAAAOAAAAAAAAAAEAIAAAACUBAABkcnMvZTJvRG9jLnht&#10;bFBLBQYAAAAABgAGAFkBAADIBQAAAAA=&#10;">
                        <v:fill on="f" focussize="0,0"/>
                        <v:stroke color="#C00000" joinstyle="round" dashstyle="3 1" endarrow="block"/>
                        <v:imagedata o:title=""/>
                        <o:lock v:ext="edit" aspectratio="f"/>
                      </v:shape>
                      <v:rect id="_x0000_s1026" o:spid="_x0000_s1026" o:spt="1" style="position:absolute;left:771525;top:1297017;height:302260;width:503555;" fillcolor="#FFFFFF" filled="t" stroked="t" coordsize="21600,21600" o:gfxdata="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2DJ4tQAAAAFAQAADwAAAAAAAAABACAAAAAi&#10;AAAAZHJzL2Rvd25yZXYueG1sUEsBAhQAFAAAAAgAh07iQCsKJu9HAgAAlgQAAA4AAAAAAAAAAQAg&#10;AAAAIwEAAGRycy9lMm9Eb2MueG1sUEsFBgAAAAAGAAYAWQEAANwFAAAAAA==&#10;">
                        <v:fill on="t" focussize="0,0"/>
                        <v:stroke color="#000000" miterlimit="8" joinstyle="miter"/>
                        <v:imagedata o:title=""/>
                        <o:lock v:ext="edit" aspectratio="f"/>
                        <v:textbox>
                          <w:txbxContent>
                            <w:p w14:paraId="23B3B5DD">
                              <w:pPr>
                                <w:adjustRightInd w:val="0"/>
                                <w:snapToGrid w:val="0"/>
                                <w:spacing w:line="280" w:lineRule="exact"/>
                                <w:jc w:val="center"/>
                              </w:pPr>
                              <w:r>
                                <w:rPr>
                                  <w:rFonts w:hint="eastAsia"/>
                                </w:rPr>
                                <w:t>清洗</w:t>
                              </w:r>
                            </w:p>
                          </w:txbxContent>
                        </v:textbox>
                      </v:rect>
                      <v:shape id="_x0000_s1026" o:spid="_x0000_s1026" o:spt="32" type="#_x0000_t32" style="position:absolute;left:1009015;top:1125567;height:171450;width:635;" filled="f" stroked="t" coordsize="21600,21600" o:gfxdata="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9&#10;HDRS1wAAAAUBAAAPAAAAAAAAAAEAIAAAACIAAABkcnMvZG93bnJldi54bWxQSwECFAAUAAAACACH&#10;TuJArPXSSCUCAAALBAAADgAAAAAAAAABACAAAAAmAQAAZHJzL2Uyb0RvYy54bWxQSwUGAAAAAAYA&#10;BgBZAQAAvQUAAAAA&#10;">
                        <v:fill on="f" focussize="0,0"/>
                        <v:stroke color="#000000" joinstyle="round" endarrow="block"/>
                        <v:imagedata o:title=""/>
                        <o:lock v:ext="edit" aspectratio="f"/>
                      </v:shape>
                      <v:shape id="_x0000_s1026" o:spid="_x0000_s1026" o:spt="32" type="#_x0000_t32" style="position:absolute;left:497840;top:1437987;flip:x;height:635;width:264795;" filled="f" stroked="t" coordsize="21600,21600" o:gfxdata="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YAcLNYAAAAFAQAADwAAAAAAAAABACAAAAAiAAAAZHJzL2Rvd25yZXYueG1sUEsBAhQAFAAA&#10;AAgAh07iQGa0C2oqAgAAFAQAAA4AAAAAAAAAAQAgAAAAJQEAAGRycy9lMm9Eb2MueG1sUEsFBgAA&#10;AAAGAAYAWQEAAMEFAAAAAA==&#10;">
                        <v:fill on="f" focussize="0,0"/>
                        <v:stroke color="#000000" joinstyle="round" endarrow="block"/>
                        <v:imagedata o:title=""/>
                        <o:lock v:ext="edit" aspectratio="f"/>
                      </v:shape>
                      <v:rect id="_x0000_s1026" o:spid="_x0000_s1026" o:spt="1" style="position:absolute;left:235585;top:894080;height:267335;width:158115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ANM31wAA&#10;AAUBAAAPAAAAAAAAAAEAIAAAACIAAABkcnMvZG93bnJldi54bWxQSwECFAAUAAAACACHTuJA/sR9&#10;gB8CAAAkBAAADgAAAAAAAAABACAAAAAmAQAAZHJzL2Uyb0RvYy54bWxQSwUGAAAAAAYABgBZAQAA&#10;twUAAAAA&#10;">
                        <v:fill on="f" focussize="0,0"/>
                        <v:stroke on="f"/>
                        <v:imagedata o:title=""/>
                        <o:lock v:ext="edit" aspectratio="f"/>
                        <v:textbox>
                          <w:txbxContent>
                            <w:p w14:paraId="4CBE2FDE">
                              <w:pPr>
                                <w:adjustRightInd w:val="0"/>
                                <w:snapToGrid w:val="0"/>
                                <w:spacing w:line="280" w:lineRule="exact"/>
                                <w:jc w:val="center"/>
                              </w:pPr>
                              <w:r>
                                <w:rPr>
                                  <w:rFonts w:hint="eastAsia"/>
                                </w:rPr>
                                <w:t>清洗剂(</w:t>
                              </w:r>
                              <w:r>
                                <w:rPr>
                                  <w:szCs w:val="21"/>
                                </w:rPr>
                                <w:t>与水</w:t>
                              </w:r>
                              <w:r>
                                <w:rPr>
                                  <w:rFonts w:hint="eastAsia"/>
                                  <w:szCs w:val="21"/>
                                </w:rPr>
                                <w:t>1:20溶解</w:t>
                              </w:r>
                              <w:r>
                                <w:rPr>
                                  <w:rFonts w:hint="eastAsia"/>
                                </w:rPr>
                                <w:t>)</w:t>
                              </w:r>
                            </w:p>
                          </w:txbxContent>
                        </v:textbox>
                      </v:rect>
                      <v:shape id="_x0000_s1026" o:spid="_x0000_s1026" o:spt="32" type="#_x0000_t32" style="position:absolute;left:1009650;top:1599277;height:254635;width:635;" filled="f" stroked="t" coordsize="21600,21600" o:gfxdata="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jj8+fWAAAABQEAAA8AAAAAAAAAAQAgAAAAIgAAAGRycy9kb3ducmV2LnhtbFBL&#10;AQIUABQAAAAIAIdO4kC3PlRiMQIAACYEAAAOAAAAAAAAAAEAIAAAACUBAABkcnMvZTJvRG9jLnht&#10;bFBLBQYAAAAABgAGAFkBAADIBQAAAAA=&#10;">
                        <v:fill on="f" focussize="0,0"/>
                        <v:stroke color="#C00000" joinstyle="round" dashstyle="3 1" endarrow="block"/>
                        <v:imagedata o:title=""/>
                        <o:lock v:ext="edit" aspectratio="f"/>
                      </v:shape>
                      <v:rect id="_x0000_s1026" o:spid="_x0000_s1026" o:spt="1" style="position:absolute;left:3594100;top:1874232;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ANM31wAA&#10;AAUBAAAPAAAAAAAAAAEAIAAAACIAAABkcnMvZG93bnJldi54bWxQSwECFAAUAAAACACHTuJAfCqI&#10;Ph8CAAAlBAAADgAAAAAAAAABACAAAAAmAQAAZHJzL2Uyb0RvYy54bWxQSwUGAAAAAAYABgBZAQAA&#10;twUAAAAA&#10;">
                        <v:fill on="f" focussize="0,0"/>
                        <v:stroke on="f"/>
                        <v:imagedata o:title=""/>
                        <o:lock v:ext="edit" aspectratio="f"/>
                        <v:textbox>
                          <w:txbxContent>
                            <w:p w14:paraId="147978F8">
                              <w:pPr>
                                <w:pStyle w:val="22"/>
                                <w:spacing w:before="0" w:beforeAutospacing="0" w:after="0" w:afterAutospacing="0" w:line="280" w:lineRule="exact"/>
                                <w:jc w:val="center"/>
                                <w:rPr>
                                  <w:rFonts w:hint="default" w:eastAsia="宋体"/>
                                  <w:color w:val="C00000"/>
                                  <w:lang w:val="en-US" w:eastAsia="zh-CN"/>
                                </w:rPr>
                              </w:pPr>
                              <w:r>
                                <w:rPr>
                                  <w:rFonts w:ascii="Times New Roman" w:hAnsi="Times New Roman"/>
                                  <w:color w:val="C00000"/>
                                  <w:kern w:val="2"/>
                                  <w:sz w:val="21"/>
                                  <w:szCs w:val="21"/>
                                </w:rPr>
                                <w:t>S</w:t>
                              </w:r>
                              <w:r>
                                <w:rPr>
                                  <w:rFonts w:hint="eastAsia" w:ascii="Times New Roman" w:hAnsi="Times New Roman"/>
                                  <w:color w:val="C00000"/>
                                  <w:kern w:val="2"/>
                                  <w:sz w:val="21"/>
                                  <w:szCs w:val="21"/>
                                  <w:lang w:val="en-US" w:eastAsia="zh-CN"/>
                                </w:rPr>
                                <w:t>10</w:t>
                              </w:r>
                            </w:p>
                          </w:txbxContent>
                        </v:textbox>
                      </v:rect>
                      <v:rect id="_x0000_s1026" o:spid="_x0000_s1026" o:spt="1" style="position:absolute;left:1793240;top:1853912;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gDTN9cAAAAF&#10;AQAADwAAAAAAAAABACAAAAAiAAAAZHJzL2Rvd25yZXYueG1sUEsBAhQAFAAAAAgAh07iQFkDaJEd&#10;AgAAJQQAAA4AAAAAAAAAAQAgAAAAJgEAAGRycy9lMm9Eb2MueG1sUEsFBgAAAAAGAAYAWQEAALUF&#10;AAAAAA==&#10;">
                        <v:fill on="f" focussize="0,0"/>
                        <v:stroke on="f"/>
                        <v:imagedata o:title=""/>
                        <o:lock v:ext="edit" aspectratio="f"/>
                        <v:textbox>
                          <w:txbxContent>
                            <w:p w14:paraId="7178C2DD">
                              <w:pPr>
                                <w:pStyle w:val="22"/>
                                <w:spacing w:before="0" w:beforeAutospacing="0" w:after="0" w:afterAutospacing="0" w:line="280" w:lineRule="exact"/>
                                <w:jc w:val="center"/>
                                <w:rPr>
                                  <w:color w:val="C00000"/>
                                </w:rPr>
                              </w:pPr>
                              <w:r>
                                <w:rPr>
                                  <w:rFonts w:ascii="Times New Roman" w:hAnsi="Times New Roman"/>
                                  <w:color w:val="C00000"/>
                                  <w:kern w:val="2"/>
                                  <w:sz w:val="21"/>
                                  <w:szCs w:val="21"/>
                                </w:rPr>
                                <w:t>S</w:t>
                              </w:r>
                              <w:r>
                                <w:rPr>
                                  <w:rFonts w:hint="eastAsia" w:ascii="Times New Roman" w:hAnsi="Times New Roman"/>
                                  <w:color w:val="C00000"/>
                                  <w:kern w:val="2"/>
                                  <w:sz w:val="21"/>
                                  <w:szCs w:val="21"/>
                                </w:rPr>
                                <w:t>9</w:t>
                              </w:r>
                            </w:p>
                          </w:txbxContent>
                        </v:textbox>
                      </v:rect>
                      <v:rect id="_x0000_s1026" o:spid="_x0000_s1026" o:spt="1" style="position:absolute;left:796925;top:1790707;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ANM31wAA&#10;AAUBAAAPAAAAAAAAAAEAIAAAACIAAABkcnMvZG93bnJldi54bWxQSwECFAAUAAAACACHTuJAduOy&#10;0B8CAAAkBAAADgAAAAAAAAABACAAAAAmAQAAZHJzL2Uyb0RvYy54bWxQSwUGAAAAAAYABgBZAQAA&#10;twUAAAAA&#10;">
                        <v:fill on="f" focussize="0,0"/>
                        <v:stroke on="f"/>
                        <v:imagedata o:title=""/>
                        <o:lock v:ext="edit" aspectratio="f"/>
                        <v:textbox>
                          <w:txbxContent>
                            <w:p w14:paraId="610DF5C2">
                              <w:pPr>
                                <w:pStyle w:val="22"/>
                                <w:spacing w:before="0" w:beforeAutospacing="0" w:after="0" w:afterAutospacing="0" w:line="280" w:lineRule="exact"/>
                                <w:jc w:val="center"/>
                                <w:rPr>
                                  <w:rFonts w:hint="default" w:ascii="Times New Roman" w:hAnsi="Times New Roman" w:eastAsia="宋体" w:cs="Times New Roman"/>
                                  <w:color w:val="C00000"/>
                                  <w:lang w:val="en-US" w:eastAsia="zh-CN"/>
                                </w:rPr>
                              </w:pPr>
                              <w:r>
                                <w:rPr>
                                  <w:rFonts w:hint="default" w:ascii="Times New Roman" w:hAnsi="Times New Roman" w:cs="Times New Roman"/>
                                  <w:color w:val="C00000"/>
                                  <w:lang w:val="en-US" w:eastAsia="zh-CN"/>
                                </w:rPr>
                                <w:t>W4</w:t>
                              </w:r>
                            </w:p>
                          </w:txbxContent>
                        </v:textbox>
                      </v:rect>
                      <v:shape id="_x0000_s1026" o:spid="_x0000_s1026" o:spt="32" type="#_x0000_t32" style="position:absolute;left:262550;top:1619597;height:254635;width:635;" filled="f" stroked="t" coordsize="21600,21600" o:gfxdata="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OPz59YAAAAFAQAADwAAAAAAAAABACAAAAAiAAAAZHJzL2Rvd25yZXYueG1sUEsB&#10;AhQAFAAAAAgAh07iQJ/WnIswAgAAJQQAAA4AAAAAAAAAAQAgAAAAJQEAAGRycy9lMm9Eb2MueG1s&#10;UEsFBgAAAAAGAAYAWQEAAMcFAAAAAA==&#10;">
                        <v:fill on="f" focussize="0,0"/>
                        <v:stroke color="#C00000" joinstyle="round" dashstyle="3 1" endarrow="block"/>
                        <v:imagedata o:title=""/>
                        <o:lock v:ext="edit" aspectratio="f"/>
                      </v:shape>
                      <v:rect id="_x0000_s1026" o:spid="_x0000_s1026" o:spt="1" style="position:absolute;left:20955;top:1798955;height:267335;width:49403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A0zfXAAAABQEA&#10;AA8AAAAAAAAAAQAgAAAAIgAAAGRycy9kb3ducmV2LnhtbFBLAQIUABQAAAAIAIdO4kAiQZzTGwIA&#10;ACMEAAAOAAAAAAAAAAEAIAAAACYBAABkcnMvZTJvRG9jLnhtbFBLBQYAAAAABgAGAFkBAACzBQAA&#10;AAA=&#10;">
                        <v:fill on="f" focussize="0,0"/>
                        <v:stroke on="f"/>
                        <v:imagedata o:title=""/>
                        <o:lock v:ext="edit" aspectratio="f"/>
                        <v:textbox>
                          <w:txbxContent>
                            <w:p w14:paraId="4BD8D1D6">
                              <w:pPr>
                                <w:pStyle w:val="22"/>
                                <w:spacing w:before="0" w:beforeAutospacing="0" w:after="0" w:afterAutospacing="0" w:line="280" w:lineRule="exact"/>
                                <w:jc w:val="center"/>
                                <w:rPr>
                                  <w:rFonts w:hint="eastAsia" w:eastAsia="宋体"/>
                                  <w:color w:val="C00000"/>
                                  <w:lang w:eastAsia="zh-CN"/>
                                </w:rPr>
                              </w:pPr>
                              <w:r>
                                <w:rPr>
                                  <w:rFonts w:ascii="Times New Roman" w:hAnsi="Times New Roman"/>
                                  <w:color w:val="C00000"/>
                                  <w:kern w:val="2"/>
                                  <w:sz w:val="21"/>
                                  <w:szCs w:val="21"/>
                                </w:rPr>
                                <w:t>S</w:t>
                              </w:r>
                              <w:r>
                                <w:rPr>
                                  <w:rFonts w:hint="eastAsia" w:ascii="Times New Roman" w:hAnsi="Times New Roman"/>
                                  <w:color w:val="C00000"/>
                                  <w:kern w:val="2"/>
                                  <w:sz w:val="21"/>
                                  <w:szCs w:val="21"/>
                                  <w:lang w:val="en-US" w:eastAsia="zh-CN"/>
                                </w:rPr>
                                <w:t>8</w:t>
                              </w:r>
                            </w:p>
                          </w:txbxContent>
                        </v:textbox>
                      </v:rect>
                      <v:rect id="_x0000_s1026" o:spid="_x0000_s1026" o:spt="1" style="position:absolute;left:2735580;top:19692;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gDTN9cAAAAF&#10;AQAADwAAAAAAAAABACAAAAAiAAAAZHJzL2Rvd25yZXYueG1sUEsBAhQAFAAAAAgAh07iQP1qZb8d&#10;AgAAIwQAAA4AAAAAAAAAAQAgAAAAJgEAAGRycy9lMm9Eb2MueG1sUEsFBgAAAAAGAAYAWQEAALUF&#10;AAAAAA==&#10;">
                        <v:fill on="f" focussize="0,0"/>
                        <v:stroke on="f"/>
                        <v:imagedata o:title=""/>
                        <o:lock v:ext="edit" aspectratio="f"/>
                        <v:textbox>
                          <w:txbxContent>
                            <w:p w14:paraId="0B54B97E">
                              <w:pPr>
                                <w:pStyle w:val="22"/>
                                <w:spacing w:before="0" w:beforeAutospacing="0" w:after="0" w:afterAutospacing="0" w:line="280" w:lineRule="exact"/>
                                <w:jc w:val="center"/>
                                <w:rPr>
                                  <w:color w:val="C00000"/>
                                </w:rPr>
                              </w:pPr>
                              <w:r>
                                <w:rPr>
                                  <w:rFonts w:hint="eastAsia" w:ascii="Times New Roman" w:hAnsi="Times New Roman"/>
                                  <w:color w:val="C00000"/>
                                  <w:kern w:val="2"/>
                                  <w:sz w:val="21"/>
                                  <w:szCs w:val="21"/>
                                </w:rPr>
                                <w:t>N</w:t>
                              </w:r>
                            </w:p>
                          </w:txbxContent>
                        </v:textbox>
                      </v:rect>
                      <v:rect id="_x0000_s1026" o:spid="_x0000_s1026" o:spt="1" style="position:absolute;left:3602990;top:12027;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gDTN9cAAAAF&#10;AQAADwAAAAAAAAABACAAAAAiAAAAZHJzL2Rvd25yZXYueG1sUEsBAhQAFAAAAAgAh07iQKM22cMd&#10;AgAAIwQAAA4AAAAAAAAAAQAgAAAAJgEAAGRycy9lMm9Eb2MueG1sUEsFBgAAAAAGAAYAWQEAALUF&#10;AAAAAA==&#10;">
                        <v:fill on="f" focussize="0,0"/>
                        <v:stroke on="f"/>
                        <v:imagedata o:title=""/>
                        <o:lock v:ext="edit" aspectratio="f"/>
                        <v:textbox>
                          <w:txbxContent>
                            <w:p w14:paraId="3085971A">
                              <w:pPr>
                                <w:pStyle w:val="22"/>
                                <w:spacing w:before="0" w:beforeAutospacing="0" w:after="0" w:afterAutospacing="0" w:line="280" w:lineRule="exact"/>
                                <w:jc w:val="center"/>
                                <w:rPr>
                                  <w:color w:val="C00000"/>
                                </w:rPr>
                              </w:pPr>
                              <w:r>
                                <w:rPr>
                                  <w:rFonts w:ascii="Times New Roman" w:hAnsi="Times New Roman"/>
                                  <w:color w:val="C00000"/>
                                  <w:kern w:val="2"/>
                                  <w:sz w:val="21"/>
                                  <w:szCs w:val="21"/>
                                </w:rPr>
                                <w:t>N</w:t>
                              </w:r>
                            </w:p>
                          </w:txbxContent>
                        </v:textbox>
                      </v:rect>
                      <v:rect id="_x0000_s1026" o:spid="_x0000_s1026" o:spt="1" style="position:absolute;left:4373880;top:2842;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ANM31wAAAAUB&#10;AAAPAAAAAAAAAAEAIAAAACIAAABkcnMvZG93bnJldi54bWxQSwECFAAUAAAACACHTuJA6O/AQBwC&#10;AAAiBAAADgAAAAAAAAABACAAAAAmAQAAZHJzL2Uyb0RvYy54bWxQSwUGAAAAAAYABgBZAQAAtAUA&#10;AAAA&#10;">
                        <v:fill on="f" focussize="0,0"/>
                        <v:stroke on="f"/>
                        <v:imagedata o:title=""/>
                        <o:lock v:ext="edit" aspectratio="f"/>
                        <v:textbox>
                          <w:txbxContent>
                            <w:p w14:paraId="2250C110">
                              <w:pPr>
                                <w:pStyle w:val="22"/>
                                <w:spacing w:before="0" w:beforeAutospacing="0" w:after="0" w:afterAutospacing="0" w:line="280" w:lineRule="exact"/>
                                <w:jc w:val="center"/>
                                <w:rPr>
                                  <w:color w:val="C00000"/>
                                </w:rPr>
                              </w:pPr>
                              <w:r>
                                <w:rPr>
                                  <w:rFonts w:ascii="Times New Roman" w:hAnsi="Times New Roman"/>
                                  <w:color w:val="C00000"/>
                                  <w:kern w:val="2"/>
                                  <w:sz w:val="21"/>
                                  <w:szCs w:val="21"/>
                                </w:rPr>
                                <w:t>N</w:t>
                              </w:r>
                            </w:p>
                          </w:txbxContent>
                        </v:textbox>
                      </v:rect>
                      <v:rect id="_x0000_s1026" o:spid="_x0000_s1026" o:spt="1" style="position:absolute;left:2331085;top:2141567;height:430530;width:262509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KANM31wAA&#10;AAUBAAAPAAAAAAAAAAEAIAAAACIAAABkcnMvZG93bnJldi54bWxQSwECFAAUAAAACACHTuJAlyNo&#10;8R8CAAAmBAAADgAAAAAAAAABACAAAAAmAQAAZHJzL2Uyb0RvYy54bWxQSwUGAAAAAAYABgBZAQAA&#10;twUAAAAA&#10;">
                        <v:fill on="f" focussize="0,0"/>
                        <v:stroke on="f"/>
                        <v:imagedata o:title=""/>
                        <o:lock v:ext="edit" aspectratio="f"/>
                        <v:textbox>
                          <w:txbxContent>
                            <w:p w14:paraId="1D668EF9">
                              <w:pPr>
                                <w:pStyle w:val="22"/>
                                <w:spacing w:before="0" w:beforeAutospacing="0" w:after="0" w:afterAutospacing="0" w:line="280" w:lineRule="exact"/>
                              </w:pPr>
                              <w:r>
                                <w:rPr>
                                  <w:rFonts w:ascii="Times New Roman" w:hAnsi="Times New Roman"/>
                                  <w:kern w:val="2"/>
                                  <w:sz w:val="21"/>
                                  <w:szCs w:val="21"/>
                                </w:rPr>
                                <w:t>图例：</w:t>
                              </w:r>
                            </w:p>
                            <w:p w14:paraId="77870AC9">
                              <w:pPr>
                                <w:pStyle w:val="22"/>
                                <w:spacing w:before="0" w:beforeAutospacing="0" w:after="0" w:afterAutospacing="0" w:line="280" w:lineRule="exact"/>
                                <w:rPr>
                                  <w:color w:val="C00000"/>
                                </w:rPr>
                              </w:pPr>
                              <w:r>
                                <w:rPr>
                                  <w:rFonts w:ascii="Times New Roman" w:hAnsi="Times New Roman"/>
                                  <w:color w:val="C00000"/>
                                  <w:kern w:val="2"/>
                                  <w:sz w:val="21"/>
                                  <w:szCs w:val="21"/>
                                </w:rPr>
                                <w:t>G：废气；S：固废；W：废水；N：噪声</w:t>
                              </w:r>
                            </w:p>
                          </w:txbxContent>
                        </v:textbox>
                      </v:rect>
                      <v:shape id="_x0000_s1026" o:spid="_x0000_s1026" o:spt="32" type="#_x0000_t32" style="position:absolute;left:2055495;top:887095;flip:x;height:117475;width:2540;" filled="f" stroked="t" coordsize="21600,21600" o:gfxdata="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hQaJ3UAAAABQEAAA8AAAAAAAAAAQAgAAAAIgAAAGRycy9kb3ducmV2Lnht&#10;bFBLAQIUABQAAAAIAIdO4kDppiDNNgIAACwEAAAOAAAAAAAAAAEAIAAAACMBAABkcnMvZTJvRG9j&#10;LnhtbFBLBQYAAAAABgAGAFkBAADLBQAAAAA=&#10;">
                        <v:fill on="f" focussize="0,0"/>
                        <v:stroke color="#C00000" joinstyle="round" dashstyle="3 1" endarrow="block"/>
                        <v:imagedata o:title=""/>
                        <o:lock v:ext="edit" aspectratio="f"/>
                      </v:shape>
                      <v:rect id="_x0000_s1026" o:spid="_x0000_s1026" o:spt="1" style="position:absolute;left:1854200;top:963295;height:243205;width:423545;"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oA0zfXAAAA&#10;BQEAAA8AAAAAAAAAAQAgAAAAIgAAAGRycy9kb3ducmV2LnhtbFBLAQIUABQAAAAIAIdO4kAwGtMv&#10;HgIAACQEAAAOAAAAAAAAAAEAIAAAACYBAABkcnMvZTJvRG9jLnhtbFBLBQYAAAAABgAGAFkBAAC2&#10;BQAAAAA=&#10;">
                        <v:fill on="f" focussize="0,0"/>
                        <v:stroke on="f"/>
                        <v:imagedata o:title=""/>
                        <o:lock v:ext="edit" aspectratio="f"/>
                        <v:textbox>
                          <w:txbxContent>
                            <w:p w14:paraId="5E78D94E">
                              <w:pPr>
                                <w:pStyle w:val="22"/>
                                <w:spacing w:before="0" w:beforeAutospacing="0" w:after="0" w:afterAutospacing="0" w:line="280" w:lineRule="exact"/>
                                <w:jc w:val="center"/>
                                <w:rPr>
                                  <w:color w:val="C00000"/>
                                </w:rPr>
                              </w:pPr>
                              <w:r>
                                <w:rPr>
                                  <w:rFonts w:hint="eastAsia" w:ascii="Times New Roman"/>
                                  <w:color w:val="C00000"/>
                                  <w:kern w:val="2"/>
                                  <w:sz w:val="21"/>
                                  <w:szCs w:val="21"/>
                                </w:rPr>
                                <w:t>S9</w:t>
                              </w:r>
                            </w:p>
                          </w:txbxContent>
                        </v:textbox>
                      </v:rect>
                      <v:rect id="_x0000_s1026" o:spid="_x0000_s1026" o:spt="1" style="position:absolute;left:2821305;top:824865;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gDTN9cAAAAF&#10;AQAADwAAAAAAAAABACAAAAAiAAAAZHJzL2Rvd25yZXYueG1sUEsBAhQAFAAAAAgAh07iQK2FoPQd&#10;AgAAIAQAAA4AAAAAAAAAAQAgAAAAJgEAAGRycy9lMm9Eb2MueG1sUEsFBgAAAAAGAAYAWQEAALUF&#10;AAAAAA==&#10;">
                        <v:fill on="f" focussize="0,0"/>
                        <v:stroke on="f"/>
                        <v:imagedata o:title=""/>
                        <o:lock v:ext="edit" aspectratio="f"/>
                        <v:textbox>
                          <w:txbxContent>
                            <w:p w14:paraId="656567A8">
                              <w:pPr>
                                <w:pStyle w:val="22"/>
                                <w:spacing w:before="0" w:beforeAutospacing="0" w:after="0" w:afterAutospacing="0" w:line="280" w:lineRule="exact"/>
                                <w:jc w:val="center"/>
                                <w:rPr>
                                  <w:color w:val="C00000"/>
                                </w:rPr>
                              </w:pPr>
                              <w:r>
                                <w:rPr>
                                  <w:rFonts w:hint="eastAsia" w:ascii="Times New Roman" w:hAnsi="Times New Roman"/>
                                  <w:color w:val="C00000"/>
                                  <w:kern w:val="2"/>
                                  <w:sz w:val="21"/>
                                  <w:szCs w:val="21"/>
                                </w:rPr>
                                <w:t>N</w:t>
                              </w:r>
                            </w:p>
                          </w:txbxContent>
                        </v:textbox>
                      </v:rect>
                      <v:shape id="_x0000_s1026" o:spid="_x0000_s1026" o:spt="32" type="#_x0000_t32" style="position:absolute;left:3028950;top:1038225;flip:y;height:172085;width:2540;" filled="f" stroked="t" coordsize="21600,21600" o:gfxdata="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hQaJ3UAAAABQEAAA8AAAAAAAAAAQAgAAAAIgAAAGRycy9kb3ducmV2LnhtbFBL&#10;AQIUABQAAAAIAIdO4kDJeVr8MwIAAC0EAAAOAAAAAAAAAAEAIAAAACMBAABkcnMvZTJvRG9jLnht&#10;bFBLBQYAAAAABgAGAFkBAADIBQAAAAA=&#10;">
                        <v:fill on="f" focussize="0,0"/>
                        <v:stroke color="#C00000" joinstyle="round" dashstyle="3 1" endarrow="block"/>
                        <v:imagedata o:title=""/>
                        <o:lock v:ext="edit" aspectratio="f"/>
                      </v:shape>
                      <v:shape id="_x0000_s1026" o:spid="_x0000_s1026" o:spt="32" type="#_x0000_t32" style="position:absolute;left:4777105;top:1036955;flip:y;height:172085;width:2540;" filled="f" stroked="t" coordsize="21600,21600" o:gfxdata="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4UGid1AAAAAUBAAAPAAAAAAAAAAEAIAAAACIAAABkcnMvZG93bnJldi54&#10;bWxQSwECFAAUAAAACACHTuJAL4O3UzcCAAAtBAAADgAAAAAAAAABACAAAAAjAQAAZHJzL2Uyb0Rv&#10;Yy54bWxQSwUGAAAAAAYABgBZAQAAzAUAAAAA&#10;">
                        <v:fill on="f" focussize="0,0"/>
                        <v:stroke color="#C00000" joinstyle="round" dashstyle="3 1" endarrow="block"/>
                        <v:imagedata o:title=""/>
                        <o:lock v:ext="edit" aspectratio="f"/>
                      </v:shape>
                      <v:rect id="_x0000_s1026" o:spid="_x0000_s1026" o:spt="1" style="position:absolute;left:4565015;top:816610;height:267335;width:422910;" filled="f" stroked="f" coordsize="21600,21600" o:gfxdata="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A0zfXAAAABQEA&#10;AA8AAAAAAAAAAQAgAAAAIgAAAGRycy9kb3ducmV2LnhtbFBLAQIUABQAAAAIAIdO4kCEc3E/GwIA&#10;ACAEAAAOAAAAAAAAAAEAIAAAACYBAABkcnMvZTJvRG9jLnhtbFBLBQYAAAAABgAGAFkBAACzBQAA&#10;AAA=&#10;">
                        <v:fill on="f" focussize="0,0"/>
                        <v:stroke on="f"/>
                        <v:imagedata o:title=""/>
                        <o:lock v:ext="edit" aspectratio="f"/>
                        <v:textbox>
                          <w:txbxContent>
                            <w:p w14:paraId="56B2CE14">
                              <w:pPr>
                                <w:pStyle w:val="22"/>
                                <w:spacing w:before="0" w:beforeAutospacing="0" w:after="0" w:afterAutospacing="0" w:line="280" w:lineRule="exact"/>
                                <w:jc w:val="center"/>
                                <w:rPr>
                                  <w:color w:val="C00000"/>
                                </w:rPr>
                              </w:pPr>
                              <w:r>
                                <w:rPr>
                                  <w:rFonts w:ascii="Times New Roman" w:hAnsi="Times New Roman"/>
                                  <w:color w:val="C00000"/>
                                  <w:kern w:val="2"/>
                                  <w:sz w:val="21"/>
                                  <w:szCs w:val="21"/>
                                </w:rPr>
                                <w:t>N</w:t>
                              </w:r>
                            </w:p>
                          </w:txbxContent>
                        </v:textbox>
                      </v:rect>
                      <w10:wrap type="none"/>
                      <w10:anchorlock/>
                    </v:group>
                  </w:pict>
                </mc:Fallback>
              </mc:AlternateContent>
            </w:r>
          </w:p>
          <w:p w14:paraId="0634BC20">
            <w:pPr>
              <w:pStyle w:val="86"/>
              <w:keepNext w:val="0"/>
              <w:keepLines w:val="0"/>
              <w:suppressLineNumbers w:val="0"/>
              <w:bidi w:val="0"/>
              <w:spacing w:before="0" w:beforeAutospacing="0" w:after="0" w:afterAutospacing="0"/>
              <w:ind w:left="0" w:right="0"/>
              <w:rPr>
                <w:rFonts w:hint="eastAsia"/>
                <w:color w:val="auto"/>
                <w:sz w:val="26"/>
                <w:szCs w:val="26"/>
                <w:highlight w:val="none"/>
              </w:rPr>
            </w:pPr>
            <w:r>
              <w:rPr>
                <w:rFonts w:hint="eastAsia"/>
                <w:color w:val="auto"/>
                <w:sz w:val="26"/>
                <w:szCs w:val="26"/>
                <w:highlight w:val="none"/>
              </w:rPr>
              <w:t>图</w:t>
            </w:r>
            <w:r>
              <w:rPr>
                <w:rFonts w:hint="default"/>
                <w:color w:val="auto"/>
                <w:sz w:val="26"/>
                <w:szCs w:val="26"/>
                <w:highlight w:val="none"/>
              </w:rPr>
              <w:t>2</w:t>
            </w:r>
            <w:r>
              <w:rPr>
                <w:rFonts w:hint="eastAsia"/>
                <w:color w:val="auto"/>
                <w:sz w:val="26"/>
                <w:szCs w:val="26"/>
                <w:highlight w:val="none"/>
                <w:lang w:val="en-US" w:eastAsia="zh-CN"/>
              </w:rPr>
              <w:t xml:space="preserve">.7-3 </w:t>
            </w:r>
            <w:r>
              <w:rPr>
                <w:rFonts w:hint="eastAsia"/>
                <w:color w:val="auto"/>
                <w:sz w:val="26"/>
                <w:szCs w:val="26"/>
                <w:highlight w:val="none"/>
              </w:rPr>
              <w:t xml:space="preserve"> 摩托车、电动车离合器总成装配工艺流程及产污节点图</w:t>
            </w:r>
          </w:p>
          <w:p w14:paraId="5BECAECD">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p>
          <w:p w14:paraId="4A514145">
            <w:pPr>
              <w:pStyle w:val="74"/>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default"/>
                <w:b/>
                <w:bCs/>
                <w:color w:val="auto"/>
                <w:highlight w:val="none"/>
                <w:lang w:val="en-US" w:eastAsia="zh-CN"/>
              </w:rPr>
              <w:t>工艺流程简述如下：</w:t>
            </w:r>
          </w:p>
          <w:p w14:paraId="4588EF2B">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（1）检查外观及主、从动片安装</w:t>
            </w:r>
          </w:p>
          <w:p w14:paraId="7E993D39">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将本项目生产的离合器摩擦片和其他外购的零部件按文件技术要求检验合格入库。检查合格后进行摩托车、电动车离合器总成的主、从动片安装，先将从动齿轮装于外罩上，将缓冲套压到后装盖板，再装上铆钉后，用自动数显齿轮双面啮合仪检验外罩和齿轮径向综合误差。</w:t>
            </w:r>
          </w:p>
          <w:p w14:paraId="17D8BDC4">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检查和主、从动片安装过程主要产生不合格零部件（S</w:t>
            </w:r>
            <w:r>
              <w:rPr>
                <w:rFonts w:hint="eastAsia"/>
                <w:color w:val="auto"/>
                <w:highlight w:val="none"/>
                <w:lang w:val="en-US" w:eastAsia="zh-CN"/>
              </w:rPr>
              <w:t>9</w:t>
            </w:r>
            <w:r>
              <w:rPr>
                <w:rFonts w:hint="default"/>
                <w:color w:val="auto"/>
                <w:highlight w:val="none"/>
                <w:lang w:val="en-US" w:eastAsia="zh-CN"/>
              </w:rPr>
              <w:t>）和设备噪声（N）。</w:t>
            </w:r>
          </w:p>
          <w:p w14:paraId="48F98401">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（2）压盘装配和升版安装</w:t>
            </w:r>
          </w:p>
          <w:p w14:paraId="0F64A88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主、从动片安装后，依次分别交错安装摩擦片、钢片和压盘等其他零部件，将以上组合件反面依次再装弹簧、升版。</w:t>
            </w:r>
          </w:p>
          <w:p w14:paraId="71B27CB4">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此过程主要产生设备噪声（N）。</w:t>
            </w:r>
          </w:p>
          <w:p w14:paraId="0CDE989E">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（3）螺丝拧入、检查和拧紧、以及性能检验</w:t>
            </w:r>
          </w:p>
          <w:p w14:paraId="323402EB">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将法兰面螺栓拧入、人工外观检验并气动紧固到上述组件等工序，完成离合器总成装配，将装配完成离合器进行外观检验、分离性检测、灵活性检测、同轴度等检测。</w:t>
            </w:r>
          </w:p>
          <w:p w14:paraId="79C0EF1B">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此过程主要产生设备噪声（N）、不合格零部件（S</w:t>
            </w:r>
            <w:r>
              <w:rPr>
                <w:rFonts w:hint="eastAsia"/>
                <w:color w:val="auto"/>
                <w:highlight w:val="none"/>
                <w:lang w:val="en-US" w:eastAsia="zh-CN"/>
              </w:rPr>
              <w:t>9</w:t>
            </w:r>
            <w:r>
              <w:rPr>
                <w:rFonts w:hint="default"/>
                <w:color w:val="auto"/>
                <w:highlight w:val="none"/>
                <w:lang w:val="en-US" w:eastAsia="zh-CN"/>
              </w:rPr>
              <w:t>）和不合格产品（S</w:t>
            </w:r>
            <w:r>
              <w:rPr>
                <w:rFonts w:hint="eastAsia"/>
                <w:color w:val="auto"/>
                <w:highlight w:val="none"/>
                <w:lang w:val="en-US" w:eastAsia="zh-CN"/>
              </w:rPr>
              <w:t>10</w:t>
            </w:r>
            <w:r>
              <w:rPr>
                <w:rFonts w:hint="default"/>
                <w:color w:val="auto"/>
                <w:highlight w:val="none"/>
                <w:lang w:val="en-US" w:eastAsia="zh-CN"/>
              </w:rPr>
              <w:t>）。</w:t>
            </w:r>
          </w:p>
          <w:p w14:paraId="3D1598A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（4）清洗、包装入库</w:t>
            </w:r>
          </w:p>
          <w:p w14:paraId="3A5B1DC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性能测试合格的离合器总成进入离合器清洗区利用清洗剂</w:t>
            </w:r>
            <w:r>
              <w:rPr>
                <w:rFonts w:hint="eastAsia"/>
                <w:color w:val="auto"/>
                <w:highlight w:val="none"/>
                <w:lang w:val="en-US" w:eastAsia="zh-CN"/>
              </w:rPr>
              <w:t>在超声波清洗机中</w:t>
            </w:r>
            <w:r>
              <w:rPr>
                <w:rFonts w:hint="default"/>
                <w:color w:val="auto"/>
                <w:highlight w:val="none"/>
                <w:lang w:val="en-US" w:eastAsia="zh-CN"/>
              </w:rPr>
              <w:t>进行</w:t>
            </w:r>
            <w:r>
              <w:rPr>
                <w:rFonts w:hint="eastAsia"/>
                <w:color w:val="auto"/>
                <w:highlight w:val="none"/>
                <w:lang w:val="en-US" w:eastAsia="zh-CN"/>
              </w:rPr>
              <w:t>一级</w:t>
            </w:r>
            <w:r>
              <w:rPr>
                <w:rFonts w:hint="default"/>
                <w:color w:val="auto"/>
                <w:highlight w:val="none"/>
                <w:lang w:val="en-US" w:eastAsia="zh-CN"/>
              </w:rPr>
              <w:t>清洗，清洗剂主要去除表面油渍，与水1:20溶解后使用。清洁擦拭后与其余小件、碟形垫圈、轴承、分离轴套、分离杆等利用打包机装箱打包。</w:t>
            </w:r>
          </w:p>
          <w:p w14:paraId="105C0FAD">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该过程主要产生离合器总成表面清洗产生的清洗</w:t>
            </w:r>
            <w:r>
              <w:rPr>
                <w:rFonts w:hint="eastAsia"/>
                <w:color w:val="auto"/>
                <w:highlight w:val="none"/>
                <w:lang w:val="en-US" w:eastAsia="zh-CN"/>
              </w:rPr>
              <w:t>废水</w:t>
            </w:r>
            <w:r>
              <w:rPr>
                <w:rFonts w:hint="default"/>
                <w:color w:val="auto"/>
                <w:highlight w:val="none"/>
                <w:lang w:val="en-US" w:eastAsia="zh-CN"/>
              </w:rPr>
              <w:t>（</w:t>
            </w:r>
            <w:r>
              <w:rPr>
                <w:rFonts w:hint="eastAsia"/>
                <w:color w:val="auto"/>
                <w:highlight w:val="none"/>
                <w:lang w:val="en-US" w:eastAsia="zh-CN"/>
              </w:rPr>
              <w:t>W4</w:t>
            </w:r>
            <w:r>
              <w:rPr>
                <w:rFonts w:hint="default"/>
                <w:color w:val="auto"/>
                <w:highlight w:val="none"/>
                <w:lang w:val="en-US" w:eastAsia="zh-CN"/>
              </w:rPr>
              <w:t>）和废包装材料（S</w:t>
            </w:r>
            <w:r>
              <w:rPr>
                <w:rFonts w:hint="eastAsia"/>
                <w:color w:val="auto"/>
                <w:highlight w:val="none"/>
                <w:lang w:val="en-US" w:eastAsia="zh-CN"/>
              </w:rPr>
              <w:t>8</w:t>
            </w:r>
            <w:r>
              <w:rPr>
                <w:rFonts w:hint="default"/>
                <w:color w:val="auto"/>
                <w:highlight w:val="none"/>
                <w:lang w:val="en-US" w:eastAsia="zh-CN"/>
              </w:rPr>
              <w:t>）。</w:t>
            </w:r>
          </w:p>
          <w:p w14:paraId="39FF325F">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摩托车、电动车离合器总成装配过程不涉及焊接工艺。</w:t>
            </w:r>
          </w:p>
          <w:p w14:paraId="6B28487C">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另外，企业生产设备在加工和维修过程中以及模具维修过程中主要产生噪声</w:t>
            </w:r>
            <w:r>
              <w:rPr>
                <w:rFonts w:hint="eastAsia"/>
                <w:color w:val="auto"/>
                <w:highlight w:val="none"/>
                <w:lang w:val="en-US" w:eastAsia="zh-CN"/>
              </w:rPr>
              <w:t>（N）</w:t>
            </w:r>
            <w:r>
              <w:rPr>
                <w:rFonts w:hint="default"/>
                <w:color w:val="auto"/>
                <w:highlight w:val="none"/>
                <w:lang w:val="en-US" w:eastAsia="zh-CN"/>
              </w:rPr>
              <w:t>、</w:t>
            </w:r>
            <w:r>
              <w:rPr>
                <w:rFonts w:hint="eastAsia"/>
                <w:color w:val="auto"/>
                <w:highlight w:val="none"/>
                <w:lang w:val="en-US" w:eastAsia="zh-CN"/>
              </w:rPr>
              <w:t>含油棉纱手套（S11）、</w:t>
            </w:r>
            <w:r>
              <w:rPr>
                <w:rFonts w:hint="default"/>
                <w:color w:val="auto"/>
                <w:highlight w:val="none"/>
                <w:lang w:val="en-US" w:eastAsia="zh-CN"/>
              </w:rPr>
              <w:t>废机油</w:t>
            </w:r>
            <w:r>
              <w:rPr>
                <w:rFonts w:hint="eastAsia"/>
                <w:color w:val="auto"/>
                <w:highlight w:val="none"/>
                <w:lang w:val="en-US" w:eastAsia="zh-CN"/>
              </w:rPr>
              <w:t>（S12）、</w:t>
            </w:r>
            <w:r>
              <w:rPr>
                <w:rFonts w:hint="default"/>
                <w:color w:val="auto"/>
                <w:highlight w:val="none"/>
                <w:lang w:val="en-US" w:eastAsia="zh-CN"/>
              </w:rPr>
              <w:t>废液压油</w:t>
            </w:r>
            <w:r>
              <w:rPr>
                <w:rFonts w:hint="eastAsia"/>
                <w:color w:val="auto"/>
                <w:highlight w:val="none"/>
                <w:lang w:val="en-US" w:eastAsia="zh-CN"/>
              </w:rPr>
              <w:t>（S13）、废油桶（S14）</w:t>
            </w:r>
            <w:r>
              <w:rPr>
                <w:rFonts w:hint="default"/>
                <w:color w:val="auto"/>
                <w:highlight w:val="none"/>
                <w:lang w:val="en-US" w:eastAsia="zh-CN"/>
              </w:rPr>
              <w:t>等</w:t>
            </w:r>
            <w:r>
              <w:rPr>
                <w:rFonts w:hint="eastAsia"/>
                <w:color w:val="auto"/>
                <w:highlight w:val="none"/>
                <w:lang w:val="en-US" w:eastAsia="zh-CN"/>
              </w:rPr>
              <w:t>，空压机运行过程中产生含油冷凝水（S18）；此外，危险废物贮存库可能有少量的废气产生G6（粉尘、非甲烷总烃）</w:t>
            </w:r>
            <w:r>
              <w:rPr>
                <w:rFonts w:hint="default"/>
                <w:color w:val="auto"/>
                <w:highlight w:val="none"/>
                <w:lang w:val="en-US" w:eastAsia="zh-CN"/>
              </w:rPr>
              <w:t>。</w:t>
            </w:r>
          </w:p>
          <w:p w14:paraId="767DA095">
            <w:pPr>
              <w:keepNext w:val="0"/>
              <w:keepLines w:val="0"/>
              <w:suppressLineNumbers w:val="0"/>
              <w:tabs>
                <w:tab w:val="left" w:pos="9127"/>
              </w:tabs>
              <w:spacing w:before="0" w:beforeAutospacing="0" w:after="0" w:afterAutospacing="0" w:line="400" w:lineRule="exact"/>
              <w:ind w:left="0" w:right="0" w:firstLine="522" w:firstLineChars="200"/>
              <w:rPr>
                <w:rFonts w:hint="default"/>
                <w:b/>
                <w:color w:val="auto"/>
                <w:sz w:val="26"/>
                <w:szCs w:val="26"/>
                <w:highlight w:val="none"/>
              </w:rPr>
            </w:pPr>
            <w:r>
              <w:rPr>
                <w:rFonts w:hint="eastAsia"/>
                <w:b/>
                <w:color w:val="auto"/>
                <w:sz w:val="26"/>
                <w:szCs w:val="26"/>
                <w:highlight w:val="none"/>
              </w:rPr>
              <w:t>2</w:t>
            </w:r>
            <w:r>
              <w:rPr>
                <w:rFonts w:hint="default"/>
                <w:b/>
                <w:color w:val="auto"/>
                <w:sz w:val="26"/>
                <w:szCs w:val="26"/>
                <w:highlight w:val="none"/>
              </w:rPr>
              <w:t>.7.3</w:t>
            </w:r>
            <w:r>
              <w:rPr>
                <w:rFonts w:hint="eastAsia"/>
                <w:b/>
                <w:color w:val="auto"/>
                <w:sz w:val="26"/>
                <w:szCs w:val="26"/>
                <w:highlight w:val="none"/>
              </w:rPr>
              <w:t>主要污染工序汇总</w:t>
            </w:r>
          </w:p>
          <w:p w14:paraId="1D82E226">
            <w:pPr>
              <w:keepNext w:val="0"/>
              <w:keepLines w:val="0"/>
              <w:suppressLineNumbers w:val="0"/>
              <w:tabs>
                <w:tab w:val="left" w:pos="9127"/>
              </w:tabs>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项目运营期主要污染工序汇总于下表。</w:t>
            </w:r>
          </w:p>
          <w:p w14:paraId="58BD04C7">
            <w:pPr>
              <w:pStyle w:val="50"/>
              <w:keepNext w:val="0"/>
              <w:keepLines w:val="0"/>
              <w:suppressLineNumbers w:val="0"/>
              <w:spacing w:before="0" w:beforeAutospacing="0" w:after="0" w:afterAutospacing="0"/>
              <w:ind w:left="0" w:right="0"/>
              <w:rPr>
                <w:rFonts w:hint="default"/>
                <w:color w:val="auto"/>
                <w:highlight w:val="none"/>
              </w:rPr>
            </w:pPr>
          </w:p>
          <w:p w14:paraId="7D9C91F0">
            <w:pPr>
              <w:keepNext w:val="0"/>
              <w:keepLines w:val="0"/>
              <w:suppressLineNumbers w:val="0"/>
              <w:tabs>
                <w:tab w:val="left" w:pos="9127"/>
              </w:tabs>
              <w:spacing w:before="0" w:beforeAutospacing="0" w:after="0" w:afterAutospacing="0"/>
              <w:ind w:left="0" w:right="0" w:firstLine="520" w:firstLineChars="200"/>
              <w:jc w:val="center"/>
              <w:rPr>
                <w:rFonts w:hint="eastAsia"/>
                <w:color w:val="auto"/>
                <w:sz w:val="26"/>
                <w:szCs w:val="26"/>
                <w:highlight w:val="none"/>
              </w:rPr>
            </w:pPr>
            <w:r>
              <w:rPr>
                <w:rFonts w:hint="eastAsia"/>
                <w:color w:val="auto"/>
                <w:sz w:val="26"/>
                <w:szCs w:val="26"/>
                <w:highlight w:val="none"/>
              </w:rPr>
              <w:t>表2</w:t>
            </w:r>
            <w:r>
              <w:rPr>
                <w:rFonts w:hint="default"/>
                <w:color w:val="auto"/>
                <w:sz w:val="26"/>
                <w:szCs w:val="26"/>
                <w:highlight w:val="none"/>
              </w:rPr>
              <w:t xml:space="preserve">.7-1 </w:t>
            </w:r>
            <w:r>
              <w:rPr>
                <w:rFonts w:hint="eastAsia"/>
                <w:color w:val="auto"/>
                <w:sz w:val="26"/>
                <w:szCs w:val="26"/>
                <w:highlight w:val="none"/>
              </w:rPr>
              <w:t>项目运营期主要产污环节一览表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86"/>
              <w:gridCol w:w="1218"/>
              <w:gridCol w:w="1619"/>
              <w:gridCol w:w="3835"/>
            </w:tblGrid>
            <w:tr w14:paraId="238B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Align w:val="center"/>
                </w:tcPr>
                <w:p w14:paraId="753C0386">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类别</w:t>
                  </w:r>
                </w:p>
              </w:tc>
              <w:tc>
                <w:tcPr>
                  <w:tcW w:w="1586" w:type="dxa"/>
                  <w:vAlign w:val="center"/>
                </w:tcPr>
                <w:p w14:paraId="3B51D48B">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产污节点</w:t>
                  </w:r>
                </w:p>
              </w:tc>
              <w:tc>
                <w:tcPr>
                  <w:tcW w:w="1218" w:type="dxa"/>
                  <w:vAlign w:val="center"/>
                </w:tcPr>
                <w:p w14:paraId="64AD50AB">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产污工序</w:t>
                  </w:r>
                </w:p>
              </w:tc>
              <w:tc>
                <w:tcPr>
                  <w:tcW w:w="1619" w:type="dxa"/>
                  <w:vAlign w:val="center"/>
                </w:tcPr>
                <w:p w14:paraId="21756227">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污染物</w:t>
                  </w:r>
                </w:p>
              </w:tc>
              <w:tc>
                <w:tcPr>
                  <w:tcW w:w="3835" w:type="dxa"/>
                  <w:vAlign w:val="center"/>
                </w:tcPr>
                <w:p w14:paraId="16422B1E">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治理措施</w:t>
                  </w:r>
                </w:p>
              </w:tc>
            </w:tr>
            <w:tr w14:paraId="3924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restart"/>
                  <w:vAlign w:val="center"/>
                </w:tcPr>
                <w:p w14:paraId="42190E2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b/>
                      <w:bCs/>
                      <w:color w:val="auto"/>
                      <w:highlight w:val="none"/>
                    </w:rPr>
                    <w:t>废气G</w:t>
                  </w:r>
                </w:p>
              </w:tc>
              <w:tc>
                <w:tcPr>
                  <w:tcW w:w="1586" w:type="dxa"/>
                  <w:vAlign w:val="center"/>
                </w:tcPr>
                <w:p w14:paraId="6ACD8A7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G1</w:t>
                  </w:r>
                </w:p>
              </w:tc>
              <w:tc>
                <w:tcPr>
                  <w:tcW w:w="1218" w:type="dxa"/>
                  <w:vAlign w:val="center"/>
                </w:tcPr>
                <w:p w14:paraId="637F13C7">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热熔</w:t>
                  </w:r>
                  <w:r>
                    <w:rPr>
                      <w:rFonts w:hint="eastAsia"/>
                      <w:color w:val="auto"/>
                      <w:highlight w:val="none"/>
                      <w:lang w:eastAsia="zh-CN"/>
                    </w:rPr>
                    <w:t>、</w:t>
                  </w:r>
                  <w:r>
                    <w:rPr>
                      <w:rFonts w:hint="eastAsia"/>
                      <w:color w:val="auto"/>
                      <w:highlight w:val="none"/>
                      <w:lang w:val="en-US" w:eastAsia="zh-CN"/>
                    </w:rPr>
                    <w:t>除渣</w:t>
                  </w:r>
                </w:p>
              </w:tc>
              <w:tc>
                <w:tcPr>
                  <w:tcW w:w="1619" w:type="dxa"/>
                  <w:vAlign w:val="center"/>
                </w:tcPr>
                <w:p w14:paraId="3717750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烟尘</w:t>
                  </w:r>
                  <w:r>
                    <w:rPr>
                      <w:rFonts w:hint="eastAsia"/>
                      <w:color w:val="auto"/>
                      <w:highlight w:val="none"/>
                      <w:lang w:eastAsia="zh-CN"/>
                    </w:rPr>
                    <w:t>、</w:t>
                  </w:r>
                  <w:r>
                    <w:rPr>
                      <w:rFonts w:hint="eastAsia"/>
                      <w:color w:val="auto"/>
                      <w:highlight w:val="none"/>
                      <w:lang w:val="en-US" w:eastAsia="zh-CN"/>
                    </w:rPr>
                    <w:t>氯化氢</w:t>
                  </w:r>
                </w:p>
              </w:tc>
              <w:tc>
                <w:tcPr>
                  <w:tcW w:w="3835" w:type="dxa"/>
                  <w:vAlign w:val="center"/>
                </w:tcPr>
                <w:p w14:paraId="1722C80A">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经耐高温袋式除尘器处理后由</w:t>
                  </w:r>
                  <w:r>
                    <w:rPr>
                      <w:rFonts w:hint="eastAsia"/>
                      <w:color w:val="auto"/>
                      <w:highlight w:val="none"/>
                      <w:lang w:val="en-US" w:eastAsia="zh-CN"/>
                    </w:rPr>
                    <w:t>1根</w:t>
                  </w:r>
                  <w:r>
                    <w:rPr>
                      <w:rFonts w:hint="default"/>
                      <w:color w:val="auto"/>
                      <w:highlight w:val="none"/>
                    </w:rPr>
                    <w:t>15m高</w:t>
                  </w:r>
                  <w:r>
                    <w:rPr>
                      <w:rFonts w:hint="eastAsia"/>
                      <w:color w:val="auto"/>
                      <w:highlight w:val="none"/>
                      <w:lang w:val="en-US" w:eastAsia="zh-CN"/>
                    </w:rPr>
                    <w:t>DA001</w:t>
                  </w:r>
                  <w:r>
                    <w:rPr>
                      <w:rFonts w:hint="default"/>
                      <w:color w:val="auto"/>
                      <w:highlight w:val="none"/>
                    </w:rPr>
                    <w:t>排气筒排放</w:t>
                  </w:r>
                </w:p>
              </w:tc>
            </w:tr>
            <w:tr w14:paraId="5148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5A9E0964">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0E7221C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G2-1</w:t>
                  </w:r>
                </w:p>
              </w:tc>
              <w:tc>
                <w:tcPr>
                  <w:tcW w:w="1218" w:type="dxa"/>
                  <w:vAlign w:val="center"/>
                </w:tcPr>
                <w:p w14:paraId="7428E32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压铸脱模</w:t>
                  </w:r>
                </w:p>
              </w:tc>
              <w:tc>
                <w:tcPr>
                  <w:tcW w:w="1619" w:type="dxa"/>
                  <w:vAlign w:val="center"/>
                </w:tcPr>
                <w:p w14:paraId="75DD56D2">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非甲烷总烃</w:t>
                  </w:r>
                  <w:r>
                    <w:rPr>
                      <w:rFonts w:hint="eastAsia"/>
                      <w:color w:val="auto"/>
                      <w:highlight w:val="none"/>
                      <w:lang w:eastAsia="zh-CN"/>
                    </w:rPr>
                    <w:t>、</w:t>
                  </w:r>
                  <w:r>
                    <w:rPr>
                      <w:rFonts w:hint="eastAsia"/>
                      <w:color w:val="auto"/>
                      <w:highlight w:val="none"/>
                      <w:lang w:val="en-US" w:eastAsia="zh-CN"/>
                    </w:rPr>
                    <w:t>颗粒物、水蒸气</w:t>
                  </w:r>
                </w:p>
              </w:tc>
              <w:tc>
                <w:tcPr>
                  <w:tcW w:w="3835" w:type="dxa"/>
                  <w:vAlign w:val="center"/>
                </w:tcPr>
                <w:p w14:paraId="6AE8274A">
                  <w:pPr>
                    <w:pStyle w:val="86"/>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eastAsia"/>
                      <w:color w:val="auto"/>
                      <w:highlight w:val="none"/>
                    </w:rPr>
                    <w:t>压铸脱模产生的有机废气（以非甲烷总烃计）进入1套“过滤棉+</w:t>
                  </w:r>
                  <w:r>
                    <w:rPr>
                      <w:rFonts w:hint="eastAsia"/>
                      <w:color w:val="auto"/>
                      <w:highlight w:val="none"/>
                      <w:lang w:val="en-US" w:eastAsia="zh-CN"/>
                    </w:rPr>
                    <w:t>除湿装置+</w:t>
                  </w:r>
                  <w:r>
                    <w:rPr>
                      <w:rFonts w:hint="eastAsia"/>
                      <w:color w:val="auto"/>
                      <w:highlight w:val="none"/>
                    </w:rPr>
                    <w:t>两级活性炭吸附”处理</w:t>
                  </w:r>
                  <w:r>
                    <w:rPr>
                      <w:rFonts w:hint="eastAsia"/>
                      <w:color w:val="auto"/>
                      <w:highlight w:val="none"/>
                      <w:lang w:eastAsia="zh-CN"/>
                    </w:rPr>
                    <w:t>，经1根15m高的排气筒DA002有组织排放</w:t>
                  </w:r>
                </w:p>
              </w:tc>
            </w:tr>
            <w:tr w14:paraId="67C1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03BCA1C6">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4F18198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G2-2</w:t>
                  </w:r>
                </w:p>
              </w:tc>
              <w:tc>
                <w:tcPr>
                  <w:tcW w:w="1218" w:type="dxa"/>
                  <w:vAlign w:val="center"/>
                </w:tcPr>
                <w:p w14:paraId="2B67C1A9">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胶水配置、</w:t>
                  </w:r>
                  <w:r>
                    <w:rPr>
                      <w:rFonts w:hint="default"/>
                      <w:color w:val="auto"/>
                      <w:highlight w:val="none"/>
                    </w:rPr>
                    <w:t>浸胶</w:t>
                  </w:r>
                </w:p>
              </w:tc>
              <w:tc>
                <w:tcPr>
                  <w:tcW w:w="1619" w:type="dxa"/>
                  <w:vAlign w:val="center"/>
                </w:tcPr>
                <w:p w14:paraId="7E4AAC7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乙醇（非甲烷总烃计）</w:t>
                  </w:r>
                </w:p>
              </w:tc>
              <w:tc>
                <w:tcPr>
                  <w:tcW w:w="3835" w:type="dxa"/>
                  <w:vAlign w:val="center"/>
                </w:tcPr>
                <w:p w14:paraId="29857DF4">
                  <w:pPr>
                    <w:pStyle w:val="86"/>
                    <w:keepNext w:val="0"/>
                    <w:keepLines w:val="0"/>
                    <w:suppressLineNumbers w:val="0"/>
                    <w:bidi w:val="0"/>
                    <w:spacing w:before="0" w:beforeAutospacing="0" w:after="0" w:afterAutospacing="0"/>
                    <w:ind w:left="0" w:right="0"/>
                    <w:jc w:val="both"/>
                    <w:rPr>
                      <w:rFonts w:hint="eastAsia" w:eastAsia="宋体"/>
                      <w:color w:val="auto"/>
                      <w:highlight w:val="none"/>
                      <w:lang w:eastAsia="zh-CN"/>
                    </w:rPr>
                  </w:pPr>
                  <w:r>
                    <w:rPr>
                      <w:rFonts w:hint="eastAsia"/>
                      <w:color w:val="auto"/>
                      <w:highlight w:val="none"/>
                      <w:lang w:eastAsia="zh-CN"/>
                    </w:rPr>
                    <w:t>浸胶废气（主要成分为乙醇，以非甲烷总烃计）进入一套水喷淋塔处理，</w:t>
                  </w:r>
                  <w:r>
                    <w:rPr>
                      <w:rFonts w:hint="eastAsia"/>
                      <w:color w:val="auto"/>
                      <w:highlight w:val="none"/>
                    </w:rPr>
                    <w:t>经1根15m高的排气筒DA002有组织排放</w:t>
                  </w:r>
                  <w:r>
                    <w:rPr>
                      <w:rFonts w:hint="eastAsia"/>
                      <w:color w:val="auto"/>
                      <w:highlight w:val="none"/>
                      <w:lang w:eastAsia="zh-CN"/>
                    </w:rPr>
                    <w:t>。</w:t>
                  </w:r>
                </w:p>
              </w:tc>
            </w:tr>
            <w:tr w14:paraId="4AE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2C14AFED">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4CB3335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G2-3</w:t>
                  </w:r>
                  <w:r>
                    <w:rPr>
                      <w:rFonts w:hint="eastAsia"/>
                      <w:color w:val="auto"/>
                      <w:highlight w:val="none"/>
                      <w:lang w:eastAsia="zh-CN"/>
                    </w:rPr>
                    <w:t>、</w:t>
                  </w:r>
                  <w:r>
                    <w:rPr>
                      <w:rFonts w:hint="default"/>
                      <w:color w:val="auto"/>
                      <w:highlight w:val="none"/>
                    </w:rPr>
                    <w:t>G2-4</w:t>
                  </w:r>
                </w:p>
              </w:tc>
              <w:tc>
                <w:tcPr>
                  <w:tcW w:w="1218" w:type="dxa"/>
                  <w:vAlign w:val="center"/>
                </w:tcPr>
                <w:p w14:paraId="73BAEC2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热压</w:t>
                  </w:r>
                  <w:r>
                    <w:rPr>
                      <w:rFonts w:hint="eastAsia"/>
                      <w:color w:val="auto"/>
                      <w:highlight w:val="none"/>
                      <w:lang w:eastAsia="zh-CN"/>
                    </w:rPr>
                    <w:t>、</w:t>
                  </w:r>
                  <w:r>
                    <w:rPr>
                      <w:rFonts w:hint="default"/>
                      <w:color w:val="auto"/>
                      <w:highlight w:val="none"/>
                    </w:rPr>
                    <w:t>固化</w:t>
                  </w:r>
                </w:p>
              </w:tc>
              <w:tc>
                <w:tcPr>
                  <w:tcW w:w="1619" w:type="dxa"/>
                  <w:vAlign w:val="center"/>
                </w:tcPr>
                <w:p w14:paraId="461BC4E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非甲烷总烃</w:t>
                  </w:r>
                </w:p>
              </w:tc>
              <w:tc>
                <w:tcPr>
                  <w:tcW w:w="3835" w:type="dxa"/>
                  <w:vAlign w:val="center"/>
                </w:tcPr>
                <w:p w14:paraId="72323A3C">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lang w:eastAsia="zh-CN"/>
                    </w:rPr>
                    <w:t>热压和固化产生的有机废气进入1套“干式过滤+两级活性炭吸附”装置处理，</w:t>
                  </w:r>
                  <w:r>
                    <w:rPr>
                      <w:rFonts w:hint="eastAsia"/>
                      <w:color w:val="auto"/>
                      <w:highlight w:val="none"/>
                    </w:rPr>
                    <w:t>经1根15m高的排气筒DA002有组织排放</w:t>
                  </w:r>
                </w:p>
              </w:tc>
            </w:tr>
            <w:tr w14:paraId="0C39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895" w:type="dxa"/>
                  <w:vMerge w:val="continue"/>
                  <w:vAlign w:val="center"/>
                </w:tcPr>
                <w:p w14:paraId="065A441F">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2F9CA10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G3-1</w:t>
                  </w:r>
                </w:p>
              </w:tc>
              <w:tc>
                <w:tcPr>
                  <w:tcW w:w="1218" w:type="dxa"/>
                  <w:vAlign w:val="center"/>
                </w:tcPr>
                <w:p w14:paraId="24CB6D2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抛丸</w:t>
                  </w:r>
                </w:p>
              </w:tc>
              <w:tc>
                <w:tcPr>
                  <w:tcW w:w="1619" w:type="dxa"/>
                  <w:vAlign w:val="center"/>
                </w:tcPr>
                <w:p w14:paraId="4985A49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粉尘</w:t>
                  </w:r>
                </w:p>
              </w:tc>
              <w:tc>
                <w:tcPr>
                  <w:tcW w:w="3835" w:type="dxa"/>
                  <w:vMerge w:val="restart"/>
                  <w:vAlign w:val="center"/>
                </w:tcPr>
                <w:p w14:paraId="733EACC4">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4台抛丸机经设备自带的4套“旋风+滤筒”防爆除尘系统处理后经1根15m高的排气筒DA003有组织排放，其余1台抛丸机、其他磨加工设备产生的粉尘一起进入一套袋式防爆除尘系统（编号为2#）处理后经1根15m高的排气筒DA003有组织排放，另外一台磨加工设备产生的粉尘经单独的一套防爆袋式除尘系统（编号为1#）处理后接入排气筒DA003有组织排放。</w:t>
                  </w:r>
                </w:p>
              </w:tc>
            </w:tr>
            <w:tr w14:paraId="0DBB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823B372">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1814F35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G3-2</w:t>
                  </w:r>
                </w:p>
              </w:tc>
              <w:tc>
                <w:tcPr>
                  <w:tcW w:w="1218" w:type="dxa"/>
                  <w:vAlign w:val="center"/>
                </w:tcPr>
                <w:p w14:paraId="612D2B3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磨加工</w:t>
                  </w:r>
                </w:p>
              </w:tc>
              <w:tc>
                <w:tcPr>
                  <w:tcW w:w="1619" w:type="dxa"/>
                  <w:vAlign w:val="center"/>
                </w:tcPr>
                <w:p w14:paraId="4E24E0B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粉尘</w:t>
                  </w:r>
                </w:p>
              </w:tc>
              <w:tc>
                <w:tcPr>
                  <w:tcW w:w="3835" w:type="dxa"/>
                  <w:vMerge w:val="continue"/>
                  <w:vAlign w:val="center"/>
                </w:tcPr>
                <w:p w14:paraId="5EFE5C1D">
                  <w:pPr>
                    <w:pStyle w:val="86"/>
                    <w:keepNext w:val="0"/>
                    <w:keepLines w:val="0"/>
                    <w:suppressLineNumbers w:val="0"/>
                    <w:bidi w:val="0"/>
                    <w:spacing w:before="0" w:beforeAutospacing="0" w:after="0" w:afterAutospacing="0"/>
                    <w:ind w:left="0" w:right="0"/>
                    <w:rPr>
                      <w:rFonts w:hint="default"/>
                      <w:color w:val="auto"/>
                      <w:highlight w:val="none"/>
                    </w:rPr>
                  </w:pPr>
                </w:p>
              </w:tc>
            </w:tr>
            <w:tr w14:paraId="75D2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0E2403F9">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462A643A">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G4-1</w:t>
                  </w:r>
                </w:p>
              </w:tc>
              <w:tc>
                <w:tcPr>
                  <w:tcW w:w="1218" w:type="dxa"/>
                  <w:vAlign w:val="center"/>
                </w:tcPr>
                <w:p w14:paraId="0A9CD58B">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混合搅拌</w:t>
                  </w:r>
                </w:p>
              </w:tc>
              <w:tc>
                <w:tcPr>
                  <w:tcW w:w="1619" w:type="dxa"/>
                  <w:vAlign w:val="center"/>
                </w:tcPr>
                <w:p w14:paraId="0E60EF43">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粉尘</w:t>
                  </w:r>
                </w:p>
              </w:tc>
              <w:tc>
                <w:tcPr>
                  <w:tcW w:w="3835" w:type="dxa"/>
                  <w:vMerge w:val="restart"/>
                  <w:vAlign w:val="center"/>
                </w:tcPr>
                <w:p w14:paraId="7827F9D7">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eastAsia"/>
                      <w:color w:val="auto"/>
                      <w:highlight w:val="none"/>
                    </w:rPr>
                    <w:t>搅拌机、挤压机产生的废气设置集气罩收集，废气收集后进入一套“滤筒除尘+两级活性炭吸附”系统处理后，接入1根15m高的排气筒DA004有组织排放。</w:t>
                  </w:r>
                </w:p>
              </w:tc>
            </w:tr>
            <w:tr w14:paraId="5D3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347DC6C">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2E98715A">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G4-2</w:t>
                  </w:r>
                </w:p>
              </w:tc>
              <w:tc>
                <w:tcPr>
                  <w:tcW w:w="1218" w:type="dxa"/>
                  <w:vAlign w:val="center"/>
                </w:tcPr>
                <w:p w14:paraId="4878CD1D">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加热挤压</w:t>
                  </w:r>
                </w:p>
              </w:tc>
              <w:tc>
                <w:tcPr>
                  <w:tcW w:w="1619" w:type="dxa"/>
                  <w:vAlign w:val="center"/>
                </w:tcPr>
                <w:p w14:paraId="4C47CD48">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颗粒物、非甲烷总烃、臭气浓度</w:t>
                  </w:r>
                </w:p>
              </w:tc>
              <w:tc>
                <w:tcPr>
                  <w:tcW w:w="3835" w:type="dxa"/>
                  <w:vMerge w:val="continue"/>
                  <w:vAlign w:val="center"/>
                </w:tcPr>
                <w:p w14:paraId="3E1684D9">
                  <w:pPr>
                    <w:pStyle w:val="86"/>
                    <w:keepNext w:val="0"/>
                    <w:keepLines w:val="0"/>
                    <w:suppressLineNumbers w:val="0"/>
                    <w:bidi w:val="0"/>
                    <w:spacing w:before="0" w:beforeAutospacing="0" w:after="0" w:afterAutospacing="0"/>
                    <w:ind w:left="0" w:right="0"/>
                    <w:rPr>
                      <w:rFonts w:hint="default"/>
                      <w:color w:val="auto"/>
                      <w:highlight w:val="none"/>
                    </w:rPr>
                  </w:pPr>
                </w:p>
              </w:tc>
            </w:tr>
            <w:tr w14:paraId="7124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95" w:type="dxa"/>
                  <w:vMerge w:val="continue"/>
                  <w:vAlign w:val="center"/>
                </w:tcPr>
                <w:p w14:paraId="72FE3B74">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2656E52B">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G</w:t>
                  </w:r>
                  <w:r>
                    <w:rPr>
                      <w:rFonts w:hint="eastAsia"/>
                      <w:color w:val="auto"/>
                      <w:highlight w:val="none"/>
                      <w:lang w:val="en-US" w:eastAsia="zh-CN"/>
                    </w:rPr>
                    <w:t>5</w:t>
                  </w:r>
                </w:p>
              </w:tc>
              <w:tc>
                <w:tcPr>
                  <w:tcW w:w="1218" w:type="dxa"/>
                  <w:vAlign w:val="center"/>
                </w:tcPr>
                <w:p w14:paraId="3C0C2FA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食堂油烟</w:t>
                  </w:r>
                </w:p>
              </w:tc>
              <w:tc>
                <w:tcPr>
                  <w:tcW w:w="1619" w:type="dxa"/>
                  <w:vAlign w:val="center"/>
                </w:tcPr>
                <w:p w14:paraId="694C88C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油烟、非甲烷总烃</w:t>
                  </w:r>
                </w:p>
              </w:tc>
              <w:tc>
                <w:tcPr>
                  <w:tcW w:w="3835" w:type="dxa"/>
                  <w:vAlign w:val="center"/>
                </w:tcPr>
                <w:p w14:paraId="34C7413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油烟净化器+烟道引至屋顶排放</w:t>
                  </w:r>
                </w:p>
              </w:tc>
            </w:tr>
            <w:tr w14:paraId="2553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95" w:type="dxa"/>
                  <w:vMerge w:val="continue"/>
                  <w:vAlign w:val="center"/>
                </w:tcPr>
                <w:p w14:paraId="74122023">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40B9222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G6</w:t>
                  </w:r>
                </w:p>
              </w:tc>
              <w:tc>
                <w:tcPr>
                  <w:tcW w:w="1218" w:type="dxa"/>
                  <w:vAlign w:val="center"/>
                </w:tcPr>
                <w:p w14:paraId="3B54A9B2">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危废贮存废气</w:t>
                  </w:r>
                </w:p>
              </w:tc>
              <w:tc>
                <w:tcPr>
                  <w:tcW w:w="1619" w:type="dxa"/>
                  <w:vAlign w:val="center"/>
                </w:tcPr>
                <w:p w14:paraId="63D9C68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颗粒物、非甲烷总烃</w:t>
                  </w:r>
                </w:p>
              </w:tc>
              <w:tc>
                <w:tcPr>
                  <w:tcW w:w="3835" w:type="dxa"/>
                  <w:vAlign w:val="center"/>
                </w:tcPr>
                <w:p w14:paraId="5597239C">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color w:val="auto"/>
                      <w:highlight w:val="none"/>
                    </w:rPr>
                    <w:t>2间危险废物贮存库设置整体抽气后进入1套“G4板式过滤器+两级活性炭”装置，处理后经1根15m高的排气筒DA005有组织排放。</w:t>
                  </w:r>
                </w:p>
              </w:tc>
            </w:tr>
            <w:tr w14:paraId="3F6A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restart"/>
                  <w:vAlign w:val="center"/>
                </w:tcPr>
                <w:p w14:paraId="4B790F7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b/>
                      <w:bCs/>
                      <w:color w:val="auto"/>
                      <w:highlight w:val="none"/>
                    </w:rPr>
                    <w:t>废水W</w:t>
                  </w:r>
                </w:p>
              </w:tc>
              <w:tc>
                <w:tcPr>
                  <w:tcW w:w="1586" w:type="dxa"/>
                  <w:vAlign w:val="center"/>
                </w:tcPr>
                <w:p w14:paraId="2B82FA2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W1</w:t>
                  </w:r>
                </w:p>
              </w:tc>
              <w:tc>
                <w:tcPr>
                  <w:tcW w:w="1218" w:type="dxa"/>
                  <w:vAlign w:val="center"/>
                </w:tcPr>
                <w:p w14:paraId="49A520B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员工生活</w:t>
                  </w:r>
                </w:p>
              </w:tc>
              <w:tc>
                <w:tcPr>
                  <w:tcW w:w="1619" w:type="dxa"/>
                  <w:vAlign w:val="center"/>
                </w:tcPr>
                <w:p w14:paraId="6481AB7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生活污水</w:t>
                  </w:r>
                </w:p>
              </w:tc>
              <w:tc>
                <w:tcPr>
                  <w:tcW w:w="3835" w:type="dxa"/>
                  <w:vMerge w:val="restart"/>
                  <w:vAlign w:val="center"/>
                </w:tcPr>
                <w:p w14:paraId="2D315F3D">
                  <w:pPr>
                    <w:pStyle w:val="86"/>
                    <w:keepNext w:val="0"/>
                    <w:keepLines w:val="0"/>
                    <w:suppressLineNumbers w:val="0"/>
                    <w:bidi w:val="0"/>
                    <w:spacing w:before="0" w:beforeAutospacing="0" w:after="0" w:afterAutospacing="0"/>
                    <w:ind w:left="0" w:right="0"/>
                    <w:jc w:val="both"/>
                    <w:rPr>
                      <w:rFonts w:hint="eastAsia"/>
                      <w:color w:val="auto"/>
                      <w:sz w:val="22"/>
                      <w:szCs w:val="22"/>
                      <w:highlight w:val="none"/>
                      <w:lang w:eastAsia="zh-CN"/>
                    </w:rPr>
                  </w:pPr>
                  <w:r>
                    <w:rPr>
                      <w:rFonts w:hint="default"/>
                      <w:color w:val="auto"/>
                      <w:sz w:val="22"/>
                      <w:szCs w:val="22"/>
                      <w:highlight w:val="none"/>
                    </w:rPr>
                    <w:t>厂区西南侧设1</w:t>
                  </w:r>
                  <w:r>
                    <w:rPr>
                      <w:rFonts w:hint="eastAsia"/>
                      <w:color w:val="auto"/>
                      <w:sz w:val="22"/>
                      <w:szCs w:val="22"/>
                      <w:highlight w:val="none"/>
                      <w:lang w:val="en-US" w:eastAsia="zh-CN"/>
                    </w:rPr>
                    <w:t>座</w:t>
                  </w:r>
                  <w:r>
                    <w:rPr>
                      <w:rFonts w:hint="default"/>
                      <w:color w:val="auto"/>
                      <w:sz w:val="22"/>
                      <w:szCs w:val="22"/>
                      <w:highlight w:val="none"/>
                    </w:rPr>
                    <w:t>生化池（处理能力50m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val="en-US" w:eastAsia="zh-CN"/>
                    </w:rPr>
                    <w:t>厂区北侧设置1座“</w:t>
                  </w:r>
                  <w:r>
                    <w:rPr>
                      <w:rFonts w:hint="eastAsia"/>
                      <w:color w:val="auto"/>
                      <w:sz w:val="22"/>
                      <w:szCs w:val="22"/>
                      <w:highlight w:val="none"/>
                      <w:vertAlign w:val="baseline"/>
                      <w:lang w:val="en-US" w:eastAsia="zh-CN"/>
                    </w:rPr>
                    <w:t>酸碱中和+隔油”设备（</w:t>
                  </w:r>
                  <w:r>
                    <w:rPr>
                      <w:rFonts w:hint="default"/>
                      <w:color w:val="auto"/>
                      <w:sz w:val="22"/>
                      <w:szCs w:val="22"/>
                      <w:highlight w:val="none"/>
                    </w:rPr>
                    <w:t>处理能力</w:t>
                  </w:r>
                  <w:r>
                    <w:rPr>
                      <w:rFonts w:hint="eastAsia"/>
                      <w:color w:val="auto"/>
                      <w:sz w:val="22"/>
                      <w:szCs w:val="22"/>
                      <w:highlight w:val="none"/>
                      <w:lang w:val="en-US" w:eastAsia="zh-CN"/>
                    </w:rPr>
                    <w:t>2</w:t>
                  </w:r>
                  <w:r>
                    <w:rPr>
                      <w:rFonts w:hint="default"/>
                      <w:color w:val="auto"/>
                      <w:sz w:val="22"/>
                      <w:szCs w:val="22"/>
                      <w:highlight w:val="none"/>
                    </w:rPr>
                    <w:t>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vertAlign w:val="baseline"/>
                      <w:lang w:val="en-US" w:eastAsia="zh-CN"/>
                    </w:rPr>
                    <w:t>）、</w:t>
                  </w:r>
                  <w:r>
                    <w:rPr>
                      <w:rFonts w:hint="eastAsia"/>
                      <w:color w:val="auto"/>
                      <w:sz w:val="22"/>
                      <w:szCs w:val="22"/>
                      <w:highlight w:val="none"/>
                      <w:lang w:val="en-US" w:eastAsia="zh-CN"/>
                    </w:rPr>
                    <w:t>1座隔油池</w:t>
                  </w:r>
                  <w:r>
                    <w:rPr>
                      <w:rFonts w:hint="default"/>
                      <w:color w:val="auto"/>
                      <w:sz w:val="22"/>
                      <w:szCs w:val="22"/>
                      <w:highlight w:val="none"/>
                    </w:rPr>
                    <w:t>（处理能力10m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eastAsia="zh-CN"/>
                    </w:rPr>
                    <w:t>、</w:t>
                  </w:r>
                  <w:r>
                    <w:rPr>
                      <w:rFonts w:hint="eastAsia"/>
                      <w:color w:val="auto"/>
                      <w:sz w:val="22"/>
                      <w:szCs w:val="22"/>
                      <w:highlight w:val="none"/>
                      <w:lang w:val="en-US" w:eastAsia="zh-CN"/>
                    </w:rPr>
                    <w:t>1座生产废水预处理设施（处理能力0.1m</w:t>
                  </w:r>
                  <w:r>
                    <w:rPr>
                      <w:rFonts w:hint="eastAsia"/>
                      <w:color w:val="auto"/>
                      <w:sz w:val="22"/>
                      <w:szCs w:val="22"/>
                      <w:highlight w:val="none"/>
                      <w:vertAlign w:val="superscript"/>
                      <w:lang w:val="en-US" w:eastAsia="zh-CN"/>
                    </w:rPr>
                    <w:t>3</w:t>
                  </w:r>
                  <w:r>
                    <w:rPr>
                      <w:rFonts w:hint="eastAsia"/>
                      <w:color w:val="auto"/>
                      <w:sz w:val="22"/>
                      <w:szCs w:val="22"/>
                      <w:highlight w:val="none"/>
                      <w:lang w:val="en-US" w:eastAsia="zh-CN"/>
                    </w:rPr>
                    <w:t>/d）</w:t>
                  </w:r>
                  <w:r>
                    <w:rPr>
                      <w:rFonts w:hint="eastAsia"/>
                      <w:color w:val="auto"/>
                      <w:sz w:val="22"/>
                      <w:szCs w:val="22"/>
                      <w:highlight w:val="none"/>
                      <w:lang w:eastAsia="zh-CN"/>
                    </w:rPr>
                    <w:t>；</w:t>
                  </w:r>
                </w:p>
                <w:p w14:paraId="0BEEAC63">
                  <w:pPr>
                    <w:pStyle w:val="86"/>
                    <w:keepNext w:val="0"/>
                    <w:keepLines w:val="0"/>
                    <w:numPr>
                      <w:ilvl w:val="0"/>
                      <w:numId w:val="0"/>
                    </w:numPr>
                    <w:suppressLineNumbers w:val="0"/>
                    <w:bidi w:val="0"/>
                    <w:spacing w:before="0" w:beforeAutospacing="0" w:after="0" w:afterAutospacing="0"/>
                    <w:ind w:left="0" w:leftChars="0" w:right="0" w:rightChars="0" w:firstLine="0" w:firstLineChars="0"/>
                    <w:jc w:val="both"/>
                    <w:rPr>
                      <w:rFonts w:hint="eastAsia"/>
                      <w:color w:val="auto"/>
                      <w:sz w:val="22"/>
                      <w:szCs w:val="22"/>
                      <w:highlight w:val="none"/>
                      <w:lang w:eastAsia="zh-CN"/>
                    </w:rPr>
                  </w:pPr>
                  <w:r>
                    <w:rPr>
                      <w:rFonts w:hint="eastAsia" w:ascii="Times New Roman" w:hAnsi="Times New Roman" w:eastAsia="宋体" w:cs="Times New Roman"/>
                      <w:color w:val="auto"/>
                      <w:kern w:val="0"/>
                      <w:sz w:val="22"/>
                      <w:szCs w:val="22"/>
                      <w:lang w:val="en-US" w:eastAsia="zh-CN" w:bidi="ar-SA"/>
                    </w:rPr>
                    <w:t>（1）</w:t>
                  </w:r>
                  <w:r>
                    <w:rPr>
                      <w:rFonts w:hint="eastAsia"/>
                      <w:color w:val="auto"/>
                      <w:sz w:val="22"/>
                      <w:szCs w:val="22"/>
                      <w:highlight w:val="none"/>
                      <w:lang w:eastAsia="zh-CN"/>
                    </w:rPr>
                    <w:t>近期，北渡园区污水处理厂未正式投运前，近期，喷淋废水经一套生产废水处理设施（收集池+混凝沉淀+厌氧+好氧+MBR+紫外消毒）预处理，其他生产废水经酸碱中和+隔油预处理，而后一起由重庆宁态环保科技有限公司拉运并处置；近期的食堂餐饮废水进入隔油池预处理后餐饮废水与员工生活污水、综合楼地面清洁废水一同进入生化池处理达《橡胶制品工业污染物排放标准》（GB27632-2011）的间接排放标准后（“动植物油”执行《污水综合排放标准》（GB8978-1996）三级标准），接入旗能电铝污水处理站（接纳证明详见附件11）处理达标后回用，不外排；</w:t>
                  </w:r>
                </w:p>
                <w:p w14:paraId="1BC33C9D">
                  <w:pPr>
                    <w:pStyle w:val="86"/>
                    <w:keepNext w:val="0"/>
                    <w:keepLines w:val="0"/>
                    <w:suppressLineNumbers w:val="0"/>
                    <w:bidi w:val="0"/>
                    <w:spacing w:before="0" w:beforeAutospacing="0" w:after="0" w:afterAutospacing="0"/>
                    <w:ind w:left="0" w:right="0"/>
                    <w:jc w:val="both"/>
                    <w:rPr>
                      <w:rFonts w:hint="default"/>
                      <w:color w:val="auto"/>
                      <w:highlight w:val="none"/>
                    </w:rPr>
                  </w:pPr>
                  <w:r>
                    <w:rPr>
                      <w:rFonts w:hint="default" w:ascii="Times New Roman" w:hAnsi="Times New Roman" w:eastAsia="宋体" w:cs="Times New Roman"/>
                      <w:color w:val="auto"/>
                      <w:kern w:val="0"/>
                      <w:sz w:val="22"/>
                      <w:szCs w:val="22"/>
                      <w:lang w:val="en-US" w:eastAsia="zh-CN" w:bidi="ar-SA"/>
                    </w:rPr>
                    <w:t>（2）</w:t>
                  </w:r>
                  <w:r>
                    <w:rPr>
                      <w:rFonts w:hint="eastAsia"/>
                      <w:color w:val="auto"/>
                      <w:sz w:val="22"/>
                      <w:szCs w:val="22"/>
                      <w:highlight w:val="none"/>
                      <w:lang w:val="en-US" w:eastAsia="zh-CN"/>
                    </w:rPr>
                    <w:t>远期，北渡园区污水处理厂正式投运后，喷淋废水经一套生产废水处理设施（收集池+混凝沉淀+厌氧+好氧+MBR+紫外消毒）预处理，其他生产废水经酸碱中和+隔油预处理，而后一起经生产废水排放口排入园区污水处理厂；食堂含油废水一同隔油池处理后，而后同生活污水、综合楼地面清洁废水经生化池处理达参照执行的《橡胶制品工业污染物排放标准》（GB27632-2011）的间接排放标准（“动植物油”执行《污水综合排放标准》（GB8978-1996）三级标准）后，通过园区污水管网排入园区污水处理厂进一步处理达《城镇污水处理厂污染物排放标准》（GB18918-2002）一级B标后排入綦江河</w:t>
                  </w:r>
                  <w:r>
                    <w:rPr>
                      <w:rFonts w:hint="default"/>
                      <w:color w:val="auto"/>
                      <w:sz w:val="22"/>
                      <w:szCs w:val="22"/>
                      <w:highlight w:val="none"/>
                    </w:rPr>
                    <w:t>。</w:t>
                  </w:r>
                </w:p>
              </w:tc>
            </w:tr>
            <w:tr w14:paraId="4B13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51B21CB0">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12DE2BC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W2</w:t>
                  </w:r>
                </w:p>
              </w:tc>
              <w:tc>
                <w:tcPr>
                  <w:tcW w:w="1218" w:type="dxa"/>
                  <w:vAlign w:val="center"/>
                </w:tcPr>
                <w:p w14:paraId="443839BB">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综合楼</w:t>
                  </w:r>
                  <w:r>
                    <w:rPr>
                      <w:rFonts w:hint="default"/>
                      <w:color w:val="auto"/>
                      <w:highlight w:val="none"/>
                    </w:rPr>
                    <w:t>地面清洁</w:t>
                  </w:r>
                </w:p>
              </w:tc>
              <w:tc>
                <w:tcPr>
                  <w:tcW w:w="1619" w:type="dxa"/>
                  <w:vAlign w:val="center"/>
                </w:tcPr>
                <w:p w14:paraId="54DC882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清洁废水</w:t>
                  </w:r>
                </w:p>
              </w:tc>
              <w:tc>
                <w:tcPr>
                  <w:tcW w:w="3835" w:type="dxa"/>
                  <w:vMerge w:val="continue"/>
                  <w:vAlign w:val="center"/>
                </w:tcPr>
                <w:p w14:paraId="7A17A901">
                  <w:pPr>
                    <w:pStyle w:val="86"/>
                    <w:keepNext w:val="0"/>
                    <w:keepLines w:val="0"/>
                    <w:suppressLineNumbers w:val="0"/>
                    <w:bidi w:val="0"/>
                    <w:spacing w:before="0" w:beforeAutospacing="0" w:after="0" w:afterAutospacing="0"/>
                    <w:ind w:left="0" w:right="0"/>
                    <w:rPr>
                      <w:rFonts w:hint="default"/>
                      <w:color w:val="auto"/>
                      <w:highlight w:val="none"/>
                    </w:rPr>
                  </w:pPr>
                </w:p>
              </w:tc>
            </w:tr>
            <w:tr w14:paraId="5926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95" w:type="dxa"/>
                  <w:vMerge w:val="continue"/>
                  <w:vAlign w:val="center"/>
                </w:tcPr>
                <w:p w14:paraId="7F2CCAE6">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5C9E5E8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W3</w:t>
                  </w:r>
                </w:p>
              </w:tc>
              <w:tc>
                <w:tcPr>
                  <w:tcW w:w="1218" w:type="dxa"/>
                  <w:vAlign w:val="center"/>
                </w:tcPr>
                <w:p w14:paraId="0E81CDA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食堂</w:t>
                  </w:r>
                </w:p>
              </w:tc>
              <w:tc>
                <w:tcPr>
                  <w:tcW w:w="1619" w:type="dxa"/>
                  <w:vAlign w:val="center"/>
                </w:tcPr>
                <w:p w14:paraId="1C8C191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食堂废水</w:t>
                  </w:r>
                </w:p>
              </w:tc>
              <w:tc>
                <w:tcPr>
                  <w:tcW w:w="3835" w:type="dxa"/>
                  <w:vMerge w:val="continue"/>
                  <w:vAlign w:val="center"/>
                </w:tcPr>
                <w:p w14:paraId="2243D053">
                  <w:pPr>
                    <w:pStyle w:val="86"/>
                    <w:keepNext w:val="0"/>
                    <w:keepLines w:val="0"/>
                    <w:suppressLineNumbers w:val="0"/>
                    <w:bidi w:val="0"/>
                    <w:spacing w:before="0" w:beforeAutospacing="0" w:after="0" w:afterAutospacing="0"/>
                    <w:ind w:left="0" w:right="0"/>
                    <w:rPr>
                      <w:rFonts w:hint="default"/>
                      <w:color w:val="auto"/>
                      <w:highlight w:val="none"/>
                    </w:rPr>
                  </w:pPr>
                </w:p>
              </w:tc>
            </w:tr>
            <w:tr w14:paraId="5649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895" w:type="dxa"/>
                  <w:vMerge w:val="continue"/>
                  <w:vAlign w:val="center"/>
                </w:tcPr>
                <w:p w14:paraId="7D28F90A">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79E48BFA">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W4</w:t>
                  </w:r>
                </w:p>
              </w:tc>
              <w:tc>
                <w:tcPr>
                  <w:tcW w:w="1218" w:type="dxa"/>
                  <w:vAlign w:val="center"/>
                </w:tcPr>
                <w:p w14:paraId="18136B0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离合器清洗</w:t>
                  </w:r>
                </w:p>
              </w:tc>
              <w:tc>
                <w:tcPr>
                  <w:tcW w:w="1619" w:type="dxa"/>
                  <w:vAlign w:val="center"/>
                </w:tcPr>
                <w:p w14:paraId="29A04C3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清洗废水</w:t>
                  </w:r>
                </w:p>
              </w:tc>
              <w:tc>
                <w:tcPr>
                  <w:tcW w:w="3835" w:type="dxa"/>
                  <w:vMerge w:val="continue"/>
                  <w:vAlign w:val="center"/>
                </w:tcPr>
                <w:p w14:paraId="639EB06D">
                  <w:pPr>
                    <w:pStyle w:val="86"/>
                    <w:keepNext w:val="0"/>
                    <w:keepLines w:val="0"/>
                    <w:suppressLineNumbers w:val="0"/>
                    <w:bidi w:val="0"/>
                    <w:spacing w:before="0" w:beforeAutospacing="0" w:after="0" w:afterAutospacing="0"/>
                    <w:ind w:left="0" w:right="0"/>
                    <w:rPr>
                      <w:rFonts w:hint="default"/>
                      <w:color w:val="auto"/>
                      <w:highlight w:val="none"/>
                    </w:rPr>
                  </w:pPr>
                </w:p>
              </w:tc>
            </w:tr>
            <w:tr w14:paraId="36EF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95" w:type="dxa"/>
                  <w:vMerge w:val="continue"/>
                  <w:vAlign w:val="center"/>
                </w:tcPr>
                <w:p w14:paraId="6381FB51">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3923B0A0">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W5</w:t>
                  </w:r>
                </w:p>
              </w:tc>
              <w:tc>
                <w:tcPr>
                  <w:tcW w:w="1218" w:type="dxa"/>
                  <w:vAlign w:val="center"/>
                </w:tcPr>
                <w:p w14:paraId="39C1C969">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default"/>
                      <w:color w:val="auto"/>
                      <w:highlight w:val="none"/>
                    </w:rPr>
                    <w:t>乙醇废气处理</w:t>
                  </w:r>
                </w:p>
              </w:tc>
              <w:tc>
                <w:tcPr>
                  <w:tcW w:w="1619" w:type="dxa"/>
                  <w:vAlign w:val="center"/>
                </w:tcPr>
                <w:p w14:paraId="66F8BDDF">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default"/>
                      <w:color w:val="auto"/>
                      <w:highlight w:val="none"/>
                    </w:rPr>
                    <w:t>乙醇废气处理液</w:t>
                  </w:r>
                </w:p>
              </w:tc>
              <w:tc>
                <w:tcPr>
                  <w:tcW w:w="3835" w:type="dxa"/>
                  <w:vMerge w:val="continue"/>
                  <w:vAlign w:val="center"/>
                </w:tcPr>
                <w:p w14:paraId="4DA5271E">
                  <w:pPr>
                    <w:pStyle w:val="86"/>
                    <w:keepNext w:val="0"/>
                    <w:keepLines w:val="0"/>
                    <w:suppressLineNumbers w:val="0"/>
                    <w:bidi w:val="0"/>
                    <w:spacing w:before="0" w:beforeAutospacing="0" w:after="0" w:afterAutospacing="0"/>
                    <w:ind w:left="0" w:right="0"/>
                    <w:rPr>
                      <w:rFonts w:hint="default"/>
                      <w:color w:val="auto"/>
                      <w:highlight w:val="none"/>
                    </w:rPr>
                  </w:pPr>
                </w:p>
              </w:tc>
            </w:tr>
            <w:tr w14:paraId="0D0C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5" w:type="dxa"/>
                  <w:vMerge w:val="continue"/>
                  <w:vAlign w:val="center"/>
                </w:tcPr>
                <w:p w14:paraId="76201023">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0137835A">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W6</w:t>
                  </w:r>
                </w:p>
              </w:tc>
              <w:tc>
                <w:tcPr>
                  <w:tcW w:w="1218" w:type="dxa"/>
                  <w:vAlign w:val="center"/>
                </w:tcPr>
                <w:p w14:paraId="76E00B18">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空压机</w:t>
                  </w:r>
                </w:p>
              </w:tc>
              <w:tc>
                <w:tcPr>
                  <w:tcW w:w="1619" w:type="dxa"/>
                  <w:vAlign w:val="center"/>
                </w:tcPr>
                <w:p w14:paraId="00B5160F">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空压机冷凝水</w:t>
                  </w:r>
                </w:p>
              </w:tc>
              <w:tc>
                <w:tcPr>
                  <w:tcW w:w="3835" w:type="dxa"/>
                  <w:vMerge w:val="continue"/>
                  <w:vAlign w:val="center"/>
                </w:tcPr>
                <w:p w14:paraId="7B3A9F5E">
                  <w:pPr>
                    <w:pStyle w:val="86"/>
                    <w:keepNext w:val="0"/>
                    <w:keepLines w:val="0"/>
                    <w:suppressLineNumbers w:val="0"/>
                    <w:bidi w:val="0"/>
                    <w:spacing w:before="0" w:beforeAutospacing="0" w:after="0" w:afterAutospacing="0"/>
                    <w:ind w:left="0" w:right="0"/>
                    <w:rPr>
                      <w:rFonts w:hint="default"/>
                      <w:color w:val="auto"/>
                      <w:highlight w:val="none"/>
                    </w:rPr>
                  </w:pPr>
                </w:p>
              </w:tc>
            </w:tr>
            <w:tr w14:paraId="05F6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95" w:type="dxa"/>
                  <w:vMerge w:val="continue"/>
                  <w:vAlign w:val="center"/>
                </w:tcPr>
                <w:p w14:paraId="752F32F1">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52882179">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W7</w:t>
                  </w:r>
                </w:p>
              </w:tc>
              <w:tc>
                <w:tcPr>
                  <w:tcW w:w="1218" w:type="dxa"/>
                  <w:vAlign w:val="center"/>
                </w:tcPr>
                <w:p w14:paraId="60899E1F">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脱模废气治理</w:t>
                  </w:r>
                </w:p>
              </w:tc>
              <w:tc>
                <w:tcPr>
                  <w:tcW w:w="1619" w:type="dxa"/>
                  <w:vAlign w:val="center"/>
                </w:tcPr>
                <w:p w14:paraId="237F0706">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脱模废气治理除湿产生冷凝水</w:t>
                  </w:r>
                </w:p>
              </w:tc>
              <w:tc>
                <w:tcPr>
                  <w:tcW w:w="3835" w:type="dxa"/>
                  <w:vMerge w:val="continue"/>
                  <w:vAlign w:val="center"/>
                </w:tcPr>
                <w:p w14:paraId="0FC77205">
                  <w:pPr>
                    <w:pStyle w:val="86"/>
                    <w:keepNext w:val="0"/>
                    <w:keepLines w:val="0"/>
                    <w:suppressLineNumbers w:val="0"/>
                    <w:bidi w:val="0"/>
                    <w:spacing w:before="0" w:beforeAutospacing="0" w:after="0" w:afterAutospacing="0"/>
                    <w:ind w:left="0" w:right="0"/>
                    <w:rPr>
                      <w:rFonts w:hint="default"/>
                      <w:color w:val="auto"/>
                      <w:highlight w:val="none"/>
                    </w:rPr>
                  </w:pPr>
                </w:p>
              </w:tc>
            </w:tr>
            <w:tr w14:paraId="358C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95" w:type="dxa"/>
                  <w:vMerge w:val="continue"/>
                  <w:vAlign w:val="center"/>
                </w:tcPr>
                <w:p w14:paraId="797E6149">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73CD5BF1">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W8</w:t>
                  </w:r>
                </w:p>
              </w:tc>
              <w:tc>
                <w:tcPr>
                  <w:tcW w:w="1218" w:type="dxa"/>
                  <w:vAlign w:val="center"/>
                </w:tcPr>
                <w:p w14:paraId="13D15F37">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冷却塔</w:t>
                  </w:r>
                </w:p>
              </w:tc>
              <w:tc>
                <w:tcPr>
                  <w:tcW w:w="1619" w:type="dxa"/>
                  <w:vAlign w:val="center"/>
                </w:tcPr>
                <w:p w14:paraId="0A241847">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冷却塔排污水</w:t>
                  </w:r>
                </w:p>
              </w:tc>
              <w:tc>
                <w:tcPr>
                  <w:tcW w:w="3835" w:type="dxa"/>
                  <w:vMerge w:val="continue"/>
                  <w:vAlign w:val="center"/>
                </w:tcPr>
                <w:p w14:paraId="4EFE483F">
                  <w:pPr>
                    <w:pStyle w:val="86"/>
                    <w:keepNext w:val="0"/>
                    <w:keepLines w:val="0"/>
                    <w:suppressLineNumbers w:val="0"/>
                    <w:bidi w:val="0"/>
                    <w:spacing w:before="0" w:beforeAutospacing="0" w:after="0" w:afterAutospacing="0"/>
                    <w:ind w:left="0" w:right="0"/>
                    <w:rPr>
                      <w:rFonts w:hint="default"/>
                      <w:color w:val="auto"/>
                      <w:highlight w:val="none"/>
                    </w:rPr>
                  </w:pPr>
                </w:p>
              </w:tc>
            </w:tr>
            <w:tr w14:paraId="251B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restart"/>
                  <w:vAlign w:val="center"/>
                </w:tcPr>
                <w:p w14:paraId="303415A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b/>
                      <w:bCs/>
                      <w:color w:val="auto"/>
                      <w:highlight w:val="none"/>
                    </w:rPr>
                    <w:t>固体废物S</w:t>
                  </w:r>
                </w:p>
              </w:tc>
              <w:tc>
                <w:tcPr>
                  <w:tcW w:w="1586" w:type="dxa"/>
                  <w:vAlign w:val="center"/>
                </w:tcPr>
                <w:p w14:paraId="4771A7A0">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S1</w:t>
                  </w:r>
                  <w:r>
                    <w:rPr>
                      <w:rFonts w:hint="eastAsia"/>
                      <w:color w:val="auto"/>
                      <w:highlight w:val="none"/>
                      <w:lang w:val="en-US" w:eastAsia="zh-CN"/>
                    </w:rPr>
                    <w:t>7</w:t>
                  </w:r>
                </w:p>
              </w:tc>
              <w:tc>
                <w:tcPr>
                  <w:tcW w:w="1218" w:type="dxa"/>
                  <w:vAlign w:val="center"/>
                </w:tcPr>
                <w:p w14:paraId="6319774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员工生活</w:t>
                  </w:r>
                </w:p>
              </w:tc>
              <w:tc>
                <w:tcPr>
                  <w:tcW w:w="1619" w:type="dxa"/>
                  <w:vAlign w:val="center"/>
                </w:tcPr>
                <w:p w14:paraId="77DC2B0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生活垃圾</w:t>
                  </w:r>
                </w:p>
              </w:tc>
              <w:tc>
                <w:tcPr>
                  <w:tcW w:w="3835" w:type="dxa"/>
                  <w:vAlign w:val="center"/>
                </w:tcPr>
                <w:p w14:paraId="557BDD1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分类收集，委托环卫部门定期清运</w:t>
                  </w:r>
                </w:p>
              </w:tc>
            </w:tr>
            <w:tr w14:paraId="62E7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21E10F60">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4AF6E16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S16</w:t>
                  </w:r>
                </w:p>
              </w:tc>
              <w:tc>
                <w:tcPr>
                  <w:tcW w:w="1218" w:type="dxa"/>
                  <w:vAlign w:val="center"/>
                </w:tcPr>
                <w:p w14:paraId="6585E99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食堂</w:t>
                  </w:r>
                </w:p>
              </w:tc>
              <w:tc>
                <w:tcPr>
                  <w:tcW w:w="1619" w:type="dxa"/>
                  <w:vAlign w:val="center"/>
                </w:tcPr>
                <w:p w14:paraId="550225A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餐厨垃圾</w:t>
                  </w:r>
                </w:p>
              </w:tc>
              <w:tc>
                <w:tcPr>
                  <w:tcW w:w="3835" w:type="dxa"/>
                  <w:vAlign w:val="center"/>
                </w:tcPr>
                <w:p w14:paraId="5180DD7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分类收集，委托环卫部门定期清运</w:t>
                  </w:r>
                </w:p>
              </w:tc>
            </w:tr>
            <w:tr w14:paraId="4A08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02CF9478">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1CB6BB0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S2</w:t>
                  </w:r>
                </w:p>
              </w:tc>
              <w:tc>
                <w:tcPr>
                  <w:tcW w:w="1218" w:type="dxa"/>
                  <w:vAlign w:val="center"/>
                </w:tcPr>
                <w:p w14:paraId="587F937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冲裁</w:t>
                  </w:r>
                </w:p>
              </w:tc>
              <w:tc>
                <w:tcPr>
                  <w:tcW w:w="1619" w:type="dxa"/>
                  <w:vAlign w:val="center"/>
                </w:tcPr>
                <w:p w14:paraId="6B1401F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边角料</w:t>
                  </w:r>
                </w:p>
              </w:tc>
              <w:tc>
                <w:tcPr>
                  <w:tcW w:w="3835" w:type="dxa"/>
                  <w:vAlign w:val="center"/>
                </w:tcPr>
                <w:p w14:paraId="74616AE2">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回用于生产</w:t>
                  </w:r>
                </w:p>
              </w:tc>
            </w:tr>
            <w:tr w14:paraId="101D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vMerge w:val="continue"/>
                  <w:vAlign w:val="center"/>
                </w:tcPr>
                <w:p w14:paraId="55ED1899">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Merge w:val="restart"/>
                  <w:vAlign w:val="center"/>
                </w:tcPr>
                <w:p w14:paraId="0A6CD5F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S1-1/S1-2</w:t>
                  </w:r>
                </w:p>
                <w:p w14:paraId="66A38B8D">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/S1-3</w:t>
                  </w:r>
                  <w:r>
                    <w:rPr>
                      <w:rFonts w:hint="eastAsia"/>
                      <w:color w:val="auto"/>
                      <w:highlight w:val="none"/>
                      <w:lang w:val="en-US" w:eastAsia="zh-CN"/>
                    </w:rPr>
                    <w:t>/S1-4</w:t>
                  </w:r>
                </w:p>
              </w:tc>
              <w:tc>
                <w:tcPr>
                  <w:tcW w:w="1218" w:type="dxa"/>
                  <w:vMerge w:val="restart"/>
                  <w:vAlign w:val="center"/>
                </w:tcPr>
                <w:p w14:paraId="4800B47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除尘器收集</w:t>
                  </w:r>
                </w:p>
              </w:tc>
              <w:tc>
                <w:tcPr>
                  <w:tcW w:w="1619" w:type="dxa"/>
                  <w:vAlign w:val="center"/>
                </w:tcPr>
                <w:p w14:paraId="1C968DAB">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除尘灰（金属）</w:t>
                  </w:r>
                </w:p>
              </w:tc>
              <w:tc>
                <w:tcPr>
                  <w:tcW w:w="3835" w:type="dxa"/>
                  <w:vAlign w:val="center"/>
                </w:tcPr>
                <w:p w14:paraId="0D339583">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交有资质的危废处置单位处理</w:t>
                  </w:r>
                </w:p>
              </w:tc>
            </w:tr>
            <w:tr w14:paraId="149C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95" w:type="dxa"/>
                  <w:vMerge w:val="continue"/>
                  <w:vAlign w:val="center"/>
                </w:tcPr>
                <w:p w14:paraId="0FFF10C3">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Merge w:val="continue"/>
                  <w:vAlign w:val="center"/>
                </w:tcPr>
                <w:p w14:paraId="4E5BC59A">
                  <w:pPr>
                    <w:pStyle w:val="86"/>
                    <w:keepNext w:val="0"/>
                    <w:keepLines w:val="0"/>
                    <w:suppressLineNumbers w:val="0"/>
                    <w:bidi w:val="0"/>
                    <w:spacing w:before="0" w:beforeAutospacing="0" w:after="0" w:afterAutospacing="0"/>
                    <w:ind w:left="0" w:right="0"/>
                    <w:rPr>
                      <w:rFonts w:hint="default"/>
                      <w:color w:val="auto"/>
                      <w:highlight w:val="none"/>
                    </w:rPr>
                  </w:pPr>
                </w:p>
              </w:tc>
              <w:tc>
                <w:tcPr>
                  <w:tcW w:w="1218" w:type="dxa"/>
                  <w:vMerge w:val="continue"/>
                  <w:vAlign w:val="center"/>
                </w:tcPr>
                <w:p w14:paraId="40E3C6D6">
                  <w:pPr>
                    <w:pStyle w:val="86"/>
                    <w:keepNext w:val="0"/>
                    <w:keepLines w:val="0"/>
                    <w:suppressLineNumbers w:val="0"/>
                    <w:bidi w:val="0"/>
                    <w:spacing w:before="0" w:beforeAutospacing="0" w:after="0" w:afterAutospacing="0"/>
                    <w:ind w:left="0" w:right="0"/>
                    <w:rPr>
                      <w:rFonts w:hint="default"/>
                      <w:color w:val="auto"/>
                      <w:highlight w:val="none"/>
                    </w:rPr>
                  </w:pPr>
                </w:p>
              </w:tc>
              <w:tc>
                <w:tcPr>
                  <w:tcW w:w="1619" w:type="dxa"/>
                  <w:vAlign w:val="center"/>
                </w:tcPr>
                <w:p w14:paraId="5AAFF810">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除尘灰（橡胶）</w:t>
                  </w:r>
                </w:p>
              </w:tc>
              <w:tc>
                <w:tcPr>
                  <w:tcW w:w="3835" w:type="dxa"/>
                  <w:vMerge w:val="restart"/>
                  <w:vAlign w:val="center"/>
                </w:tcPr>
                <w:p w14:paraId="00FFF9B8">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回用于生产</w:t>
                  </w:r>
                </w:p>
              </w:tc>
            </w:tr>
            <w:tr w14:paraId="7A3F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D6F83CF">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792EF0D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S3-1/S3-2</w:t>
                  </w:r>
                </w:p>
              </w:tc>
              <w:tc>
                <w:tcPr>
                  <w:tcW w:w="1218" w:type="dxa"/>
                  <w:vAlign w:val="center"/>
                </w:tcPr>
                <w:p w14:paraId="338B04D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离合器摩擦片检验</w:t>
                  </w:r>
                </w:p>
              </w:tc>
              <w:tc>
                <w:tcPr>
                  <w:tcW w:w="1619" w:type="dxa"/>
                  <w:vAlign w:val="center"/>
                </w:tcPr>
                <w:p w14:paraId="27C7426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不合格品</w:t>
                  </w:r>
                </w:p>
              </w:tc>
              <w:tc>
                <w:tcPr>
                  <w:tcW w:w="3835" w:type="dxa"/>
                  <w:vMerge w:val="continue"/>
                  <w:vAlign w:val="center"/>
                </w:tcPr>
                <w:p w14:paraId="648968A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p>
              </w:tc>
            </w:tr>
            <w:tr w14:paraId="2319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65C50FAB">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191DF58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w:t>
                  </w:r>
                  <w:r>
                    <w:rPr>
                      <w:rFonts w:hint="eastAsia"/>
                      <w:color w:val="auto"/>
                      <w:highlight w:val="none"/>
                      <w:lang w:val="en-US" w:eastAsia="zh-CN"/>
                    </w:rPr>
                    <w:t>9</w:t>
                  </w:r>
                  <w:r>
                    <w:rPr>
                      <w:rFonts w:hint="default"/>
                      <w:color w:val="auto"/>
                      <w:highlight w:val="none"/>
                    </w:rPr>
                    <w:t>/</w:t>
                  </w:r>
                </w:p>
                <w:p w14:paraId="133F4E6D">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S10</w:t>
                  </w:r>
                </w:p>
              </w:tc>
              <w:tc>
                <w:tcPr>
                  <w:tcW w:w="1218" w:type="dxa"/>
                  <w:vAlign w:val="center"/>
                </w:tcPr>
                <w:p w14:paraId="7AA3B9B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离合器总成检验</w:t>
                  </w:r>
                </w:p>
              </w:tc>
              <w:tc>
                <w:tcPr>
                  <w:tcW w:w="1619" w:type="dxa"/>
                  <w:vAlign w:val="center"/>
                </w:tcPr>
                <w:p w14:paraId="5014CF3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不合格部件、不合格产品</w:t>
                  </w:r>
                </w:p>
              </w:tc>
              <w:tc>
                <w:tcPr>
                  <w:tcW w:w="3835" w:type="dxa"/>
                  <w:vMerge w:val="restart"/>
                  <w:vAlign w:val="center"/>
                </w:tcPr>
                <w:p w14:paraId="19EF9E2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定期外售给资源回收单位</w:t>
                  </w:r>
                </w:p>
              </w:tc>
            </w:tr>
            <w:tr w14:paraId="48EA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2202DACE">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36B325D4">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S8</w:t>
                  </w:r>
                </w:p>
              </w:tc>
              <w:tc>
                <w:tcPr>
                  <w:tcW w:w="1218" w:type="dxa"/>
                  <w:vAlign w:val="center"/>
                </w:tcPr>
                <w:p w14:paraId="60A5A57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原料拆卸、产品打包</w:t>
                  </w:r>
                </w:p>
              </w:tc>
              <w:tc>
                <w:tcPr>
                  <w:tcW w:w="1619" w:type="dxa"/>
                  <w:vAlign w:val="center"/>
                </w:tcPr>
                <w:p w14:paraId="69B76F1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废包装材料</w:t>
                  </w:r>
                </w:p>
              </w:tc>
              <w:tc>
                <w:tcPr>
                  <w:tcW w:w="3835" w:type="dxa"/>
                  <w:vMerge w:val="continue"/>
                  <w:vAlign w:val="center"/>
                </w:tcPr>
                <w:p w14:paraId="5AE661D8">
                  <w:pPr>
                    <w:pStyle w:val="86"/>
                    <w:keepNext w:val="0"/>
                    <w:keepLines w:val="0"/>
                    <w:suppressLineNumbers w:val="0"/>
                    <w:bidi w:val="0"/>
                    <w:spacing w:before="0" w:beforeAutospacing="0" w:after="0" w:afterAutospacing="0"/>
                    <w:ind w:left="0" w:right="0"/>
                    <w:rPr>
                      <w:rFonts w:hint="default"/>
                      <w:color w:val="auto"/>
                      <w:highlight w:val="none"/>
                    </w:rPr>
                  </w:pPr>
                </w:p>
              </w:tc>
            </w:tr>
            <w:tr w14:paraId="32F8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20AB8650">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0E18268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S4</w:t>
                  </w:r>
                </w:p>
              </w:tc>
              <w:tc>
                <w:tcPr>
                  <w:tcW w:w="1218" w:type="dxa"/>
                  <w:vAlign w:val="center"/>
                </w:tcPr>
                <w:p w14:paraId="16A0357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抛丸</w:t>
                  </w:r>
                </w:p>
              </w:tc>
              <w:tc>
                <w:tcPr>
                  <w:tcW w:w="1619" w:type="dxa"/>
                  <w:vAlign w:val="center"/>
                </w:tcPr>
                <w:p w14:paraId="0A78074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废不锈钢丸</w:t>
                  </w:r>
                </w:p>
              </w:tc>
              <w:tc>
                <w:tcPr>
                  <w:tcW w:w="3835" w:type="dxa"/>
                  <w:vMerge w:val="continue"/>
                  <w:vAlign w:val="center"/>
                </w:tcPr>
                <w:p w14:paraId="1AC702C7">
                  <w:pPr>
                    <w:pStyle w:val="86"/>
                    <w:keepNext w:val="0"/>
                    <w:keepLines w:val="0"/>
                    <w:suppressLineNumbers w:val="0"/>
                    <w:bidi w:val="0"/>
                    <w:spacing w:before="0" w:beforeAutospacing="0" w:after="0" w:afterAutospacing="0"/>
                    <w:ind w:left="0" w:right="0"/>
                    <w:rPr>
                      <w:rFonts w:hint="default"/>
                      <w:color w:val="auto"/>
                      <w:highlight w:val="none"/>
                    </w:rPr>
                  </w:pPr>
                </w:p>
              </w:tc>
            </w:tr>
            <w:tr w14:paraId="7A31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4368FEB">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4F290D8B">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S6-1/S6-2</w:t>
                  </w:r>
                  <w:r>
                    <w:rPr>
                      <w:rFonts w:hint="eastAsia"/>
                      <w:color w:val="auto"/>
                      <w:highlight w:val="none"/>
                      <w:lang w:val="en-US" w:eastAsia="zh-CN"/>
                    </w:rPr>
                    <w:t>/S6-3</w:t>
                  </w:r>
                </w:p>
              </w:tc>
              <w:tc>
                <w:tcPr>
                  <w:tcW w:w="1218" w:type="dxa"/>
                  <w:vAlign w:val="center"/>
                </w:tcPr>
                <w:p w14:paraId="0938FBD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有机废气处理</w:t>
                  </w:r>
                </w:p>
              </w:tc>
              <w:tc>
                <w:tcPr>
                  <w:tcW w:w="1619" w:type="dxa"/>
                  <w:vAlign w:val="center"/>
                </w:tcPr>
                <w:p w14:paraId="06DB3663">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废</w:t>
                  </w:r>
                  <w:r>
                    <w:rPr>
                      <w:rFonts w:hint="default"/>
                      <w:color w:val="auto"/>
                      <w:highlight w:val="none"/>
                    </w:rPr>
                    <w:t>活性炭</w:t>
                  </w:r>
                </w:p>
              </w:tc>
              <w:tc>
                <w:tcPr>
                  <w:tcW w:w="3835" w:type="dxa"/>
                  <w:vMerge w:val="restart"/>
                  <w:vAlign w:val="center"/>
                </w:tcPr>
                <w:p w14:paraId="12BB04A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交有资质的危废处置单位处理</w:t>
                  </w:r>
                </w:p>
              </w:tc>
            </w:tr>
            <w:tr w14:paraId="004F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5790CCC6">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68B765A6">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S7-1/S7-2</w:t>
                  </w:r>
                </w:p>
              </w:tc>
              <w:tc>
                <w:tcPr>
                  <w:tcW w:w="1218" w:type="dxa"/>
                  <w:vAlign w:val="center"/>
                </w:tcPr>
                <w:p w14:paraId="1D7841EC">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有机废气预处理除尘</w:t>
                  </w:r>
                </w:p>
              </w:tc>
              <w:tc>
                <w:tcPr>
                  <w:tcW w:w="1619" w:type="dxa"/>
                  <w:vAlign w:val="center"/>
                </w:tcPr>
                <w:p w14:paraId="2DECB592">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废过滤棉、废过滤材料</w:t>
                  </w:r>
                </w:p>
              </w:tc>
              <w:tc>
                <w:tcPr>
                  <w:tcW w:w="3835" w:type="dxa"/>
                  <w:vMerge w:val="continue"/>
                  <w:vAlign w:val="center"/>
                </w:tcPr>
                <w:p w14:paraId="5B47C9EC">
                  <w:pPr>
                    <w:pStyle w:val="86"/>
                    <w:keepNext w:val="0"/>
                    <w:keepLines w:val="0"/>
                    <w:suppressLineNumbers w:val="0"/>
                    <w:bidi w:val="0"/>
                    <w:spacing w:before="0" w:beforeAutospacing="0" w:after="0" w:afterAutospacing="0"/>
                    <w:ind w:left="0" w:right="0"/>
                    <w:rPr>
                      <w:rFonts w:hint="default"/>
                      <w:color w:val="auto"/>
                      <w:highlight w:val="none"/>
                    </w:rPr>
                  </w:pPr>
                </w:p>
              </w:tc>
            </w:tr>
            <w:tr w14:paraId="3740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4461CD7">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5B1A8BE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S5</w:t>
                  </w:r>
                </w:p>
              </w:tc>
              <w:tc>
                <w:tcPr>
                  <w:tcW w:w="1218" w:type="dxa"/>
                  <w:vAlign w:val="center"/>
                </w:tcPr>
                <w:p w14:paraId="551AE27F">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生产废水预处理设施</w:t>
                  </w:r>
                </w:p>
              </w:tc>
              <w:tc>
                <w:tcPr>
                  <w:tcW w:w="1619" w:type="dxa"/>
                  <w:vAlign w:val="center"/>
                </w:tcPr>
                <w:p w14:paraId="51FD299E">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废紫外灯管</w:t>
                  </w:r>
                </w:p>
              </w:tc>
              <w:tc>
                <w:tcPr>
                  <w:tcW w:w="3835" w:type="dxa"/>
                  <w:vAlign w:val="center"/>
                </w:tcPr>
                <w:p w14:paraId="511BC8C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交有资质的危废处置单位处理</w:t>
                  </w:r>
                </w:p>
              </w:tc>
            </w:tr>
            <w:tr w14:paraId="06A2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759E6E05">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shd w:val="clear" w:color="auto" w:fill="auto"/>
                  <w:vAlign w:val="center"/>
                </w:tcPr>
                <w:p w14:paraId="1A533B57">
                  <w:pPr>
                    <w:pStyle w:val="86"/>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color w:val="auto"/>
                      <w:kern w:val="0"/>
                      <w:sz w:val="22"/>
                      <w:szCs w:val="28"/>
                      <w:highlight w:val="none"/>
                      <w:lang w:val="en-US" w:eastAsia="zh-CN" w:bidi="ar-SA"/>
                    </w:rPr>
                  </w:pPr>
                  <w:r>
                    <w:rPr>
                      <w:rFonts w:hint="default"/>
                      <w:color w:val="auto"/>
                      <w:highlight w:val="none"/>
                    </w:rPr>
                    <w:t>S1</w:t>
                  </w:r>
                  <w:r>
                    <w:rPr>
                      <w:rFonts w:hint="eastAsia"/>
                      <w:color w:val="auto"/>
                      <w:highlight w:val="none"/>
                      <w:lang w:val="en-US" w:eastAsia="zh-CN"/>
                    </w:rPr>
                    <w:t>1</w:t>
                  </w:r>
                </w:p>
              </w:tc>
              <w:tc>
                <w:tcPr>
                  <w:tcW w:w="1218" w:type="dxa"/>
                  <w:vMerge w:val="restart"/>
                  <w:shd w:val="clear" w:color="auto" w:fill="auto"/>
                  <w:vAlign w:val="center"/>
                </w:tcPr>
                <w:p w14:paraId="58286BD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设备维护、模具维修</w:t>
                  </w:r>
                </w:p>
              </w:tc>
              <w:tc>
                <w:tcPr>
                  <w:tcW w:w="1619" w:type="dxa"/>
                  <w:shd w:val="clear" w:color="auto" w:fill="auto"/>
                  <w:vAlign w:val="center"/>
                </w:tcPr>
                <w:p w14:paraId="05683DBC">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2"/>
                      <w:szCs w:val="28"/>
                      <w:highlight w:val="none"/>
                      <w:lang w:val="en-US" w:eastAsia="zh-CN" w:bidi="ar-SA"/>
                    </w:rPr>
                  </w:pPr>
                  <w:r>
                    <w:rPr>
                      <w:rFonts w:hint="default"/>
                      <w:color w:val="auto"/>
                      <w:highlight w:val="none"/>
                    </w:rPr>
                    <w:t>废油棉纱手套</w:t>
                  </w:r>
                </w:p>
              </w:tc>
              <w:tc>
                <w:tcPr>
                  <w:tcW w:w="3835" w:type="dxa"/>
                  <w:vMerge w:val="restart"/>
                  <w:vAlign w:val="center"/>
                </w:tcPr>
                <w:p w14:paraId="509183F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分类收集后暂存于危险废物</w:t>
                  </w:r>
                  <w:r>
                    <w:rPr>
                      <w:rFonts w:hint="eastAsia"/>
                      <w:color w:val="auto"/>
                      <w:highlight w:val="none"/>
                      <w:lang w:val="en-US" w:eastAsia="zh-CN"/>
                    </w:rPr>
                    <w:t>贮存库</w:t>
                  </w:r>
                  <w:r>
                    <w:rPr>
                      <w:rFonts w:hint="default"/>
                      <w:color w:val="auto"/>
                      <w:highlight w:val="none"/>
                    </w:rPr>
                    <w:t>，定期交有资质的危废处置单位处理</w:t>
                  </w:r>
                </w:p>
              </w:tc>
            </w:tr>
            <w:tr w14:paraId="56CC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BA2B420">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60A5C681">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S1</w:t>
                  </w:r>
                  <w:r>
                    <w:rPr>
                      <w:rFonts w:hint="eastAsia"/>
                      <w:color w:val="auto"/>
                      <w:highlight w:val="none"/>
                      <w:lang w:val="en-US" w:eastAsia="zh-CN"/>
                    </w:rPr>
                    <w:t>2</w:t>
                  </w:r>
                </w:p>
              </w:tc>
              <w:tc>
                <w:tcPr>
                  <w:tcW w:w="1218" w:type="dxa"/>
                  <w:vMerge w:val="continue"/>
                  <w:vAlign w:val="center"/>
                </w:tcPr>
                <w:p w14:paraId="2F387978">
                  <w:pPr>
                    <w:pStyle w:val="86"/>
                    <w:keepNext w:val="0"/>
                    <w:keepLines w:val="0"/>
                    <w:suppressLineNumbers w:val="0"/>
                    <w:bidi w:val="0"/>
                    <w:spacing w:before="0" w:beforeAutospacing="0" w:after="0" w:afterAutospacing="0"/>
                    <w:ind w:left="0" w:right="0"/>
                    <w:rPr>
                      <w:rFonts w:hint="default"/>
                      <w:color w:val="auto"/>
                      <w:highlight w:val="none"/>
                    </w:rPr>
                  </w:pPr>
                </w:p>
              </w:tc>
              <w:tc>
                <w:tcPr>
                  <w:tcW w:w="1619" w:type="dxa"/>
                  <w:vAlign w:val="center"/>
                </w:tcPr>
                <w:p w14:paraId="4F55E53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废机油</w:t>
                  </w:r>
                </w:p>
              </w:tc>
              <w:tc>
                <w:tcPr>
                  <w:tcW w:w="3835" w:type="dxa"/>
                  <w:vMerge w:val="continue"/>
                  <w:vAlign w:val="center"/>
                </w:tcPr>
                <w:p w14:paraId="0BA3691C">
                  <w:pPr>
                    <w:pStyle w:val="86"/>
                    <w:keepNext w:val="0"/>
                    <w:keepLines w:val="0"/>
                    <w:suppressLineNumbers w:val="0"/>
                    <w:bidi w:val="0"/>
                    <w:spacing w:before="0" w:beforeAutospacing="0" w:after="0" w:afterAutospacing="0"/>
                    <w:ind w:left="0" w:right="0"/>
                    <w:rPr>
                      <w:rFonts w:hint="default"/>
                      <w:color w:val="auto"/>
                      <w:highlight w:val="none"/>
                    </w:rPr>
                  </w:pPr>
                </w:p>
              </w:tc>
            </w:tr>
            <w:tr w14:paraId="74A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509F3D84">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0BFFFF78">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S1</w:t>
                  </w:r>
                  <w:r>
                    <w:rPr>
                      <w:rFonts w:hint="eastAsia"/>
                      <w:color w:val="auto"/>
                      <w:highlight w:val="none"/>
                      <w:lang w:val="en-US" w:eastAsia="zh-CN"/>
                    </w:rPr>
                    <w:t>3</w:t>
                  </w:r>
                </w:p>
              </w:tc>
              <w:tc>
                <w:tcPr>
                  <w:tcW w:w="1218" w:type="dxa"/>
                  <w:vMerge w:val="continue"/>
                  <w:vAlign w:val="center"/>
                </w:tcPr>
                <w:p w14:paraId="27E05E46">
                  <w:pPr>
                    <w:pStyle w:val="86"/>
                    <w:keepNext w:val="0"/>
                    <w:keepLines w:val="0"/>
                    <w:suppressLineNumbers w:val="0"/>
                    <w:bidi w:val="0"/>
                    <w:spacing w:before="0" w:beforeAutospacing="0" w:after="0" w:afterAutospacing="0"/>
                    <w:ind w:left="0" w:right="0"/>
                    <w:rPr>
                      <w:rFonts w:hint="default"/>
                      <w:color w:val="auto"/>
                      <w:highlight w:val="none"/>
                    </w:rPr>
                  </w:pPr>
                </w:p>
              </w:tc>
              <w:tc>
                <w:tcPr>
                  <w:tcW w:w="1619" w:type="dxa"/>
                  <w:vAlign w:val="center"/>
                </w:tcPr>
                <w:p w14:paraId="02C3CF7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废液压油</w:t>
                  </w:r>
                </w:p>
              </w:tc>
              <w:tc>
                <w:tcPr>
                  <w:tcW w:w="3835" w:type="dxa"/>
                  <w:vMerge w:val="continue"/>
                  <w:vAlign w:val="center"/>
                </w:tcPr>
                <w:p w14:paraId="3A236D0B">
                  <w:pPr>
                    <w:pStyle w:val="86"/>
                    <w:keepNext w:val="0"/>
                    <w:keepLines w:val="0"/>
                    <w:suppressLineNumbers w:val="0"/>
                    <w:bidi w:val="0"/>
                    <w:spacing w:before="0" w:beforeAutospacing="0" w:after="0" w:afterAutospacing="0"/>
                    <w:ind w:left="0" w:right="0"/>
                    <w:rPr>
                      <w:rFonts w:hint="default"/>
                      <w:color w:val="auto"/>
                      <w:highlight w:val="none"/>
                    </w:rPr>
                  </w:pPr>
                </w:p>
              </w:tc>
            </w:tr>
            <w:tr w14:paraId="06F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269AAF22">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037C7756">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S</w:t>
                  </w:r>
                  <w:r>
                    <w:rPr>
                      <w:rFonts w:hint="eastAsia"/>
                      <w:color w:val="auto"/>
                      <w:highlight w:val="none"/>
                      <w:lang w:val="en-US" w:eastAsia="zh-CN"/>
                    </w:rPr>
                    <w:t>14</w:t>
                  </w:r>
                </w:p>
              </w:tc>
              <w:tc>
                <w:tcPr>
                  <w:tcW w:w="1218" w:type="dxa"/>
                  <w:vMerge w:val="continue"/>
                  <w:vAlign w:val="center"/>
                </w:tcPr>
                <w:p w14:paraId="7C325EF3">
                  <w:pPr>
                    <w:pStyle w:val="86"/>
                    <w:keepNext w:val="0"/>
                    <w:keepLines w:val="0"/>
                    <w:suppressLineNumbers w:val="0"/>
                    <w:bidi w:val="0"/>
                    <w:spacing w:before="0" w:beforeAutospacing="0" w:after="0" w:afterAutospacing="0"/>
                    <w:ind w:left="0" w:right="0"/>
                    <w:rPr>
                      <w:rFonts w:hint="default"/>
                      <w:color w:val="auto"/>
                      <w:highlight w:val="none"/>
                    </w:rPr>
                  </w:pPr>
                </w:p>
              </w:tc>
              <w:tc>
                <w:tcPr>
                  <w:tcW w:w="1619" w:type="dxa"/>
                  <w:vAlign w:val="center"/>
                </w:tcPr>
                <w:p w14:paraId="65B51B8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废油桶</w:t>
                  </w:r>
                </w:p>
              </w:tc>
              <w:tc>
                <w:tcPr>
                  <w:tcW w:w="3835" w:type="dxa"/>
                  <w:vMerge w:val="continue"/>
                  <w:vAlign w:val="center"/>
                </w:tcPr>
                <w:p w14:paraId="431BA2FA">
                  <w:pPr>
                    <w:pStyle w:val="86"/>
                    <w:keepNext w:val="0"/>
                    <w:keepLines w:val="0"/>
                    <w:suppressLineNumbers w:val="0"/>
                    <w:bidi w:val="0"/>
                    <w:spacing w:before="0" w:beforeAutospacing="0" w:after="0" w:afterAutospacing="0"/>
                    <w:ind w:left="0" w:right="0"/>
                    <w:rPr>
                      <w:rFonts w:hint="default"/>
                      <w:color w:val="auto"/>
                      <w:highlight w:val="none"/>
                    </w:rPr>
                  </w:pPr>
                </w:p>
              </w:tc>
            </w:tr>
            <w:tr w14:paraId="2DBB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Merge w:val="continue"/>
                  <w:vAlign w:val="center"/>
                </w:tcPr>
                <w:p w14:paraId="1FD3FAE6">
                  <w:pPr>
                    <w:pStyle w:val="86"/>
                    <w:keepNext w:val="0"/>
                    <w:keepLines w:val="0"/>
                    <w:suppressLineNumbers w:val="0"/>
                    <w:bidi w:val="0"/>
                    <w:spacing w:before="0" w:beforeAutospacing="0" w:after="0" w:afterAutospacing="0"/>
                    <w:ind w:left="0" w:right="0"/>
                    <w:rPr>
                      <w:rFonts w:hint="default"/>
                      <w:color w:val="auto"/>
                      <w:highlight w:val="none"/>
                    </w:rPr>
                  </w:pPr>
                </w:p>
              </w:tc>
              <w:tc>
                <w:tcPr>
                  <w:tcW w:w="1586" w:type="dxa"/>
                  <w:vAlign w:val="center"/>
                </w:tcPr>
                <w:p w14:paraId="6D24EB43">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S15</w:t>
                  </w:r>
                </w:p>
              </w:tc>
              <w:tc>
                <w:tcPr>
                  <w:tcW w:w="1218" w:type="dxa"/>
                  <w:vAlign w:val="center"/>
                </w:tcPr>
                <w:p w14:paraId="3D7D6A1F">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热熔、除渣</w:t>
                  </w:r>
                </w:p>
              </w:tc>
              <w:tc>
                <w:tcPr>
                  <w:tcW w:w="1619" w:type="dxa"/>
                  <w:vAlign w:val="center"/>
                </w:tcPr>
                <w:p w14:paraId="1618740C">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铝灰渣</w:t>
                  </w:r>
                </w:p>
              </w:tc>
              <w:tc>
                <w:tcPr>
                  <w:tcW w:w="3835" w:type="dxa"/>
                  <w:vMerge w:val="continue"/>
                  <w:vAlign w:val="center"/>
                </w:tcPr>
                <w:p w14:paraId="29AA1897">
                  <w:pPr>
                    <w:pStyle w:val="86"/>
                    <w:keepNext w:val="0"/>
                    <w:keepLines w:val="0"/>
                    <w:suppressLineNumbers w:val="0"/>
                    <w:bidi w:val="0"/>
                    <w:spacing w:before="0" w:beforeAutospacing="0" w:after="0" w:afterAutospacing="0"/>
                    <w:ind w:left="0" w:right="0"/>
                    <w:rPr>
                      <w:rFonts w:hint="default"/>
                      <w:color w:val="auto"/>
                      <w:highlight w:val="none"/>
                    </w:rPr>
                  </w:pPr>
                </w:p>
              </w:tc>
            </w:tr>
            <w:tr w14:paraId="732B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5" w:type="dxa"/>
                  <w:vAlign w:val="center"/>
                </w:tcPr>
                <w:p w14:paraId="026AA17E">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噪声N</w:t>
                  </w:r>
                </w:p>
              </w:tc>
              <w:tc>
                <w:tcPr>
                  <w:tcW w:w="1586" w:type="dxa"/>
                  <w:vAlign w:val="center"/>
                </w:tcPr>
                <w:p w14:paraId="17927F0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N</w:t>
                  </w:r>
                </w:p>
              </w:tc>
              <w:tc>
                <w:tcPr>
                  <w:tcW w:w="1218" w:type="dxa"/>
                  <w:vAlign w:val="center"/>
                </w:tcPr>
                <w:p w14:paraId="0743CF6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设备</w:t>
                  </w:r>
                </w:p>
              </w:tc>
              <w:tc>
                <w:tcPr>
                  <w:tcW w:w="1619" w:type="dxa"/>
                  <w:vAlign w:val="center"/>
                </w:tcPr>
                <w:p w14:paraId="04E17FD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设备噪声</w:t>
                  </w:r>
                </w:p>
              </w:tc>
              <w:tc>
                <w:tcPr>
                  <w:tcW w:w="3835" w:type="dxa"/>
                  <w:vAlign w:val="center"/>
                </w:tcPr>
                <w:p w14:paraId="7F5F12D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基础减震、建筑隔声、厂区绿化</w:t>
                  </w:r>
                </w:p>
              </w:tc>
            </w:tr>
          </w:tbl>
          <w:p w14:paraId="5AC7F75D">
            <w:pPr>
              <w:keepNext w:val="0"/>
              <w:keepLines w:val="0"/>
              <w:suppressLineNumbers w:val="0"/>
              <w:tabs>
                <w:tab w:val="left" w:pos="9127"/>
              </w:tabs>
              <w:spacing w:before="0" w:beforeAutospacing="0" w:after="0" w:afterAutospacing="0"/>
              <w:ind w:left="0" w:right="0" w:firstLine="520" w:firstLineChars="200"/>
              <w:jc w:val="center"/>
              <w:rPr>
                <w:rFonts w:hint="eastAsia"/>
                <w:color w:val="auto"/>
                <w:sz w:val="26"/>
                <w:szCs w:val="26"/>
                <w:highlight w:val="none"/>
              </w:rPr>
            </w:pPr>
          </w:p>
          <w:p w14:paraId="4A2B04A3">
            <w:pPr>
              <w:keepNext w:val="0"/>
              <w:keepLines w:val="0"/>
              <w:suppressLineNumbers w:val="0"/>
              <w:adjustRightInd w:val="0"/>
              <w:snapToGrid w:val="0"/>
              <w:spacing w:before="0" w:beforeAutospacing="0" w:after="0" w:afterAutospacing="0" w:line="400" w:lineRule="exact"/>
              <w:ind w:left="0" w:right="0" w:firstLine="522" w:firstLineChars="200"/>
              <w:jc w:val="left"/>
              <w:rPr>
                <w:rFonts w:hint="default" w:eastAsia="宋体"/>
                <w:b/>
                <w:bCs/>
                <w:color w:val="auto"/>
                <w:sz w:val="26"/>
                <w:szCs w:val="26"/>
                <w:highlight w:val="none"/>
                <w:lang w:val="en-US" w:eastAsia="zh-CN"/>
              </w:rPr>
            </w:pPr>
            <w:r>
              <w:rPr>
                <w:rFonts w:hint="default"/>
                <w:b/>
                <w:bCs/>
                <w:color w:val="auto"/>
                <w:sz w:val="26"/>
                <w:szCs w:val="26"/>
                <w:highlight w:val="none"/>
              </w:rPr>
              <w:t>2.</w:t>
            </w:r>
            <w:r>
              <w:rPr>
                <w:rFonts w:hint="eastAsia"/>
                <w:b/>
                <w:bCs/>
                <w:color w:val="auto"/>
                <w:sz w:val="26"/>
                <w:szCs w:val="26"/>
                <w:highlight w:val="none"/>
                <w:lang w:val="en-US" w:eastAsia="zh-CN"/>
              </w:rPr>
              <w:t>8</w:t>
            </w:r>
            <w:r>
              <w:rPr>
                <w:rFonts w:hint="eastAsia"/>
                <w:b/>
                <w:bCs/>
                <w:color w:val="auto"/>
                <w:sz w:val="26"/>
                <w:szCs w:val="26"/>
                <w:highlight w:val="none"/>
              </w:rPr>
              <w:t>水平衡</w:t>
            </w:r>
            <w:r>
              <w:rPr>
                <w:rFonts w:hint="eastAsia"/>
                <w:b/>
                <w:bCs/>
                <w:color w:val="auto"/>
                <w:sz w:val="26"/>
                <w:szCs w:val="26"/>
                <w:highlight w:val="none"/>
                <w:lang w:val="en-US" w:eastAsia="zh-CN"/>
              </w:rPr>
              <w:t>及物料平衡</w:t>
            </w:r>
          </w:p>
          <w:p w14:paraId="6A54354D">
            <w:pPr>
              <w:pStyle w:val="14"/>
              <w:keepNext w:val="0"/>
              <w:keepLines w:val="0"/>
              <w:suppressLineNumbers w:val="0"/>
              <w:bidi w:val="0"/>
              <w:spacing w:before="0" w:beforeAutospacing="0" w:after="0" w:afterAutospacing="0"/>
              <w:ind w:right="0"/>
              <w:rPr>
                <w:rFonts w:hint="eastAsia"/>
                <w:b/>
                <w:bCs/>
                <w:color w:val="auto"/>
                <w:highlight w:val="none"/>
                <w:lang w:val="en-US" w:eastAsia="zh-CN"/>
              </w:rPr>
            </w:pPr>
            <w:r>
              <w:rPr>
                <w:rFonts w:hint="eastAsia"/>
                <w:b/>
                <w:bCs/>
                <w:color w:val="auto"/>
                <w:highlight w:val="none"/>
                <w:lang w:val="en-US" w:eastAsia="zh-CN"/>
              </w:rPr>
              <w:t>2.8.1物料平衡</w:t>
            </w:r>
          </w:p>
          <w:p w14:paraId="0E727CD8">
            <w:pPr>
              <w:pStyle w:val="74"/>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default"/>
                <w:color w:val="auto"/>
                <w:highlight w:val="none"/>
              </w:rPr>
              <w:t>本项目生产的离合器摩擦片物料平衡如下图所示</w:t>
            </w:r>
            <w:r>
              <w:rPr>
                <w:rFonts w:hint="eastAsia"/>
                <w:color w:val="auto"/>
                <w:highlight w:val="none"/>
                <w:lang w:eastAsia="zh-CN"/>
              </w:rPr>
              <w:t>：</w:t>
            </w:r>
          </w:p>
          <w:p w14:paraId="6DBDCF03">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object>
                <v:shape id="_x0000_i1027" o:spt="75" type="#_x0000_t75" style="height:257.8pt;width:459.05pt;" o:ole="t" filled="f" o:preferrelative="t" stroked="f" coordsize="21600,21600">
                  <v:path/>
                  <v:fill on="f" focussize="0,0"/>
                  <v:stroke on="f"/>
                  <v:imagedata r:id="rId15" o:title=""/>
                  <o:lock v:ext="edit" aspectratio="f"/>
                  <w10:wrap type="none"/>
                  <w10:anchorlock/>
                </v:shape>
                <o:OLEObject Type="Embed" ProgID="Visio.Drawing.15" ShapeID="_x0000_i1027" DrawAspect="Content" ObjectID="_1468075727" r:id="rId14">
                  <o:LockedField>false</o:LockedField>
                </o:OLEObject>
              </w:object>
            </w:r>
            <w:r>
              <w:rPr>
                <w:rFonts w:hint="default"/>
                <w:color w:val="auto"/>
                <w:sz w:val="26"/>
                <w:szCs w:val="26"/>
                <w:highlight w:val="none"/>
              </w:rPr>
              <w:t>图2.</w:t>
            </w:r>
            <w:r>
              <w:rPr>
                <w:rFonts w:hint="eastAsia"/>
                <w:color w:val="auto"/>
                <w:sz w:val="26"/>
                <w:szCs w:val="26"/>
                <w:highlight w:val="none"/>
                <w:lang w:val="en-US" w:eastAsia="zh-CN"/>
              </w:rPr>
              <w:t>8-1</w:t>
            </w:r>
            <w:r>
              <w:rPr>
                <w:rFonts w:hint="default"/>
                <w:color w:val="auto"/>
                <w:sz w:val="26"/>
                <w:szCs w:val="26"/>
                <w:highlight w:val="none"/>
              </w:rPr>
              <w:t xml:space="preserve"> 项目离合器摩擦片物料平衡图（单位：t/a）</w:t>
            </w:r>
          </w:p>
          <w:p w14:paraId="29679BA6">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p>
          <w:p w14:paraId="04402E45">
            <w:pPr>
              <w:pStyle w:val="14"/>
              <w:keepNext w:val="0"/>
              <w:keepLines w:val="0"/>
              <w:suppressLineNumbers w:val="0"/>
              <w:bidi w:val="0"/>
              <w:spacing w:before="0" w:beforeAutospacing="0" w:after="0" w:afterAutospacing="0"/>
              <w:ind w:right="0"/>
              <w:rPr>
                <w:rFonts w:hint="default"/>
                <w:b/>
                <w:bCs/>
                <w:color w:val="auto"/>
                <w:highlight w:val="none"/>
                <w:lang w:val="en-US" w:eastAsia="zh-CN"/>
              </w:rPr>
            </w:pPr>
            <w:r>
              <w:rPr>
                <w:rFonts w:hint="eastAsia"/>
                <w:b/>
                <w:bCs/>
                <w:color w:val="auto"/>
                <w:highlight w:val="none"/>
                <w:lang w:val="en-US" w:eastAsia="zh-CN"/>
              </w:rPr>
              <w:t>2.8.2水平衡</w:t>
            </w:r>
          </w:p>
          <w:p w14:paraId="0E66D084">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bCs/>
                <w:color w:val="auto"/>
                <w:sz w:val="26"/>
                <w:szCs w:val="26"/>
                <w:highlight w:val="none"/>
                <w:lang w:val="en-US" w:eastAsia="zh-CN"/>
              </w:rPr>
            </w:pPr>
            <w:r>
              <w:rPr>
                <w:rFonts w:hint="eastAsia"/>
                <w:bCs/>
                <w:color w:val="auto"/>
                <w:sz w:val="26"/>
                <w:szCs w:val="26"/>
                <w:highlight w:val="none"/>
                <w:lang w:val="en-US" w:eastAsia="zh-CN"/>
              </w:rPr>
              <w:t>本项目营运期用水环节主要包括乙醇废气喷淋塔用水、离合器清洗用水、员工办公生活用水、综合楼的地面清洁用水、食堂用水、冷却用水：</w:t>
            </w:r>
          </w:p>
          <w:p w14:paraId="47798496">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bCs/>
                <w:color w:val="auto"/>
                <w:sz w:val="26"/>
                <w:szCs w:val="26"/>
                <w:highlight w:val="none"/>
                <w:lang w:val="en-US" w:eastAsia="zh-CN"/>
              </w:rPr>
            </w:pPr>
            <w:r>
              <w:rPr>
                <w:rFonts w:hint="eastAsia"/>
                <w:bCs/>
                <w:color w:val="auto"/>
                <w:sz w:val="26"/>
                <w:szCs w:val="26"/>
                <w:highlight w:val="none"/>
                <w:lang w:val="en-US" w:eastAsia="zh-CN"/>
              </w:rPr>
              <w:t>（1）乙醇废气处理废液：由于乙醇能与水任意比例混溶，本项目水喷淋吸收塔用水量约为2.5t/a，每月更换4次，每次新鲜用水量约为0.3t，吸收乙醇废气后产生的乙醇废气处理废液为25.2t/a（水14.4t/a+水喷淋下来的乙醇废气10.8t/a），交由有危废处理资质的单位进行处置。</w:t>
            </w:r>
          </w:p>
          <w:p w14:paraId="261E774D">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ascii="Times New Roman" w:hAnsi="Times New Roman" w:cs="Times New Roman"/>
                <w:bCs/>
                <w:color w:val="auto"/>
                <w:sz w:val="26"/>
                <w:szCs w:val="26"/>
                <w:highlight w:val="none"/>
                <w:lang w:val="en-US" w:eastAsia="zh-CN"/>
              </w:rPr>
            </w:pPr>
            <w:r>
              <w:rPr>
                <w:rFonts w:hint="default" w:ascii="Times New Roman" w:hAnsi="Times New Roman" w:cs="Times New Roman"/>
                <w:bCs/>
                <w:color w:val="auto"/>
                <w:sz w:val="26"/>
                <w:szCs w:val="26"/>
                <w:highlight w:val="none"/>
                <w:lang w:val="en-US" w:eastAsia="zh-CN"/>
              </w:rPr>
              <w:t>（2）模具、挤压机冷却用水：《工业循环冷却水处理设计规范》，间冷开式循环冷却水系统的补充水量（Qₘ）</w:t>
            </w:r>
            <w:r>
              <w:rPr>
                <w:rFonts w:hint="eastAsia" w:ascii="Times New Roman" w:hAnsi="Times New Roman" w:cs="Times New Roman"/>
                <w:bCs/>
                <w:color w:val="auto"/>
                <w:sz w:val="26"/>
                <w:szCs w:val="26"/>
                <w:highlight w:val="none"/>
                <w:lang w:val="en-US" w:eastAsia="zh-CN"/>
              </w:rPr>
              <w:t>，</w:t>
            </w:r>
            <w:r>
              <w:rPr>
                <w:rFonts w:hint="default" w:ascii="Times New Roman" w:hAnsi="Times New Roman" w:cs="Times New Roman"/>
                <w:bCs/>
                <w:color w:val="auto"/>
                <w:sz w:val="26"/>
                <w:szCs w:val="26"/>
                <w:highlight w:val="none"/>
                <w:lang w:val="en-US" w:eastAsia="zh-CN"/>
              </w:rPr>
              <w:t>需考虑蒸发损失（Qₑ）</w:t>
            </w:r>
            <w:r>
              <w:rPr>
                <w:rFonts w:hint="eastAsia" w:cs="Times New Roman"/>
                <w:bCs/>
                <w:color w:val="auto"/>
                <w:sz w:val="26"/>
                <w:szCs w:val="26"/>
                <w:highlight w:val="none"/>
                <w:lang w:val="en-US" w:eastAsia="zh-CN"/>
              </w:rPr>
              <w:t>、</w:t>
            </w:r>
            <w:r>
              <w:rPr>
                <w:rFonts w:hint="default" w:ascii="Times New Roman" w:hAnsi="Times New Roman" w:cs="Times New Roman"/>
                <w:bCs/>
                <w:color w:val="auto"/>
                <w:sz w:val="26"/>
                <w:szCs w:val="26"/>
                <w:highlight w:val="none"/>
                <w:lang w:val="en-US" w:eastAsia="zh-CN"/>
              </w:rPr>
              <w:t>风吹损失（Q</w:t>
            </w:r>
            <w:r>
              <w:rPr>
                <w:rFonts w:hint="eastAsia" w:cs="Times New Roman"/>
                <w:bCs/>
                <w:color w:val="auto"/>
                <w:sz w:val="26"/>
                <w:szCs w:val="26"/>
                <w:highlight w:val="none"/>
                <w:vertAlign w:val="subscript"/>
                <w:lang w:val="en-US" w:eastAsia="zh-CN"/>
              </w:rPr>
              <w:t>w</w:t>
            </w:r>
            <w:r>
              <w:rPr>
                <w:rFonts w:hint="default" w:ascii="Times New Roman" w:hAnsi="Times New Roman" w:cs="Times New Roman"/>
                <w:bCs/>
                <w:color w:val="auto"/>
                <w:sz w:val="26"/>
                <w:szCs w:val="26"/>
                <w:highlight w:val="none"/>
                <w:lang w:val="en-US" w:eastAsia="zh-CN"/>
              </w:rPr>
              <w:t>）</w:t>
            </w:r>
            <w:r>
              <w:rPr>
                <w:rFonts w:hint="eastAsia" w:cs="Times New Roman"/>
                <w:bCs/>
                <w:color w:val="auto"/>
                <w:sz w:val="26"/>
                <w:szCs w:val="26"/>
                <w:highlight w:val="none"/>
                <w:lang w:val="en-US" w:eastAsia="zh-CN"/>
              </w:rPr>
              <w:t>、</w:t>
            </w:r>
            <w:r>
              <w:rPr>
                <w:rFonts w:hint="default" w:ascii="Times New Roman" w:hAnsi="Times New Roman" w:cs="Times New Roman"/>
                <w:bCs/>
                <w:color w:val="auto"/>
                <w:sz w:val="26"/>
                <w:szCs w:val="26"/>
                <w:highlight w:val="none"/>
                <w:lang w:val="en-US" w:eastAsia="zh-CN"/>
              </w:rPr>
              <w:t>排污水量（Qᵦ）</w:t>
            </w:r>
            <w:r>
              <w:rPr>
                <w:rFonts w:hint="eastAsia" w:ascii="Times New Roman" w:hAnsi="Times New Roman" w:cs="Times New Roman"/>
                <w:bCs/>
                <w:color w:val="auto"/>
                <w:sz w:val="26"/>
                <w:szCs w:val="26"/>
                <w:highlight w:val="none"/>
                <w:lang w:val="en-US" w:eastAsia="zh-CN"/>
              </w:rPr>
              <w:t>。因此计算公式为：</w:t>
            </w:r>
          </w:p>
          <w:p w14:paraId="5CB78D66">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ascii="Times New Roman" w:hAnsi="Times New Roman" w:cs="Times New Roman"/>
                <w:bCs/>
                <w:color w:val="auto"/>
                <w:sz w:val="26"/>
                <w:szCs w:val="26"/>
                <w:highlight w:val="none"/>
                <w:lang w:val="en-US" w:eastAsia="zh-CN"/>
              </w:rPr>
            </w:pPr>
            <w:r>
              <w:rPr>
                <w:rFonts w:hint="default" w:ascii="Times New Roman" w:hAnsi="Times New Roman" w:cs="Times New Roman"/>
                <w:bCs/>
                <w:color w:val="auto"/>
                <w:sz w:val="26"/>
                <w:szCs w:val="26"/>
                <w:highlight w:val="none"/>
                <w:lang w:val="en-US" w:eastAsia="zh-CN"/>
              </w:rPr>
              <w:t>Qₘ=Qₑ+Q</w:t>
            </w:r>
            <w:r>
              <w:rPr>
                <w:rFonts w:hint="default" w:ascii="Times New Roman" w:hAnsi="Times New Roman" w:cs="Times New Roman"/>
                <w:bCs/>
                <w:color w:val="auto"/>
                <w:sz w:val="26"/>
                <w:szCs w:val="26"/>
                <w:highlight w:val="none"/>
                <w:vertAlign w:val="subscript"/>
                <w:lang w:val="en-US" w:eastAsia="zh-CN"/>
              </w:rPr>
              <w:t>w</w:t>
            </w:r>
            <w:r>
              <w:rPr>
                <w:rFonts w:hint="default" w:ascii="Times New Roman" w:hAnsi="Times New Roman" w:cs="Times New Roman"/>
                <w:bCs/>
                <w:color w:val="auto"/>
                <w:sz w:val="26"/>
                <w:szCs w:val="26"/>
                <w:highlight w:val="none"/>
                <w:lang w:val="en-US" w:eastAsia="zh-CN"/>
              </w:rPr>
              <w:t>+</w:t>
            </w:r>
            <w:r>
              <w:rPr>
                <w:rFonts w:hint="eastAsia" w:ascii="Times New Roman" w:hAnsi="Times New Roman" w:cs="Times New Roman"/>
                <w:bCs/>
                <w:color w:val="auto"/>
                <w:sz w:val="26"/>
                <w:szCs w:val="26"/>
                <w:highlight w:val="none"/>
                <w:lang w:val="en-US" w:eastAsia="zh-CN"/>
              </w:rPr>
              <w:t>Qᵦ</w:t>
            </w:r>
          </w:p>
          <w:p w14:paraId="0626ACF7">
            <w:pPr>
              <w:keepNext w:val="0"/>
              <w:keepLines w:val="0"/>
              <w:suppressLineNumbers w:val="0"/>
              <w:adjustRightInd w:val="0"/>
              <w:snapToGrid w:val="0"/>
              <w:spacing w:before="0" w:beforeAutospacing="0" w:after="0" w:afterAutospacing="0" w:line="400" w:lineRule="exact"/>
              <w:ind w:left="0" w:right="0" w:firstLine="520" w:firstLineChars="200"/>
              <w:jc w:val="left"/>
              <w:rPr>
                <w:rFonts w:hint="default" w:ascii="Times New Roman" w:hAnsi="Times New Roman" w:cs="Times New Roman"/>
                <w:bCs/>
                <w:color w:val="auto"/>
                <w:sz w:val="26"/>
                <w:szCs w:val="26"/>
                <w:highlight w:val="none"/>
                <w:lang w:val="en-US" w:eastAsia="zh-CN"/>
              </w:rPr>
            </w:pPr>
            <w:r>
              <w:rPr>
                <w:rFonts w:hint="default" w:ascii="Times New Roman" w:hAnsi="Times New Roman" w:cs="Times New Roman"/>
                <w:bCs/>
                <w:color w:val="auto"/>
                <w:sz w:val="26"/>
                <w:szCs w:val="26"/>
                <w:highlight w:val="none"/>
                <w:lang w:val="en-US" w:eastAsia="zh-CN"/>
              </w:rPr>
              <w:t>循环水池</w:t>
            </w:r>
            <w:r>
              <w:rPr>
                <w:rFonts w:hint="eastAsia" w:ascii="Times New Roman" w:hAnsi="Times New Roman" w:cs="Times New Roman"/>
                <w:bCs/>
                <w:color w:val="auto"/>
                <w:sz w:val="26"/>
                <w:szCs w:val="26"/>
                <w:highlight w:val="none"/>
                <w:lang w:val="en-US" w:eastAsia="zh-CN"/>
              </w:rPr>
              <w:t>总</w:t>
            </w:r>
            <w:r>
              <w:rPr>
                <w:rFonts w:hint="default" w:ascii="Times New Roman" w:hAnsi="Times New Roman" w:cs="Times New Roman"/>
                <w:bCs/>
                <w:color w:val="auto"/>
                <w:sz w:val="26"/>
                <w:szCs w:val="26"/>
                <w:highlight w:val="none"/>
                <w:lang w:val="en-US" w:eastAsia="zh-CN"/>
              </w:rPr>
              <w:t>容积</w:t>
            </w:r>
            <w:r>
              <w:rPr>
                <w:rFonts w:hint="eastAsia" w:ascii="Times New Roman" w:hAnsi="Times New Roman" w:cs="Times New Roman"/>
                <w:bCs/>
                <w:color w:val="auto"/>
                <w:sz w:val="26"/>
                <w:szCs w:val="26"/>
                <w:highlight w:val="none"/>
                <w:lang w:val="en-US" w:eastAsia="zh-CN"/>
              </w:rPr>
              <w:t>为6</w:t>
            </w:r>
            <w:r>
              <w:rPr>
                <w:rFonts w:hint="default" w:ascii="Times New Roman" w:hAnsi="Times New Roman" w:cs="Times New Roman"/>
                <w:bCs/>
                <w:color w:val="auto"/>
                <w:sz w:val="26"/>
                <w:szCs w:val="26"/>
                <w:highlight w:val="none"/>
                <w:lang w:val="en-US" w:eastAsia="zh-CN"/>
              </w:rPr>
              <w:t>0m</w:t>
            </w:r>
            <w:r>
              <w:rPr>
                <w:rFonts w:hint="eastAsia" w:ascii="Times New Roman" w:hAnsi="Times New Roman" w:cs="Times New Roman"/>
                <w:bCs/>
                <w:color w:val="auto"/>
                <w:sz w:val="26"/>
                <w:szCs w:val="26"/>
                <w:highlight w:val="none"/>
                <w:vertAlign w:val="superscript"/>
                <w:lang w:val="en-US" w:eastAsia="zh-CN"/>
              </w:rPr>
              <w:t>3</w:t>
            </w:r>
            <w:r>
              <w:rPr>
                <w:rFonts w:hint="default" w:ascii="Times New Roman" w:hAnsi="Times New Roman" w:cs="Times New Roman"/>
                <w:bCs/>
                <w:color w:val="auto"/>
                <w:sz w:val="26"/>
                <w:szCs w:val="26"/>
                <w:highlight w:val="none"/>
                <w:lang w:val="en-US" w:eastAsia="zh-CN"/>
              </w:rPr>
              <w:t>，每小时循环</w:t>
            </w:r>
            <w:r>
              <w:rPr>
                <w:rFonts w:hint="eastAsia" w:ascii="Times New Roman" w:hAnsi="Times New Roman" w:cs="Times New Roman"/>
                <w:bCs/>
                <w:color w:val="auto"/>
                <w:sz w:val="26"/>
                <w:szCs w:val="26"/>
                <w:highlight w:val="none"/>
                <w:lang w:val="en-US" w:eastAsia="zh-CN"/>
              </w:rPr>
              <w:t>2</w:t>
            </w:r>
            <w:r>
              <w:rPr>
                <w:rFonts w:hint="default" w:ascii="Times New Roman" w:hAnsi="Times New Roman" w:cs="Times New Roman"/>
                <w:bCs/>
                <w:color w:val="auto"/>
                <w:sz w:val="26"/>
                <w:szCs w:val="26"/>
                <w:highlight w:val="none"/>
                <w:lang w:val="en-US" w:eastAsia="zh-CN"/>
              </w:rPr>
              <w:t>次，则压铸模具冷却</w:t>
            </w:r>
            <w:r>
              <w:rPr>
                <w:rFonts w:hint="eastAsia" w:ascii="Times New Roman" w:hAnsi="Times New Roman" w:cs="Times New Roman"/>
                <w:bCs/>
                <w:color w:val="auto"/>
                <w:sz w:val="26"/>
                <w:szCs w:val="26"/>
                <w:highlight w:val="none"/>
                <w:lang w:val="en-US" w:eastAsia="zh-CN"/>
              </w:rPr>
              <w:t>水系统的循环水量为</w:t>
            </w:r>
            <w:r>
              <w:rPr>
                <w:rFonts w:hint="default" w:ascii="Times New Roman" w:hAnsi="Times New Roman" w:cs="Times New Roman"/>
                <w:bCs/>
                <w:color w:val="auto"/>
                <w:sz w:val="26"/>
                <w:szCs w:val="26"/>
                <w:highlight w:val="none"/>
                <w:lang w:val="en-US" w:eastAsia="zh-CN"/>
              </w:rPr>
              <w:t>Qᵣ</w:t>
            </w:r>
            <w:r>
              <w:rPr>
                <w:rFonts w:hint="eastAsia" w:ascii="Times New Roman" w:hAnsi="Times New Roman" w:cs="Times New Roman"/>
                <w:bCs/>
                <w:color w:val="auto"/>
                <w:sz w:val="26"/>
                <w:szCs w:val="26"/>
                <w:highlight w:val="none"/>
                <w:vertAlign w:val="subscript"/>
                <w:lang w:val="en-US" w:eastAsia="zh-CN"/>
              </w:rPr>
              <w:t>1</w:t>
            </w:r>
            <w:r>
              <w:rPr>
                <w:rFonts w:hint="default" w:ascii="Times New Roman" w:hAnsi="Times New Roman" w:cs="Times New Roman"/>
                <w:bCs/>
                <w:color w:val="auto"/>
                <w:sz w:val="26"/>
                <w:szCs w:val="26"/>
                <w:highlight w:val="none"/>
                <w:lang w:val="en-US" w:eastAsia="zh-CN"/>
              </w:rPr>
              <w:t>=</w:t>
            </w:r>
            <w:r>
              <w:rPr>
                <w:rFonts w:hint="eastAsia" w:ascii="Times New Roman" w:hAnsi="Times New Roman" w:cs="Times New Roman"/>
                <w:bCs/>
                <w:color w:val="auto"/>
                <w:sz w:val="26"/>
                <w:szCs w:val="26"/>
                <w:highlight w:val="none"/>
                <w:lang w:val="en-US" w:eastAsia="zh-CN"/>
              </w:rPr>
              <w:t>50*2=100m</w:t>
            </w:r>
            <w:r>
              <w:rPr>
                <w:rFonts w:hint="eastAsia" w:ascii="Times New Roman" w:hAnsi="Times New Roman" w:cs="Times New Roman"/>
                <w:bCs/>
                <w:color w:val="auto"/>
                <w:sz w:val="26"/>
                <w:szCs w:val="26"/>
                <w:highlight w:val="none"/>
                <w:vertAlign w:val="superscript"/>
                <w:lang w:val="en-US" w:eastAsia="zh-CN"/>
              </w:rPr>
              <w:t>3</w:t>
            </w:r>
            <w:r>
              <w:rPr>
                <w:rFonts w:hint="eastAsia" w:ascii="Times New Roman" w:hAnsi="Times New Roman" w:cs="Times New Roman"/>
                <w:bCs/>
                <w:color w:val="auto"/>
                <w:sz w:val="26"/>
                <w:szCs w:val="26"/>
                <w:highlight w:val="none"/>
                <w:lang w:val="en-US" w:eastAsia="zh-CN"/>
              </w:rPr>
              <w:t>/h，挤压工序冷却水系统的循环水量</w:t>
            </w:r>
            <w:r>
              <w:rPr>
                <w:rFonts w:hint="default" w:ascii="Times New Roman" w:hAnsi="Times New Roman" w:cs="Times New Roman"/>
                <w:bCs/>
                <w:color w:val="auto"/>
                <w:sz w:val="26"/>
                <w:szCs w:val="26"/>
                <w:highlight w:val="none"/>
                <w:lang w:val="en-US" w:eastAsia="zh-CN"/>
              </w:rPr>
              <w:t>Qᵣ</w:t>
            </w:r>
            <w:r>
              <w:rPr>
                <w:rFonts w:hint="eastAsia" w:cs="Times New Roman"/>
                <w:bCs/>
                <w:color w:val="auto"/>
                <w:sz w:val="26"/>
                <w:szCs w:val="26"/>
                <w:highlight w:val="none"/>
                <w:vertAlign w:val="subscript"/>
                <w:lang w:val="en-US" w:eastAsia="zh-CN"/>
              </w:rPr>
              <w:t>2</w:t>
            </w:r>
            <w:r>
              <w:rPr>
                <w:rFonts w:hint="default" w:ascii="Times New Roman" w:hAnsi="Times New Roman" w:cs="Times New Roman"/>
                <w:bCs/>
                <w:color w:val="auto"/>
                <w:sz w:val="26"/>
                <w:szCs w:val="26"/>
                <w:highlight w:val="none"/>
                <w:lang w:val="en-US" w:eastAsia="zh-CN"/>
              </w:rPr>
              <w:t>=</w:t>
            </w:r>
            <w:r>
              <w:rPr>
                <w:rFonts w:hint="eastAsia" w:cs="Times New Roman"/>
                <w:bCs/>
                <w:color w:val="auto"/>
                <w:sz w:val="26"/>
                <w:szCs w:val="26"/>
                <w:highlight w:val="none"/>
                <w:lang w:val="en-US" w:eastAsia="zh-CN"/>
              </w:rPr>
              <w:t>1</w:t>
            </w:r>
            <w:r>
              <w:rPr>
                <w:rFonts w:hint="eastAsia" w:ascii="Times New Roman" w:hAnsi="Times New Roman" w:cs="Times New Roman"/>
                <w:bCs/>
                <w:color w:val="auto"/>
                <w:sz w:val="26"/>
                <w:szCs w:val="26"/>
                <w:highlight w:val="none"/>
                <w:lang w:val="en-US" w:eastAsia="zh-CN"/>
              </w:rPr>
              <w:t>0*</w:t>
            </w:r>
            <w:r>
              <w:rPr>
                <w:rFonts w:hint="eastAsia" w:cs="Times New Roman"/>
                <w:bCs/>
                <w:color w:val="auto"/>
                <w:sz w:val="26"/>
                <w:szCs w:val="26"/>
                <w:highlight w:val="none"/>
                <w:lang w:val="en-US" w:eastAsia="zh-CN"/>
              </w:rPr>
              <w:t>2</w:t>
            </w:r>
            <w:r>
              <w:rPr>
                <w:rFonts w:hint="eastAsia" w:ascii="Times New Roman" w:hAnsi="Times New Roman" w:cs="Times New Roman"/>
                <w:bCs/>
                <w:color w:val="auto"/>
                <w:sz w:val="26"/>
                <w:szCs w:val="26"/>
                <w:highlight w:val="none"/>
                <w:lang w:val="en-US" w:eastAsia="zh-CN"/>
              </w:rPr>
              <w:t>=</w:t>
            </w:r>
            <w:r>
              <w:rPr>
                <w:rFonts w:hint="eastAsia" w:cs="Times New Roman"/>
                <w:bCs/>
                <w:color w:val="auto"/>
                <w:sz w:val="26"/>
                <w:szCs w:val="26"/>
                <w:highlight w:val="none"/>
                <w:lang w:val="en-US" w:eastAsia="zh-CN"/>
              </w:rPr>
              <w:t>20</w:t>
            </w:r>
            <w:r>
              <w:rPr>
                <w:rFonts w:hint="eastAsia" w:ascii="Times New Roman" w:hAnsi="Times New Roman" w:cs="Times New Roman"/>
                <w:bCs/>
                <w:color w:val="auto"/>
                <w:sz w:val="26"/>
                <w:szCs w:val="26"/>
                <w:highlight w:val="none"/>
                <w:lang w:val="en-US" w:eastAsia="zh-CN"/>
              </w:rPr>
              <w:t>m</w:t>
            </w:r>
            <w:r>
              <w:rPr>
                <w:rFonts w:hint="eastAsia" w:ascii="Times New Roman" w:hAnsi="Times New Roman" w:cs="Times New Roman"/>
                <w:bCs/>
                <w:color w:val="auto"/>
                <w:sz w:val="26"/>
                <w:szCs w:val="26"/>
                <w:highlight w:val="none"/>
                <w:vertAlign w:val="superscript"/>
                <w:lang w:val="en-US" w:eastAsia="zh-CN"/>
              </w:rPr>
              <w:t>3</w:t>
            </w:r>
            <w:r>
              <w:rPr>
                <w:rFonts w:hint="eastAsia" w:ascii="Times New Roman" w:hAnsi="Times New Roman" w:cs="Times New Roman"/>
                <w:bCs/>
                <w:color w:val="auto"/>
                <w:sz w:val="26"/>
                <w:szCs w:val="26"/>
                <w:highlight w:val="none"/>
                <w:lang w:val="en-US" w:eastAsia="zh-CN"/>
              </w:rPr>
              <w:t>/h</w:t>
            </w:r>
            <w:r>
              <w:rPr>
                <w:rFonts w:hint="eastAsia" w:cs="Times New Roman"/>
                <w:bCs/>
                <w:color w:val="auto"/>
                <w:sz w:val="26"/>
                <w:szCs w:val="26"/>
                <w:highlight w:val="none"/>
                <w:lang w:val="en-US" w:eastAsia="zh-CN"/>
              </w:rPr>
              <w:t>。</w:t>
            </w:r>
          </w:p>
          <w:p w14:paraId="7DB6C0DF">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ascii="Times New Roman" w:hAnsi="Times New Roman" w:cs="Times New Roman"/>
                <w:bCs/>
                <w:color w:val="auto"/>
                <w:sz w:val="26"/>
                <w:szCs w:val="26"/>
                <w:highlight w:val="none"/>
                <w:lang w:val="en-US" w:eastAsia="zh-CN"/>
              </w:rPr>
            </w:pPr>
            <w:r>
              <w:rPr>
                <w:rFonts w:hint="eastAsia" w:ascii="Times New Roman" w:hAnsi="Times New Roman" w:cs="Times New Roman"/>
                <w:bCs/>
                <w:color w:val="auto"/>
                <w:sz w:val="26"/>
                <w:szCs w:val="26"/>
                <w:highlight w:val="none"/>
                <w:lang w:val="en-US" w:eastAsia="zh-CN"/>
              </w:rPr>
              <w:t>蒸发损失：Q</w:t>
            </w:r>
            <w:r>
              <w:rPr>
                <w:rFonts w:hint="eastAsia" w:ascii="Times New Roman" w:hAnsi="Times New Roman" w:cs="Times New Roman"/>
                <w:bCs/>
                <w:color w:val="auto"/>
                <w:sz w:val="26"/>
                <w:szCs w:val="26"/>
                <w:highlight w:val="none"/>
                <w:vertAlign w:val="subscript"/>
                <w:lang w:val="en-US" w:eastAsia="zh-CN"/>
              </w:rPr>
              <w:t>e</w:t>
            </w:r>
            <w:r>
              <w:rPr>
                <w:rFonts w:hint="eastAsia" w:ascii="Times New Roman" w:hAnsi="Times New Roman" w:cs="Times New Roman"/>
                <w:bCs/>
                <w:color w:val="auto"/>
                <w:sz w:val="26"/>
                <w:szCs w:val="26"/>
                <w:highlight w:val="none"/>
                <w:vertAlign w:val="baseline"/>
                <w:lang w:val="en-US" w:eastAsia="zh-CN"/>
              </w:rPr>
              <w:t>/</w:t>
            </w:r>
            <w:r>
              <w:rPr>
                <w:rFonts w:hint="eastAsia" w:ascii="Times New Roman" w:hAnsi="Times New Roman" w:cs="Times New Roman"/>
                <w:bCs/>
                <w:color w:val="auto"/>
                <w:sz w:val="26"/>
                <w:szCs w:val="26"/>
                <w:highlight w:val="none"/>
                <w:lang w:val="en-US" w:eastAsia="zh-CN"/>
              </w:rPr>
              <w:t>Q</w:t>
            </w:r>
            <w:r>
              <w:rPr>
                <w:rFonts w:hint="eastAsia" w:ascii="Times New Roman" w:hAnsi="Times New Roman" w:cs="Times New Roman"/>
                <w:bCs/>
                <w:color w:val="auto"/>
                <w:sz w:val="26"/>
                <w:szCs w:val="26"/>
                <w:highlight w:val="none"/>
                <w:vertAlign w:val="subscript"/>
                <w:lang w:val="en-US" w:eastAsia="zh-CN"/>
              </w:rPr>
              <w:t>r</w:t>
            </w:r>
            <w:r>
              <w:rPr>
                <w:rFonts w:hint="eastAsia" w:ascii="Times New Roman" w:hAnsi="Times New Roman" w:cs="Times New Roman"/>
                <w:bCs/>
                <w:color w:val="auto"/>
                <w:sz w:val="26"/>
                <w:szCs w:val="26"/>
                <w:highlight w:val="none"/>
                <w:lang w:val="en-US" w:eastAsia="zh-CN"/>
              </w:rPr>
              <w:t>=kΔt×100%，k：蒸发系数（0.0015~0.0019 /℃，30℃时取0.0017）；Δt：冷却塔温差，5℃；0.0017×5×100%=0.85%。</w:t>
            </w:r>
          </w:p>
          <w:p w14:paraId="4C1B1842">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ascii="Times New Roman" w:hAnsi="Times New Roman" w:cs="Times New Roman"/>
                <w:bCs/>
                <w:color w:val="auto"/>
                <w:sz w:val="26"/>
                <w:szCs w:val="26"/>
                <w:highlight w:val="none"/>
                <w:lang w:val="en-US" w:eastAsia="zh-CN"/>
              </w:rPr>
            </w:pPr>
            <w:r>
              <w:rPr>
                <w:rFonts w:hint="eastAsia" w:ascii="Times New Roman" w:hAnsi="Times New Roman" w:cs="Times New Roman"/>
                <w:bCs/>
                <w:color w:val="auto"/>
                <w:sz w:val="26"/>
                <w:szCs w:val="26"/>
                <w:highlight w:val="none"/>
                <w:lang w:val="en-US" w:eastAsia="zh-CN"/>
              </w:rPr>
              <w:t>风吹损失：循环水量的0.1%~0.3%，取0.2%。</w:t>
            </w:r>
          </w:p>
          <w:p w14:paraId="28D1C4A8">
            <w:pPr>
              <w:keepNext w:val="0"/>
              <w:keepLines w:val="0"/>
              <w:suppressLineNumbers w:val="0"/>
              <w:adjustRightInd w:val="0"/>
              <w:snapToGrid w:val="0"/>
              <w:spacing w:before="0" w:beforeAutospacing="0" w:after="0" w:afterAutospacing="0" w:line="400" w:lineRule="exact"/>
              <w:ind w:left="0" w:right="0" w:firstLine="520" w:firstLineChars="200"/>
              <w:jc w:val="left"/>
              <w:rPr>
                <w:rFonts w:hint="default" w:ascii="Times New Roman" w:hAnsi="Times New Roman" w:cs="Times New Roman"/>
                <w:bCs/>
                <w:color w:val="auto"/>
                <w:sz w:val="26"/>
                <w:szCs w:val="26"/>
                <w:highlight w:val="none"/>
                <w:lang w:val="en-US" w:eastAsia="zh-CN"/>
              </w:rPr>
            </w:pPr>
            <w:r>
              <w:rPr>
                <w:rFonts w:hint="eastAsia" w:ascii="Times New Roman" w:hAnsi="Times New Roman" w:cs="Times New Roman"/>
                <w:bCs/>
                <w:color w:val="auto"/>
                <w:sz w:val="26"/>
                <w:szCs w:val="26"/>
                <w:highlight w:val="none"/>
                <w:lang w:val="en-US" w:eastAsia="zh-CN"/>
              </w:rPr>
              <w:t>排污水率=蒸发损失率/(N-1)-风吹损失率</w:t>
            </w:r>
            <w:r>
              <w:rPr>
                <w:rFonts w:hint="eastAsia" w:cs="Times New Roman"/>
                <w:bCs/>
                <w:color w:val="auto"/>
                <w:sz w:val="26"/>
                <w:szCs w:val="26"/>
                <w:highlight w:val="none"/>
                <w:lang w:val="en-US" w:eastAsia="zh-CN"/>
              </w:rPr>
              <w:t>，假设系统在浓缩倍数N=4的工况下运行（典型值），则计算得到排污水率=0.85%/(4-1)-0.2%=0.083%。</w:t>
            </w:r>
          </w:p>
          <w:p w14:paraId="41D926D8">
            <w:pPr>
              <w:keepNext w:val="0"/>
              <w:keepLines w:val="0"/>
              <w:suppressLineNumbers w:val="0"/>
              <w:adjustRightInd w:val="0"/>
              <w:snapToGrid w:val="0"/>
              <w:spacing w:before="0" w:beforeAutospacing="0" w:after="0" w:afterAutospacing="0" w:line="400" w:lineRule="exact"/>
              <w:ind w:left="0" w:right="0" w:firstLine="520" w:firstLineChars="200"/>
              <w:jc w:val="both"/>
              <w:rPr>
                <w:rFonts w:hint="default" w:ascii="Times New Roman" w:hAnsi="Times New Roman" w:cs="Times New Roman"/>
                <w:bCs/>
                <w:color w:val="auto"/>
                <w:sz w:val="26"/>
                <w:szCs w:val="26"/>
                <w:highlight w:val="none"/>
                <w:lang w:val="en-US" w:eastAsia="zh-CN"/>
              </w:rPr>
            </w:pPr>
            <w:r>
              <w:rPr>
                <w:rFonts w:hint="eastAsia" w:ascii="Times New Roman" w:hAnsi="Times New Roman" w:cs="Times New Roman"/>
                <w:bCs/>
                <w:color w:val="auto"/>
                <w:sz w:val="26"/>
                <w:szCs w:val="26"/>
                <w:highlight w:val="none"/>
                <w:lang w:val="en-US" w:eastAsia="zh-CN"/>
              </w:rPr>
              <w:t>因此，补充水量占循环水量的百分比=蒸发损失百分比+风吹损失百分比</w:t>
            </w:r>
            <w:r>
              <w:rPr>
                <w:rFonts w:hint="eastAsia" w:cs="Times New Roman"/>
                <w:bCs/>
                <w:color w:val="auto"/>
                <w:sz w:val="26"/>
                <w:szCs w:val="26"/>
                <w:highlight w:val="none"/>
                <w:lang w:val="en-US" w:eastAsia="zh-CN"/>
              </w:rPr>
              <w:t>+排污水率</w:t>
            </w:r>
            <w:r>
              <w:rPr>
                <w:rFonts w:hint="eastAsia" w:ascii="Times New Roman" w:hAnsi="Times New Roman" w:cs="Times New Roman"/>
                <w:bCs/>
                <w:color w:val="auto"/>
                <w:sz w:val="26"/>
                <w:szCs w:val="26"/>
                <w:highlight w:val="none"/>
                <w:lang w:val="en-US" w:eastAsia="zh-CN"/>
              </w:rPr>
              <w:t>=0.85%+0.2%</w:t>
            </w:r>
            <w:r>
              <w:rPr>
                <w:rFonts w:hint="eastAsia" w:cs="Times New Roman"/>
                <w:bCs/>
                <w:color w:val="auto"/>
                <w:sz w:val="26"/>
                <w:szCs w:val="26"/>
                <w:highlight w:val="none"/>
                <w:lang w:val="en-US" w:eastAsia="zh-CN"/>
              </w:rPr>
              <w:t>+0.083%</w:t>
            </w:r>
            <w:r>
              <w:rPr>
                <w:rFonts w:hint="eastAsia" w:ascii="Times New Roman" w:hAnsi="Times New Roman" w:cs="Times New Roman"/>
                <w:bCs/>
                <w:color w:val="auto"/>
                <w:sz w:val="26"/>
                <w:szCs w:val="26"/>
                <w:highlight w:val="none"/>
                <w:lang w:val="en-US" w:eastAsia="zh-CN"/>
              </w:rPr>
              <w:t>=</w:t>
            </w:r>
            <w:r>
              <w:rPr>
                <w:rFonts w:hint="eastAsia" w:cs="Times New Roman"/>
                <w:bCs/>
                <w:color w:val="auto"/>
                <w:sz w:val="26"/>
                <w:szCs w:val="26"/>
                <w:highlight w:val="none"/>
                <w:lang w:val="en-US" w:eastAsia="zh-CN"/>
              </w:rPr>
              <w:t>1.133</w:t>
            </w:r>
            <w:r>
              <w:rPr>
                <w:rFonts w:hint="eastAsia" w:ascii="Times New Roman" w:hAnsi="Times New Roman" w:cs="Times New Roman"/>
                <w:bCs/>
                <w:color w:val="auto"/>
                <w:sz w:val="26"/>
                <w:szCs w:val="26"/>
                <w:highlight w:val="none"/>
                <w:lang w:val="en-US" w:eastAsia="zh-CN"/>
              </w:rPr>
              <w:t>%。</w:t>
            </w:r>
          </w:p>
          <w:p w14:paraId="22F301A0">
            <w:pPr>
              <w:keepNext w:val="0"/>
              <w:keepLines w:val="0"/>
              <w:suppressLineNumbers w:val="0"/>
              <w:adjustRightInd w:val="0"/>
              <w:snapToGrid w:val="0"/>
              <w:spacing w:before="0" w:beforeAutospacing="0" w:after="0" w:afterAutospacing="0" w:line="400" w:lineRule="exact"/>
              <w:ind w:left="0" w:right="0" w:firstLine="520" w:firstLineChars="200"/>
              <w:jc w:val="both"/>
              <w:rPr>
                <w:rFonts w:hint="default" w:ascii="Times New Roman" w:hAnsi="Times New Roman" w:cs="Times New Roman"/>
                <w:bCs/>
                <w:color w:val="auto"/>
                <w:sz w:val="26"/>
                <w:szCs w:val="26"/>
                <w:highlight w:val="none"/>
                <w:lang w:val="en-US" w:eastAsia="zh-CN"/>
              </w:rPr>
            </w:pPr>
            <w:r>
              <w:rPr>
                <w:rFonts w:hint="default" w:ascii="Times New Roman" w:hAnsi="Times New Roman" w:cs="Times New Roman"/>
                <w:bCs/>
                <w:color w:val="auto"/>
                <w:sz w:val="26"/>
                <w:szCs w:val="26"/>
                <w:highlight w:val="none"/>
                <w:lang w:val="en-US" w:eastAsia="zh-CN"/>
              </w:rPr>
              <w:t>压铸模具冷却</w:t>
            </w:r>
            <w:r>
              <w:rPr>
                <w:rFonts w:hint="eastAsia" w:ascii="Times New Roman" w:hAnsi="Times New Roman" w:cs="Times New Roman"/>
                <w:bCs/>
                <w:color w:val="auto"/>
                <w:sz w:val="26"/>
                <w:szCs w:val="26"/>
                <w:highlight w:val="none"/>
                <w:lang w:val="en-US" w:eastAsia="zh-CN"/>
              </w:rPr>
              <w:t>水</w:t>
            </w:r>
            <w:r>
              <w:rPr>
                <w:rFonts w:hint="default" w:ascii="Times New Roman" w:hAnsi="Times New Roman" w:cs="Times New Roman"/>
                <w:bCs/>
                <w:color w:val="auto"/>
                <w:sz w:val="26"/>
                <w:szCs w:val="26"/>
                <w:highlight w:val="none"/>
                <w:lang w:val="en-US" w:eastAsia="zh-CN"/>
              </w:rPr>
              <w:t>系统为</w:t>
            </w:r>
            <w:r>
              <w:rPr>
                <w:rFonts w:hint="eastAsia" w:ascii="Times New Roman" w:hAnsi="Times New Roman" w:cs="Times New Roman"/>
                <w:bCs/>
                <w:color w:val="auto"/>
                <w:sz w:val="26"/>
                <w:szCs w:val="26"/>
                <w:highlight w:val="none"/>
                <w:lang w:val="en-US" w:eastAsia="zh-CN"/>
              </w:rPr>
              <w:t>100m</w:t>
            </w:r>
            <w:r>
              <w:rPr>
                <w:rFonts w:hint="eastAsia" w:ascii="Times New Roman" w:hAnsi="Times New Roman" w:cs="Times New Roman"/>
                <w:bCs/>
                <w:color w:val="auto"/>
                <w:sz w:val="26"/>
                <w:szCs w:val="26"/>
                <w:highlight w:val="none"/>
                <w:vertAlign w:val="superscript"/>
                <w:lang w:val="en-US" w:eastAsia="zh-CN"/>
              </w:rPr>
              <w:t>3</w:t>
            </w:r>
            <w:r>
              <w:rPr>
                <w:rFonts w:hint="eastAsia" w:ascii="Times New Roman" w:hAnsi="Times New Roman" w:cs="Times New Roman"/>
                <w:bCs/>
                <w:color w:val="auto"/>
                <w:sz w:val="26"/>
                <w:szCs w:val="26"/>
                <w:highlight w:val="none"/>
                <w:lang w:val="en-US" w:eastAsia="zh-CN"/>
              </w:rPr>
              <w:t>/h，该冷却水系统的日使用时间为24h/d，则日循环水量为2400m</w:t>
            </w:r>
            <w:r>
              <w:rPr>
                <w:rFonts w:hint="eastAsia" w:ascii="Times New Roman" w:hAnsi="Times New Roman" w:cs="Times New Roman"/>
                <w:bCs/>
                <w:color w:val="auto"/>
                <w:sz w:val="26"/>
                <w:szCs w:val="26"/>
                <w:highlight w:val="none"/>
                <w:vertAlign w:val="superscript"/>
                <w:lang w:val="en-US" w:eastAsia="zh-CN"/>
              </w:rPr>
              <w:t>3</w:t>
            </w:r>
            <w:r>
              <w:rPr>
                <w:rFonts w:hint="eastAsia" w:ascii="Times New Roman" w:hAnsi="Times New Roman" w:cs="Times New Roman"/>
                <w:bCs/>
                <w:color w:val="auto"/>
                <w:sz w:val="26"/>
                <w:szCs w:val="26"/>
                <w:highlight w:val="none"/>
                <w:lang w:val="en-US" w:eastAsia="zh-CN"/>
              </w:rPr>
              <w:t>/d，则</w:t>
            </w:r>
            <w:r>
              <w:rPr>
                <w:rFonts w:hint="default" w:ascii="Times New Roman" w:hAnsi="Times New Roman" w:cs="Times New Roman"/>
                <w:bCs/>
                <w:color w:val="auto"/>
                <w:sz w:val="26"/>
                <w:szCs w:val="26"/>
                <w:highlight w:val="none"/>
                <w:lang w:val="en-US" w:eastAsia="zh-CN"/>
              </w:rPr>
              <w:t>模具循环冷却补水量为循环水量的</w:t>
            </w:r>
            <w:r>
              <w:rPr>
                <w:rFonts w:hint="eastAsia" w:cs="Times New Roman"/>
                <w:bCs/>
                <w:color w:val="auto"/>
                <w:sz w:val="26"/>
                <w:szCs w:val="26"/>
                <w:highlight w:val="none"/>
                <w:lang w:val="en-US" w:eastAsia="zh-CN"/>
              </w:rPr>
              <w:t>1.133</w:t>
            </w:r>
            <w:r>
              <w:rPr>
                <w:rFonts w:hint="default" w:ascii="Times New Roman" w:hAnsi="Times New Roman" w:cs="Times New Roman"/>
                <w:bCs/>
                <w:color w:val="auto"/>
                <w:sz w:val="26"/>
                <w:szCs w:val="26"/>
                <w:highlight w:val="none"/>
                <w:lang w:val="en-US" w:eastAsia="zh-CN"/>
              </w:rPr>
              <w:t>%，约为</w:t>
            </w:r>
            <w:r>
              <w:rPr>
                <w:rFonts w:hint="eastAsia" w:cs="Times New Roman"/>
                <w:bCs/>
                <w:color w:val="auto"/>
                <w:sz w:val="26"/>
                <w:szCs w:val="26"/>
                <w:highlight w:val="none"/>
                <w:lang w:val="en-US" w:eastAsia="zh-CN"/>
              </w:rPr>
              <w:t>27.192</w:t>
            </w:r>
            <w:r>
              <w:rPr>
                <w:rFonts w:hint="default" w:ascii="Times New Roman" w:hAnsi="Times New Roman" w:cs="Times New Roman"/>
                <w:bCs/>
                <w:color w:val="auto"/>
                <w:sz w:val="26"/>
                <w:szCs w:val="26"/>
                <w:highlight w:val="none"/>
                <w:lang w:val="en-US" w:eastAsia="zh-CN"/>
              </w:rPr>
              <w:t>t/d，日排污水量Qᵦ=2400m³/d×0.083%≈</w:t>
            </w:r>
            <w:r>
              <w:rPr>
                <w:rFonts w:hint="eastAsia" w:cs="Times New Roman"/>
                <w:bCs/>
                <w:color w:val="auto"/>
                <w:sz w:val="26"/>
                <w:szCs w:val="26"/>
                <w:highlight w:val="none"/>
                <w:lang w:val="en-US" w:eastAsia="zh-CN"/>
              </w:rPr>
              <w:t>1.992</w:t>
            </w:r>
            <w:r>
              <w:rPr>
                <w:rFonts w:hint="default" w:ascii="Times New Roman" w:hAnsi="Times New Roman" w:cs="Times New Roman"/>
                <w:bCs/>
                <w:color w:val="auto"/>
                <w:sz w:val="26"/>
                <w:szCs w:val="26"/>
                <w:highlight w:val="none"/>
                <w:lang w:val="en-US" w:eastAsia="zh-CN"/>
              </w:rPr>
              <w:t>t/d。</w:t>
            </w:r>
            <w:r>
              <w:rPr>
                <w:rFonts w:hint="eastAsia" w:ascii="Times New Roman" w:hAnsi="Times New Roman" w:cs="Times New Roman"/>
                <w:bCs/>
                <w:color w:val="auto"/>
                <w:sz w:val="26"/>
                <w:szCs w:val="26"/>
                <w:highlight w:val="none"/>
                <w:lang w:val="en-US" w:eastAsia="zh-CN"/>
              </w:rPr>
              <w:t>挤压工序冷却水系统的循环水量</w:t>
            </w:r>
            <w:r>
              <w:rPr>
                <w:rFonts w:hint="default" w:ascii="Times New Roman" w:hAnsi="Times New Roman" w:cs="Times New Roman"/>
                <w:bCs/>
                <w:color w:val="auto"/>
                <w:sz w:val="26"/>
                <w:szCs w:val="26"/>
                <w:highlight w:val="none"/>
                <w:lang w:val="en-US" w:eastAsia="zh-CN"/>
              </w:rPr>
              <w:t>为</w:t>
            </w:r>
            <w:r>
              <w:rPr>
                <w:rFonts w:hint="eastAsia" w:cs="Times New Roman"/>
                <w:bCs/>
                <w:color w:val="auto"/>
                <w:sz w:val="26"/>
                <w:szCs w:val="26"/>
                <w:highlight w:val="none"/>
                <w:lang w:val="en-US" w:eastAsia="zh-CN"/>
              </w:rPr>
              <w:t>20</w:t>
            </w:r>
            <w:r>
              <w:rPr>
                <w:rFonts w:hint="eastAsia" w:ascii="Times New Roman" w:hAnsi="Times New Roman" w:cs="Times New Roman"/>
                <w:bCs/>
                <w:color w:val="auto"/>
                <w:sz w:val="26"/>
                <w:szCs w:val="26"/>
                <w:highlight w:val="none"/>
                <w:lang w:val="en-US" w:eastAsia="zh-CN"/>
              </w:rPr>
              <w:t>m</w:t>
            </w:r>
            <w:r>
              <w:rPr>
                <w:rFonts w:hint="eastAsia" w:ascii="Times New Roman" w:hAnsi="Times New Roman" w:cs="Times New Roman"/>
                <w:bCs/>
                <w:color w:val="auto"/>
                <w:sz w:val="26"/>
                <w:szCs w:val="26"/>
                <w:highlight w:val="none"/>
                <w:vertAlign w:val="superscript"/>
                <w:lang w:val="en-US" w:eastAsia="zh-CN"/>
              </w:rPr>
              <w:t>3</w:t>
            </w:r>
            <w:r>
              <w:rPr>
                <w:rFonts w:hint="eastAsia" w:ascii="Times New Roman" w:hAnsi="Times New Roman" w:cs="Times New Roman"/>
                <w:bCs/>
                <w:color w:val="auto"/>
                <w:sz w:val="26"/>
                <w:szCs w:val="26"/>
                <w:highlight w:val="none"/>
                <w:lang w:val="en-US" w:eastAsia="zh-CN"/>
              </w:rPr>
              <w:t>/h</w:t>
            </w:r>
            <w:r>
              <w:rPr>
                <w:rFonts w:hint="eastAsia" w:cs="Times New Roman"/>
                <w:bCs/>
                <w:color w:val="auto"/>
                <w:sz w:val="26"/>
                <w:szCs w:val="26"/>
                <w:highlight w:val="none"/>
                <w:lang w:val="en-US" w:eastAsia="zh-CN"/>
              </w:rPr>
              <w:t>，</w:t>
            </w:r>
            <w:r>
              <w:rPr>
                <w:rFonts w:hint="eastAsia" w:ascii="Times New Roman" w:hAnsi="Times New Roman" w:cs="Times New Roman"/>
                <w:bCs/>
                <w:color w:val="auto"/>
                <w:sz w:val="26"/>
                <w:szCs w:val="26"/>
                <w:highlight w:val="none"/>
                <w:lang w:val="en-US" w:eastAsia="zh-CN"/>
              </w:rPr>
              <w:t>该冷却水系统的日</w:t>
            </w:r>
            <w:r>
              <w:rPr>
                <w:rFonts w:hint="eastAsia" w:cs="Times New Roman"/>
                <w:bCs/>
                <w:color w:val="auto"/>
                <w:sz w:val="26"/>
                <w:szCs w:val="26"/>
                <w:highlight w:val="none"/>
                <w:lang w:val="en-US" w:eastAsia="zh-CN"/>
              </w:rPr>
              <w:t>平均</w:t>
            </w:r>
            <w:r>
              <w:rPr>
                <w:rFonts w:hint="eastAsia" w:ascii="Times New Roman" w:hAnsi="Times New Roman" w:cs="Times New Roman"/>
                <w:bCs/>
                <w:color w:val="auto"/>
                <w:sz w:val="26"/>
                <w:szCs w:val="26"/>
                <w:highlight w:val="none"/>
                <w:lang w:val="en-US" w:eastAsia="zh-CN"/>
              </w:rPr>
              <w:t>使用时间为</w:t>
            </w:r>
            <w:r>
              <w:rPr>
                <w:rFonts w:hint="eastAsia" w:cs="Times New Roman"/>
                <w:bCs/>
                <w:color w:val="auto"/>
                <w:sz w:val="26"/>
                <w:szCs w:val="26"/>
                <w:highlight w:val="none"/>
                <w:lang w:val="en-US" w:eastAsia="zh-CN"/>
              </w:rPr>
              <w:t>10.88</w:t>
            </w:r>
            <w:r>
              <w:rPr>
                <w:rFonts w:hint="eastAsia" w:ascii="Times New Roman" w:hAnsi="Times New Roman" w:cs="Times New Roman"/>
                <w:bCs/>
                <w:color w:val="auto"/>
                <w:sz w:val="26"/>
                <w:szCs w:val="26"/>
                <w:highlight w:val="none"/>
                <w:lang w:val="en-US" w:eastAsia="zh-CN"/>
              </w:rPr>
              <w:t>h/d，则日循环水量为</w:t>
            </w:r>
            <w:r>
              <w:rPr>
                <w:rFonts w:hint="eastAsia" w:cs="Times New Roman"/>
                <w:bCs/>
                <w:color w:val="auto"/>
                <w:sz w:val="26"/>
                <w:szCs w:val="26"/>
                <w:highlight w:val="none"/>
                <w:lang w:val="en-US" w:eastAsia="zh-CN"/>
              </w:rPr>
              <w:t>217.6</w:t>
            </w:r>
            <w:r>
              <w:rPr>
                <w:rFonts w:hint="eastAsia" w:ascii="Times New Roman" w:hAnsi="Times New Roman" w:cs="Times New Roman"/>
                <w:bCs/>
                <w:color w:val="auto"/>
                <w:sz w:val="26"/>
                <w:szCs w:val="26"/>
                <w:highlight w:val="none"/>
                <w:lang w:val="en-US" w:eastAsia="zh-CN"/>
              </w:rPr>
              <w:t>m</w:t>
            </w:r>
            <w:r>
              <w:rPr>
                <w:rFonts w:hint="eastAsia" w:ascii="Times New Roman" w:hAnsi="Times New Roman" w:cs="Times New Roman"/>
                <w:bCs/>
                <w:color w:val="auto"/>
                <w:sz w:val="26"/>
                <w:szCs w:val="26"/>
                <w:highlight w:val="none"/>
                <w:vertAlign w:val="superscript"/>
                <w:lang w:val="en-US" w:eastAsia="zh-CN"/>
              </w:rPr>
              <w:t>3</w:t>
            </w:r>
            <w:r>
              <w:rPr>
                <w:rFonts w:hint="eastAsia" w:ascii="Times New Roman" w:hAnsi="Times New Roman" w:cs="Times New Roman"/>
                <w:bCs/>
                <w:color w:val="auto"/>
                <w:sz w:val="26"/>
                <w:szCs w:val="26"/>
                <w:highlight w:val="none"/>
                <w:lang w:val="en-US" w:eastAsia="zh-CN"/>
              </w:rPr>
              <w:t>/d，</w:t>
            </w:r>
            <w:r>
              <w:rPr>
                <w:rFonts w:hint="default" w:ascii="Times New Roman" w:hAnsi="Times New Roman" w:cs="Times New Roman"/>
                <w:bCs/>
                <w:color w:val="auto"/>
                <w:sz w:val="26"/>
                <w:szCs w:val="26"/>
                <w:highlight w:val="none"/>
                <w:lang w:val="en-US" w:eastAsia="zh-CN"/>
              </w:rPr>
              <w:t>冷却补水量为循环水量的</w:t>
            </w:r>
            <w:r>
              <w:rPr>
                <w:rFonts w:hint="eastAsia" w:cs="Times New Roman"/>
                <w:bCs/>
                <w:color w:val="auto"/>
                <w:sz w:val="26"/>
                <w:szCs w:val="26"/>
                <w:highlight w:val="none"/>
                <w:lang w:val="en-US" w:eastAsia="zh-CN"/>
              </w:rPr>
              <w:t>1.133</w:t>
            </w:r>
            <w:r>
              <w:rPr>
                <w:rFonts w:hint="default" w:ascii="Times New Roman" w:hAnsi="Times New Roman" w:cs="Times New Roman"/>
                <w:bCs/>
                <w:color w:val="auto"/>
                <w:sz w:val="26"/>
                <w:szCs w:val="26"/>
                <w:highlight w:val="none"/>
                <w:lang w:val="en-US" w:eastAsia="zh-CN"/>
              </w:rPr>
              <w:t>%，约为</w:t>
            </w:r>
            <w:r>
              <w:rPr>
                <w:rFonts w:hint="eastAsia" w:cs="Times New Roman"/>
                <w:bCs/>
                <w:color w:val="auto"/>
                <w:sz w:val="26"/>
                <w:szCs w:val="26"/>
                <w:highlight w:val="none"/>
                <w:lang w:val="en-US" w:eastAsia="zh-CN"/>
              </w:rPr>
              <w:t>2.465</w:t>
            </w:r>
            <w:r>
              <w:rPr>
                <w:rFonts w:hint="default" w:ascii="Times New Roman" w:hAnsi="Times New Roman" w:cs="Times New Roman"/>
                <w:bCs/>
                <w:color w:val="auto"/>
                <w:sz w:val="26"/>
                <w:szCs w:val="26"/>
                <w:highlight w:val="none"/>
                <w:lang w:val="en-US" w:eastAsia="zh-CN"/>
              </w:rPr>
              <w:t>t/d</w:t>
            </w:r>
            <w:r>
              <w:rPr>
                <w:rFonts w:hint="eastAsia" w:cs="Times New Roman"/>
                <w:bCs/>
                <w:color w:val="auto"/>
                <w:sz w:val="26"/>
                <w:szCs w:val="26"/>
                <w:highlight w:val="none"/>
                <w:lang w:val="en-US" w:eastAsia="zh-CN"/>
              </w:rPr>
              <w:t>，</w:t>
            </w:r>
            <w:r>
              <w:rPr>
                <w:rFonts w:hint="default" w:ascii="Times New Roman" w:hAnsi="Times New Roman" w:cs="Times New Roman"/>
                <w:bCs/>
                <w:color w:val="auto"/>
                <w:sz w:val="26"/>
                <w:szCs w:val="26"/>
                <w:highlight w:val="none"/>
                <w:lang w:val="en-US" w:eastAsia="zh-CN"/>
              </w:rPr>
              <w:t>日排污水量Qᵦ=</w:t>
            </w:r>
            <w:r>
              <w:rPr>
                <w:rFonts w:hint="eastAsia" w:cs="Times New Roman"/>
                <w:bCs/>
                <w:color w:val="auto"/>
                <w:sz w:val="26"/>
                <w:szCs w:val="26"/>
                <w:highlight w:val="none"/>
                <w:lang w:val="en-US" w:eastAsia="zh-CN"/>
              </w:rPr>
              <w:t>217.6</w:t>
            </w:r>
            <w:r>
              <w:rPr>
                <w:rFonts w:hint="default" w:ascii="Times New Roman" w:hAnsi="Times New Roman" w:cs="Times New Roman"/>
                <w:bCs/>
                <w:color w:val="auto"/>
                <w:sz w:val="26"/>
                <w:szCs w:val="26"/>
                <w:highlight w:val="none"/>
                <w:lang w:val="en-US" w:eastAsia="zh-CN"/>
              </w:rPr>
              <w:t>m³/d×0.083%≈</w:t>
            </w:r>
            <w:r>
              <w:rPr>
                <w:rFonts w:hint="eastAsia" w:cs="Times New Roman"/>
                <w:bCs/>
                <w:color w:val="auto"/>
                <w:sz w:val="26"/>
                <w:szCs w:val="26"/>
                <w:highlight w:val="none"/>
                <w:lang w:val="en-US" w:eastAsia="zh-CN"/>
              </w:rPr>
              <w:t>0.181</w:t>
            </w:r>
            <w:r>
              <w:rPr>
                <w:rFonts w:hint="default" w:ascii="Times New Roman" w:hAnsi="Times New Roman" w:cs="Times New Roman"/>
                <w:bCs/>
                <w:color w:val="auto"/>
                <w:sz w:val="26"/>
                <w:szCs w:val="26"/>
                <w:highlight w:val="none"/>
                <w:lang w:val="en-US" w:eastAsia="zh-CN"/>
              </w:rPr>
              <w:t>t/d</w:t>
            </w:r>
            <w:r>
              <w:rPr>
                <w:rFonts w:hint="eastAsia" w:cs="Times New Roman"/>
                <w:bCs/>
                <w:color w:val="auto"/>
                <w:sz w:val="26"/>
                <w:szCs w:val="26"/>
                <w:highlight w:val="none"/>
                <w:lang w:val="en-US" w:eastAsia="zh-CN"/>
              </w:rPr>
              <w:t>。</w:t>
            </w:r>
          </w:p>
          <w:p w14:paraId="65491FFA">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bCs/>
                <w:color w:val="auto"/>
                <w:sz w:val="26"/>
                <w:szCs w:val="26"/>
                <w:highlight w:val="none"/>
                <w:lang w:val="en-US" w:eastAsia="zh-CN"/>
              </w:rPr>
            </w:pPr>
            <w:r>
              <w:rPr>
                <w:rFonts w:hint="eastAsia"/>
                <w:bCs/>
                <w:color w:val="auto"/>
                <w:sz w:val="26"/>
                <w:szCs w:val="26"/>
                <w:highlight w:val="none"/>
                <w:lang w:val="en-US" w:eastAsia="zh-CN"/>
              </w:rPr>
              <w:t>（3）离合器清洗废水：项目生产的离合器会沾有少量油污，采用清洗剂进行超声波清洗，本项目清洗剂为常温高效除油王，与水1:20溶解后使用，清洗剂年使用量为0.075t/a，需要1.5t/a的水进行溶解，按照产污系数0.9计算，产生清洗废水约为1.418t/a。</w:t>
            </w:r>
          </w:p>
          <w:p w14:paraId="0F837600">
            <w:pPr>
              <w:keepNext w:val="0"/>
              <w:keepLines w:val="0"/>
              <w:suppressLineNumbers w:val="0"/>
              <w:adjustRightInd w:val="0"/>
              <w:snapToGrid w:val="0"/>
              <w:spacing w:before="0" w:beforeAutospacing="0" w:after="0" w:afterAutospacing="0" w:line="400" w:lineRule="exact"/>
              <w:ind w:left="0" w:right="0" w:firstLine="520" w:firstLineChars="200"/>
              <w:jc w:val="left"/>
              <w:rPr>
                <w:rFonts w:hint="default"/>
                <w:bCs/>
                <w:color w:val="auto"/>
                <w:sz w:val="26"/>
                <w:szCs w:val="26"/>
                <w:highlight w:val="none"/>
                <w:lang w:val="en-US" w:eastAsia="zh-CN"/>
              </w:rPr>
            </w:pPr>
            <w:r>
              <w:rPr>
                <w:rFonts w:hint="eastAsia"/>
                <w:bCs/>
                <w:color w:val="auto"/>
                <w:sz w:val="26"/>
                <w:szCs w:val="26"/>
                <w:highlight w:val="none"/>
                <w:lang w:val="en-US" w:eastAsia="zh-CN"/>
              </w:rPr>
              <w:t>（4）脱模剂用水：本项目用脱模剂约1.26t/a，使用时与水以1:80进行配比，则脱模剂用水量约100.8t/a，高温铝液压铸后会使脱模剂中的水分会随着高温自然蒸发。脱模产生的废气中，水蒸气进入废气治理设施后，过滤棉及除湿装置（冷凝器）的底部一定配备有冷凝水收集盘。由于这里是主要的冷凝发生地，会产生大量冷凝水，经过过滤棉后剩余的水量：初始水量—过滤棉去除量=100.8—(100.8 ×5%)= 100.8—5.04 = 95.76 t/a；除湿装置冷凝的水量：进入除湿装置的水量×除湿效率=95.76×80%= 76.61t/a，系统总冷凝水产生量：过滤棉段冷凝量+除湿装置段冷凝量= 5.04+76.61= 81.65t/a，因此，预计全年产生的冷凝水量约为81.7吨。</w:t>
            </w:r>
          </w:p>
          <w:p w14:paraId="0197881A">
            <w:pPr>
              <w:pStyle w:val="74"/>
              <w:keepNext w:val="0"/>
              <w:keepLines w:val="0"/>
              <w:suppressLineNumbers w:val="0"/>
              <w:bidi w:val="0"/>
              <w:spacing w:before="0" w:beforeAutospacing="0" w:after="0" w:afterAutospacing="0"/>
              <w:ind w:left="0" w:right="0"/>
              <w:rPr>
                <w:rFonts w:hint="eastAsia"/>
                <w:bCs/>
                <w:color w:val="auto"/>
                <w:sz w:val="26"/>
                <w:szCs w:val="26"/>
                <w:highlight w:val="none"/>
                <w:lang w:val="en-US" w:eastAsia="zh-CN"/>
              </w:rPr>
            </w:pPr>
            <w:r>
              <w:rPr>
                <w:rFonts w:hint="eastAsia"/>
                <w:bCs/>
                <w:color w:val="auto"/>
                <w:sz w:val="26"/>
                <w:szCs w:val="26"/>
                <w:highlight w:val="none"/>
                <w:lang w:val="en-US" w:eastAsia="zh-CN"/>
              </w:rPr>
              <w:t>（5）员工生活污水：</w:t>
            </w:r>
            <w:r>
              <w:rPr>
                <w:rFonts w:hint="default"/>
                <w:color w:val="auto"/>
                <w:highlight w:val="none"/>
              </w:rPr>
              <w:t>厂区员工共计</w:t>
            </w:r>
            <w:r>
              <w:rPr>
                <w:rFonts w:hint="eastAsia"/>
                <w:color w:val="auto"/>
                <w:highlight w:val="none"/>
                <w:lang w:val="en-US" w:eastAsia="zh-CN"/>
              </w:rPr>
              <w:t>170</w:t>
            </w:r>
            <w:r>
              <w:rPr>
                <w:rFonts w:hint="default"/>
                <w:color w:val="auto"/>
                <w:highlight w:val="none"/>
              </w:rPr>
              <w:t>人，生活用水（不涉及住宿）按50L/（人·d）计，则生活用水日用水量为</w:t>
            </w:r>
            <w:r>
              <w:rPr>
                <w:rFonts w:hint="eastAsia"/>
                <w:color w:val="auto"/>
                <w:highlight w:val="none"/>
                <w:lang w:val="en-US" w:eastAsia="zh-CN"/>
              </w:rPr>
              <w:t>8.5</w:t>
            </w:r>
            <w:r>
              <w:rPr>
                <w:rFonts w:hint="default"/>
                <w:color w:val="auto"/>
                <w:highlight w:val="none"/>
              </w:rPr>
              <w:t>m</w:t>
            </w:r>
            <w:r>
              <w:rPr>
                <w:rFonts w:hint="default"/>
                <w:color w:val="auto"/>
                <w:highlight w:val="none"/>
                <w:vertAlign w:val="superscript"/>
              </w:rPr>
              <w:t>3</w:t>
            </w:r>
            <w:r>
              <w:rPr>
                <w:rFonts w:hint="default"/>
                <w:color w:val="auto"/>
                <w:highlight w:val="none"/>
              </w:rPr>
              <w:t>/d，年生产250天，年用水量为</w:t>
            </w:r>
            <w:r>
              <w:rPr>
                <w:rFonts w:hint="eastAsia"/>
                <w:color w:val="auto"/>
                <w:highlight w:val="none"/>
                <w:lang w:val="en-US" w:eastAsia="zh-CN"/>
              </w:rPr>
              <w:t>2125</w:t>
            </w:r>
            <w:r>
              <w:rPr>
                <w:rFonts w:hint="default"/>
                <w:color w:val="auto"/>
                <w:highlight w:val="none"/>
              </w:rPr>
              <w:t>m</w:t>
            </w:r>
            <w:r>
              <w:rPr>
                <w:rFonts w:hint="default"/>
                <w:color w:val="auto"/>
                <w:highlight w:val="none"/>
                <w:vertAlign w:val="superscript"/>
              </w:rPr>
              <w:t>3</w:t>
            </w:r>
            <w:r>
              <w:rPr>
                <w:rFonts w:hint="default"/>
                <w:color w:val="auto"/>
                <w:highlight w:val="none"/>
              </w:rPr>
              <w:t>/a，产污系数为0.9，则生活污水产生量为</w:t>
            </w:r>
            <w:r>
              <w:rPr>
                <w:rFonts w:hint="eastAsia"/>
                <w:color w:val="auto"/>
                <w:highlight w:val="none"/>
                <w:lang w:val="en-US" w:eastAsia="zh-CN"/>
              </w:rPr>
              <w:t>7.65</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1912.5</w:t>
            </w:r>
            <w:r>
              <w:rPr>
                <w:rFonts w:hint="default"/>
                <w:color w:val="auto"/>
                <w:highlight w:val="none"/>
              </w:rPr>
              <w:t>m</w:t>
            </w:r>
            <w:r>
              <w:rPr>
                <w:rFonts w:hint="default"/>
                <w:color w:val="auto"/>
                <w:highlight w:val="none"/>
                <w:vertAlign w:val="superscript"/>
              </w:rPr>
              <w:t>3</w:t>
            </w:r>
            <w:r>
              <w:rPr>
                <w:rFonts w:hint="default"/>
                <w:color w:val="auto"/>
                <w:highlight w:val="none"/>
              </w:rPr>
              <w:t>/a）</w:t>
            </w:r>
            <w:r>
              <w:rPr>
                <w:rFonts w:hint="eastAsia"/>
                <w:bCs/>
                <w:color w:val="auto"/>
                <w:sz w:val="26"/>
                <w:szCs w:val="26"/>
                <w:highlight w:val="none"/>
                <w:lang w:val="en-US" w:eastAsia="zh-CN"/>
              </w:rPr>
              <w:t>。</w:t>
            </w:r>
          </w:p>
          <w:p w14:paraId="073B4C59">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bCs/>
                <w:color w:val="auto"/>
                <w:sz w:val="26"/>
                <w:szCs w:val="26"/>
                <w:highlight w:val="none"/>
                <w:lang w:val="en-US" w:eastAsia="zh-CN"/>
              </w:rPr>
            </w:pPr>
            <w:r>
              <w:rPr>
                <w:rFonts w:hint="eastAsia"/>
                <w:bCs/>
                <w:color w:val="auto"/>
                <w:sz w:val="26"/>
                <w:szCs w:val="26"/>
                <w:highlight w:val="none"/>
                <w:lang w:val="en-US" w:eastAsia="zh-CN"/>
              </w:rPr>
              <w:t>（6）综合楼地面清洁用水：本项目1号和2号厂房内仅对地面进行清扫，不涉及清洗，综合楼进行地面清洁，综合楼建筑面积1849.69m</w:t>
            </w:r>
            <w:r>
              <w:rPr>
                <w:rFonts w:hint="eastAsia"/>
                <w:bCs/>
                <w:color w:val="auto"/>
                <w:sz w:val="26"/>
                <w:szCs w:val="26"/>
                <w:highlight w:val="none"/>
                <w:vertAlign w:val="superscript"/>
                <w:lang w:val="en-US" w:eastAsia="zh-CN"/>
              </w:rPr>
              <w:t>2</w:t>
            </w:r>
            <w:r>
              <w:rPr>
                <w:rFonts w:hint="eastAsia"/>
                <w:bCs/>
                <w:color w:val="auto"/>
                <w:sz w:val="26"/>
                <w:szCs w:val="26"/>
                <w:highlight w:val="none"/>
                <w:lang w:val="en-US" w:eastAsia="zh-CN"/>
              </w:rPr>
              <w:t>，按照0.5L/m</w:t>
            </w:r>
            <w:r>
              <w:rPr>
                <w:rFonts w:hint="eastAsia"/>
                <w:bCs/>
                <w:color w:val="auto"/>
                <w:sz w:val="26"/>
                <w:szCs w:val="26"/>
                <w:highlight w:val="none"/>
                <w:vertAlign w:val="superscript"/>
                <w:lang w:val="en-US" w:eastAsia="zh-CN"/>
              </w:rPr>
              <w:t>2</w:t>
            </w:r>
            <w:r>
              <w:rPr>
                <w:rFonts w:hint="eastAsia"/>
                <w:bCs/>
                <w:color w:val="auto"/>
                <w:sz w:val="26"/>
                <w:szCs w:val="26"/>
                <w:highlight w:val="none"/>
                <w:lang w:val="en-US" w:eastAsia="zh-CN"/>
              </w:rPr>
              <w:t>·次（每周一次）计，地面清洁用水为0.192m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/d（48.1 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/a），产污系数为0.9，则地面清洁废水产生量为0.173m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/d（43.3m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/a）。</w:t>
            </w:r>
          </w:p>
          <w:p w14:paraId="4D4BDD15">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bCs/>
                <w:color w:val="auto"/>
                <w:sz w:val="26"/>
                <w:szCs w:val="26"/>
                <w:highlight w:val="none"/>
                <w:lang w:val="en-US" w:eastAsia="zh-CN"/>
              </w:rPr>
            </w:pPr>
            <w:r>
              <w:rPr>
                <w:rFonts w:hint="eastAsia"/>
                <w:bCs/>
                <w:color w:val="auto"/>
                <w:sz w:val="26"/>
                <w:szCs w:val="26"/>
                <w:highlight w:val="none"/>
                <w:lang w:val="en-US" w:eastAsia="zh-CN"/>
              </w:rPr>
              <w:t>（7）餐饮用水：本项目食堂每天约有100人次用餐，餐饮用水按照45L/人次计，则餐饮用水为4.5m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/d（1125 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/a），产污系数为0.9，则餐饮废水产生量为4.05m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/d（1012.5m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/a）。</w:t>
            </w:r>
          </w:p>
          <w:p w14:paraId="4CDE1FA7">
            <w:pPr>
              <w:keepNext w:val="0"/>
              <w:keepLines w:val="0"/>
              <w:suppressLineNumbers w:val="0"/>
              <w:adjustRightInd w:val="0"/>
              <w:snapToGrid w:val="0"/>
              <w:spacing w:before="0" w:beforeAutospacing="0" w:after="0" w:afterAutospacing="0" w:line="400" w:lineRule="exact"/>
              <w:ind w:left="0" w:right="0" w:firstLine="520" w:firstLineChars="200"/>
              <w:jc w:val="left"/>
              <w:rPr>
                <w:rFonts w:hint="eastAsia"/>
                <w:bCs/>
                <w:color w:val="auto"/>
                <w:sz w:val="26"/>
                <w:szCs w:val="26"/>
                <w:highlight w:val="none"/>
                <w:lang w:val="en-US" w:eastAsia="zh-CN"/>
              </w:rPr>
            </w:pPr>
            <w:r>
              <w:rPr>
                <w:rFonts w:hint="eastAsia"/>
                <w:bCs/>
                <w:color w:val="auto"/>
                <w:sz w:val="26"/>
                <w:szCs w:val="26"/>
                <w:highlight w:val="none"/>
                <w:lang w:val="en-US" w:eastAsia="zh-CN"/>
              </w:rPr>
              <w:t>（8）含油冷凝水：空压机运行产生的含油冷凝水量约为0.1t/a。</w:t>
            </w:r>
          </w:p>
          <w:p w14:paraId="2F4ACFFD">
            <w:pPr>
              <w:keepNext w:val="0"/>
              <w:keepLines w:val="0"/>
              <w:suppressLineNumbers w:val="0"/>
              <w:adjustRightInd w:val="0"/>
              <w:snapToGrid w:val="0"/>
              <w:spacing w:before="0" w:beforeAutospacing="0" w:after="0" w:afterAutospacing="0" w:line="400" w:lineRule="exact"/>
              <w:ind w:left="0" w:right="0" w:firstLine="520" w:firstLineChars="200"/>
              <w:jc w:val="left"/>
              <w:rPr>
                <w:rFonts w:hint="default"/>
                <w:bCs/>
                <w:color w:val="auto"/>
                <w:sz w:val="26"/>
                <w:szCs w:val="26"/>
                <w:highlight w:val="none"/>
              </w:rPr>
            </w:pPr>
            <w:r>
              <w:rPr>
                <w:rFonts w:hint="eastAsia"/>
                <w:bCs/>
                <w:color w:val="auto"/>
                <w:sz w:val="26"/>
                <w:szCs w:val="26"/>
                <w:highlight w:val="none"/>
                <w:lang w:val="en-US" w:eastAsia="zh-CN"/>
              </w:rPr>
              <w:t>本项目的</w:t>
            </w:r>
            <w:r>
              <w:rPr>
                <w:rFonts w:hint="eastAsia"/>
                <w:bCs/>
                <w:color w:val="auto"/>
                <w:sz w:val="26"/>
                <w:szCs w:val="26"/>
                <w:highlight w:val="none"/>
              </w:rPr>
              <w:t>用水情况详见下表，水平衡见图</w:t>
            </w:r>
            <w:r>
              <w:rPr>
                <w:rFonts w:hint="default"/>
                <w:bCs/>
                <w:color w:val="auto"/>
                <w:sz w:val="26"/>
                <w:szCs w:val="26"/>
                <w:highlight w:val="none"/>
              </w:rPr>
              <w:t>2.</w:t>
            </w:r>
            <w:r>
              <w:rPr>
                <w:rFonts w:hint="eastAsia"/>
                <w:bCs/>
                <w:color w:val="auto"/>
                <w:sz w:val="26"/>
                <w:szCs w:val="26"/>
                <w:highlight w:val="none"/>
                <w:lang w:val="en-US" w:eastAsia="zh-CN"/>
              </w:rPr>
              <w:t>8</w:t>
            </w:r>
            <w:r>
              <w:rPr>
                <w:rFonts w:hint="default"/>
                <w:bCs/>
                <w:color w:val="auto"/>
                <w:sz w:val="26"/>
                <w:szCs w:val="26"/>
                <w:highlight w:val="none"/>
              </w:rPr>
              <w:t>-</w:t>
            </w:r>
            <w:r>
              <w:rPr>
                <w:rFonts w:hint="eastAsia"/>
                <w:bCs/>
                <w:color w:val="auto"/>
                <w:sz w:val="26"/>
                <w:szCs w:val="26"/>
                <w:highlight w:val="none"/>
                <w:lang w:val="en-US" w:eastAsia="zh-CN"/>
              </w:rPr>
              <w:t>2（近期）、图2.8-3（远期）</w:t>
            </w:r>
            <w:r>
              <w:rPr>
                <w:rFonts w:hint="eastAsia"/>
                <w:bCs/>
                <w:color w:val="auto"/>
                <w:sz w:val="26"/>
                <w:szCs w:val="26"/>
                <w:highlight w:val="none"/>
              </w:rPr>
              <w:t>。</w:t>
            </w:r>
          </w:p>
          <w:p w14:paraId="75E3F54F">
            <w:pPr>
              <w:pStyle w:val="65"/>
              <w:keepNext w:val="0"/>
              <w:keepLines w:val="0"/>
              <w:suppressLineNumbers w:val="0"/>
              <w:spacing w:before="0" w:beforeAutospacing="0" w:after="0" w:afterAutospacing="0"/>
              <w:ind w:left="0" w:right="0"/>
              <w:rPr>
                <w:rFonts w:hint="default"/>
                <w:color w:val="auto"/>
                <w:highlight w:val="none"/>
              </w:rPr>
            </w:pPr>
          </w:p>
          <w:p w14:paraId="46B916DD">
            <w:pPr>
              <w:keepNext w:val="0"/>
              <w:keepLines w:val="0"/>
              <w:suppressLineNumbers w:val="0"/>
              <w:adjustRightInd w:val="0"/>
              <w:snapToGrid w:val="0"/>
              <w:spacing w:before="0" w:beforeAutospacing="0" w:after="0" w:afterAutospacing="0" w:line="320" w:lineRule="exact"/>
              <w:ind w:left="0" w:right="0"/>
              <w:jc w:val="center"/>
              <w:rPr>
                <w:rFonts w:hint="default"/>
                <w:color w:val="auto"/>
                <w:sz w:val="26"/>
                <w:szCs w:val="26"/>
                <w:highlight w:val="none"/>
              </w:rPr>
            </w:pPr>
            <w:r>
              <w:rPr>
                <w:rFonts w:hint="eastAsia"/>
                <w:color w:val="auto"/>
                <w:sz w:val="26"/>
                <w:szCs w:val="26"/>
                <w:highlight w:val="none"/>
              </w:rPr>
              <w:t>表2</w:t>
            </w:r>
            <w:r>
              <w:rPr>
                <w:rFonts w:hint="default"/>
                <w:color w:val="auto"/>
                <w:sz w:val="26"/>
                <w:szCs w:val="26"/>
                <w:highlight w:val="none"/>
              </w:rPr>
              <w:t>.</w:t>
            </w:r>
            <w:r>
              <w:rPr>
                <w:rFonts w:hint="eastAsia"/>
                <w:color w:val="auto"/>
                <w:sz w:val="26"/>
                <w:szCs w:val="26"/>
                <w:highlight w:val="none"/>
                <w:lang w:val="en-US" w:eastAsia="zh-CN"/>
              </w:rPr>
              <w:t>8</w:t>
            </w:r>
            <w:r>
              <w:rPr>
                <w:rFonts w:hint="default"/>
                <w:color w:val="auto"/>
                <w:sz w:val="26"/>
                <w:szCs w:val="26"/>
                <w:highlight w:val="none"/>
              </w:rPr>
              <w:t>-</w:t>
            </w:r>
            <w:r>
              <w:rPr>
                <w:rFonts w:hint="eastAsia"/>
                <w:color w:val="auto"/>
                <w:sz w:val="26"/>
                <w:szCs w:val="26"/>
                <w:highlight w:val="none"/>
                <w:lang w:val="en-US" w:eastAsia="zh-CN"/>
              </w:rPr>
              <w:t>1</w:t>
            </w:r>
            <w:r>
              <w:rPr>
                <w:rFonts w:hint="default"/>
                <w:color w:val="auto"/>
                <w:sz w:val="26"/>
                <w:szCs w:val="26"/>
                <w:highlight w:val="none"/>
              </w:rPr>
              <w:t xml:space="preserve"> </w:t>
            </w:r>
            <w:r>
              <w:rPr>
                <w:rFonts w:hint="eastAsia"/>
                <w:color w:val="auto"/>
                <w:sz w:val="26"/>
                <w:szCs w:val="26"/>
                <w:highlight w:val="none"/>
                <w:lang w:val="en-US" w:eastAsia="zh-CN"/>
              </w:rPr>
              <w:t xml:space="preserve">  项目</w:t>
            </w:r>
            <w:r>
              <w:rPr>
                <w:rFonts w:hint="eastAsia"/>
                <w:color w:val="auto"/>
                <w:sz w:val="26"/>
                <w:szCs w:val="26"/>
                <w:highlight w:val="none"/>
              </w:rPr>
              <w:t>用水</w:t>
            </w:r>
            <w:r>
              <w:rPr>
                <w:rFonts w:hint="eastAsia"/>
                <w:color w:val="auto"/>
                <w:sz w:val="26"/>
                <w:szCs w:val="26"/>
                <w:highlight w:val="none"/>
                <w:lang w:eastAsia="zh-CN"/>
              </w:rPr>
              <w:t>、</w:t>
            </w:r>
            <w:r>
              <w:rPr>
                <w:rFonts w:hint="eastAsia"/>
                <w:color w:val="auto"/>
                <w:sz w:val="26"/>
                <w:szCs w:val="26"/>
                <w:highlight w:val="none"/>
                <w:lang w:val="en-US" w:eastAsia="zh-CN"/>
              </w:rPr>
              <w:t>排水</w:t>
            </w:r>
            <w:r>
              <w:rPr>
                <w:rFonts w:hint="eastAsia"/>
                <w:color w:val="auto"/>
                <w:sz w:val="26"/>
                <w:szCs w:val="26"/>
                <w:highlight w:val="none"/>
              </w:rPr>
              <w:t>情况</w:t>
            </w:r>
            <w:r>
              <w:rPr>
                <w:rFonts w:hint="eastAsia"/>
                <w:color w:val="auto"/>
                <w:sz w:val="26"/>
                <w:szCs w:val="26"/>
                <w:highlight w:val="none"/>
                <w:lang w:val="en-US" w:eastAsia="zh-CN"/>
              </w:rPr>
              <w:t>核算一览</w:t>
            </w:r>
            <w:r>
              <w:rPr>
                <w:rFonts w:hint="eastAsia"/>
                <w:color w:val="auto"/>
                <w:sz w:val="26"/>
                <w:szCs w:val="26"/>
                <w:highlight w:val="none"/>
              </w:rPr>
              <w:t>表</w:t>
            </w:r>
          </w:p>
          <w:tbl>
            <w:tblPr>
              <w:tblStyle w:val="2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476"/>
              <w:gridCol w:w="1022"/>
              <w:gridCol w:w="1174"/>
              <w:gridCol w:w="1740"/>
              <w:gridCol w:w="960"/>
              <w:gridCol w:w="1150"/>
              <w:gridCol w:w="634"/>
              <w:gridCol w:w="938"/>
              <w:gridCol w:w="1064"/>
            </w:tblGrid>
            <w:tr w14:paraId="4A38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jc w:val="center"/>
              </w:trPr>
              <w:tc>
                <w:tcPr>
                  <w:tcW w:w="260" w:type="pct"/>
                  <w:vMerge w:val="restart"/>
                  <w:tcBorders>
                    <w:tl2br w:val="nil"/>
                    <w:tr2bl w:val="nil"/>
                  </w:tcBorders>
                  <w:shd w:val="clear" w:color="auto" w:fill="auto"/>
                  <w:vAlign w:val="center"/>
                </w:tcPr>
                <w:p w14:paraId="520EB560">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序号</w:t>
                  </w:r>
                </w:p>
              </w:tc>
              <w:tc>
                <w:tcPr>
                  <w:tcW w:w="558" w:type="pct"/>
                  <w:vMerge w:val="restart"/>
                  <w:tcBorders>
                    <w:tl2br w:val="nil"/>
                    <w:tr2bl w:val="nil"/>
                  </w:tcBorders>
                  <w:shd w:val="clear" w:color="auto" w:fill="auto"/>
                  <w:vAlign w:val="center"/>
                </w:tcPr>
                <w:p w14:paraId="74025A28">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类别</w:t>
                  </w:r>
                </w:p>
              </w:tc>
              <w:tc>
                <w:tcPr>
                  <w:tcW w:w="641" w:type="pct"/>
                  <w:vMerge w:val="restart"/>
                  <w:tcBorders>
                    <w:tl2br w:val="nil"/>
                    <w:tr2bl w:val="nil"/>
                  </w:tcBorders>
                  <w:shd w:val="clear" w:color="auto" w:fill="auto"/>
                  <w:vAlign w:val="center"/>
                </w:tcPr>
                <w:p w14:paraId="53AD6E21">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规模</w:t>
                  </w:r>
                </w:p>
              </w:tc>
              <w:tc>
                <w:tcPr>
                  <w:tcW w:w="950" w:type="pct"/>
                  <w:vMerge w:val="restart"/>
                  <w:tcBorders>
                    <w:tl2br w:val="nil"/>
                    <w:tr2bl w:val="nil"/>
                  </w:tcBorders>
                  <w:shd w:val="clear" w:color="auto" w:fill="auto"/>
                  <w:vAlign w:val="center"/>
                </w:tcPr>
                <w:p w14:paraId="51125397">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用水指标</w:t>
                  </w:r>
                </w:p>
              </w:tc>
              <w:tc>
                <w:tcPr>
                  <w:tcW w:w="1152" w:type="pct"/>
                  <w:gridSpan w:val="2"/>
                  <w:tcBorders>
                    <w:tl2br w:val="nil"/>
                    <w:tr2bl w:val="nil"/>
                  </w:tcBorders>
                  <w:shd w:val="clear" w:color="auto" w:fill="auto"/>
                  <w:vAlign w:val="center"/>
                </w:tcPr>
                <w:p w14:paraId="76D44177">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用水量</w:t>
                  </w:r>
                </w:p>
              </w:tc>
              <w:tc>
                <w:tcPr>
                  <w:tcW w:w="346" w:type="pct"/>
                  <w:vMerge w:val="restart"/>
                  <w:tcBorders>
                    <w:tl2br w:val="nil"/>
                    <w:tr2bl w:val="nil"/>
                  </w:tcBorders>
                  <w:shd w:val="clear" w:color="auto" w:fill="auto"/>
                  <w:vAlign w:val="center"/>
                </w:tcPr>
                <w:p w14:paraId="6EC2624F">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排污系数</w:t>
                  </w:r>
                </w:p>
              </w:tc>
              <w:tc>
                <w:tcPr>
                  <w:tcW w:w="1091" w:type="pct"/>
                  <w:gridSpan w:val="2"/>
                  <w:tcBorders>
                    <w:tl2br w:val="nil"/>
                    <w:tr2bl w:val="nil"/>
                  </w:tcBorders>
                  <w:shd w:val="clear" w:color="auto" w:fill="auto"/>
                  <w:vAlign w:val="center"/>
                </w:tcPr>
                <w:p w14:paraId="4203DE8A">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排水量</w:t>
                  </w:r>
                </w:p>
              </w:tc>
            </w:tr>
            <w:tr w14:paraId="028BA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vMerge w:val="continue"/>
                  <w:tcBorders>
                    <w:tl2br w:val="nil"/>
                    <w:tr2bl w:val="nil"/>
                  </w:tcBorders>
                  <w:shd w:val="clear" w:color="auto" w:fill="auto"/>
                  <w:vAlign w:val="center"/>
                </w:tcPr>
                <w:p w14:paraId="662C9C5D">
                  <w:pPr>
                    <w:pStyle w:val="86"/>
                    <w:keepNext w:val="0"/>
                    <w:keepLines w:val="0"/>
                    <w:suppressLineNumbers w:val="0"/>
                    <w:bidi w:val="0"/>
                    <w:spacing w:before="0" w:beforeAutospacing="0" w:after="0" w:afterAutospacing="0"/>
                    <w:ind w:left="0" w:right="0"/>
                    <w:rPr>
                      <w:rFonts w:hint="eastAsia"/>
                      <w:color w:val="auto"/>
                      <w:sz w:val="20"/>
                      <w:szCs w:val="20"/>
                      <w:highlight w:val="none"/>
                    </w:rPr>
                  </w:pPr>
                </w:p>
              </w:tc>
              <w:tc>
                <w:tcPr>
                  <w:tcW w:w="558" w:type="pct"/>
                  <w:vMerge w:val="continue"/>
                  <w:tcBorders>
                    <w:tl2br w:val="nil"/>
                    <w:tr2bl w:val="nil"/>
                  </w:tcBorders>
                  <w:shd w:val="clear" w:color="auto" w:fill="auto"/>
                  <w:vAlign w:val="center"/>
                </w:tcPr>
                <w:p w14:paraId="40FC4A6A">
                  <w:pPr>
                    <w:pStyle w:val="86"/>
                    <w:keepNext w:val="0"/>
                    <w:keepLines w:val="0"/>
                    <w:suppressLineNumbers w:val="0"/>
                    <w:bidi w:val="0"/>
                    <w:spacing w:before="0" w:beforeAutospacing="0" w:after="0" w:afterAutospacing="0"/>
                    <w:ind w:left="0" w:right="0"/>
                    <w:rPr>
                      <w:rFonts w:hint="eastAsia"/>
                      <w:color w:val="auto"/>
                      <w:sz w:val="20"/>
                      <w:szCs w:val="20"/>
                      <w:highlight w:val="none"/>
                    </w:rPr>
                  </w:pPr>
                </w:p>
              </w:tc>
              <w:tc>
                <w:tcPr>
                  <w:tcW w:w="641" w:type="pct"/>
                  <w:vMerge w:val="continue"/>
                  <w:tcBorders>
                    <w:tl2br w:val="nil"/>
                    <w:tr2bl w:val="nil"/>
                  </w:tcBorders>
                  <w:shd w:val="clear" w:color="auto" w:fill="auto"/>
                  <w:vAlign w:val="center"/>
                </w:tcPr>
                <w:p w14:paraId="1B431843">
                  <w:pPr>
                    <w:pStyle w:val="86"/>
                    <w:keepNext w:val="0"/>
                    <w:keepLines w:val="0"/>
                    <w:suppressLineNumbers w:val="0"/>
                    <w:bidi w:val="0"/>
                    <w:spacing w:before="0" w:beforeAutospacing="0" w:after="0" w:afterAutospacing="0"/>
                    <w:ind w:left="0" w:right="0"/>
                    <w:rPr>
                      <w:rFonts w:hint="eastAsia"/>
                      <w:color w:val="auto"/>
                      <w:sz w:val="20"/>
                      <w:szCs w:val="20"/>
                      <w:highlight w:val="none"/>
                    </w:rPr>
                  </w:pPr>
                </w:p>
              </w:tc>
              <w:tc>
                <w:tcPr>
                  <w:tcW w:w="950" w:type="pct"/>
                  <w:vMerge w:val="continue"/>
                  <w:tcBorders>
                    <w:tl2br w:val="nil"/>
                    <w:tr2bl w:val="nil"/>
                  </w:tcBorders>
                  <w:shd w:val="clear" w:color="auto" w:fill="auto"/>
                  <w:vAlign w:val="center"/>
                </w:tcPr>
                <w:p w14:paraId="61D8A4E8">
                  <w:pPr>
                    <w:pStyle w:val="86"/>
                    <w:keepNext w:val="0"/>
                    <w:keepLines w:val="0"/>
                    <w:suppressLineNumbers w:val="0"/>
                    <w:bidi w:val="0"/>
                    <w:spacing w:before="0" w:beforeAutospacing="0" w:after="0" w:afterAutospacing="0"/>
                    <w:ind w:left="0" w:right="0"/>
                    <w:rPr>
                      <w:rFonts w:hint="eastAsia"/>
                      <w:color w:val="auto"/>
                      <w:sz w:val="20"/>
                      <w:szCs w:val="20"/>
                      <w:highlight w:val="none"/>
                    </w:rPr>
                  </w:pPr>
                </w:p>
              </w:tc>
              <w:tc>
                <w:tcPr>
                  <w:tcW w:w="524" w:type="pct"/>
                  <w:tcBorders>
                    <w:tl2br w:val="nil"/>
                    <w:tr2bl w:val="nil"/>
                  </w:tcBorders>
                  <w:shd w:val="clear" w:color="auto" w:fill="auto"/>
                  <w:vAlign w:val="center"/>
                </w:tcPr>
                <w:p w14:paraId="68FD337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m</w:t>
                  </w:r>
                  <w:r>
                    <w:rPr>
                      <w:rFonts w:hint="default"/>
                      <w:color w:val="auto"/>
                      <w:sz w:val="20"/>
                      <w:szCs w:val="20"/>
                      <w:highlight w:val="none"/>
                      <w:vertAlign w:val="superscript"/>
                      <w:lang w:val="en-US" w:eastAsia="zh-CN"/>
                    </w:rPr>
                    <w:t>3</w:t>
                  </w:r>
                  <w:r>
                    <w:rPr>
                      <w:rFonts w:hint="default"/>
                      <w:color w:val="auto"/>
                      <w:sz w:val="20"/>
                      <w:szCs w:val="20"/>
                      <w:highlight w:val="none"/>
                      <w:lang w:val="en-US" w:eastAsia="zh-CN"/>
                    </w:rPr>
                    <w:t>/d</w:t>
                  </w:r>
                </w:p>
              </w:tc>
              <w:tc>
                <w:tcPr>
                  <w:tcW w:w="628" w:type="pct"/>
                  <w:tcBorders>
                    <w:tl2br w:val="nil"/>
                    <w:tr2bl w:val="nil"/>
                  </w:tcBorders>
                  <w:shd w:val="clear" w:color="auto" w:fill="auto"/>
                  <w:vAlign w:val="center"/>
                </w:tcPr>
                <w:p w14:paraId="7D898CE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m</w:t>
                  </w:r>
                  <w:r>
                    <w:rPr>
                      <w:rFonts w:hint="default"/>
                      <w:color w:val="auto"/>
                      <w:sz w:val="20"/>
                      <w:szCs w:val="20"/>
                      <w:highlight w:val="none"/>
                      <w:vertAlign w:val="superscript"/>
                      <w:lang w:val="en-US" w:eastAsia="zh-CN"/>
                    </w:rPr>
                    <w:t>3</w:t>
                  </w:r>
                  <w:r>
                    <w:rPr>
                      <w:rFonts w:hint="default"/>
                      <w:color w:val="auto"/>
                      <w:sz w:val="20"/>
                      <w:szCs w:val="20"/>
                      <w:highlight w:val="none"/>
                      <w:lang w:val="en-US" w:eastAsia="zh-CN"/>
                    </w:rPr>
                    <w:t>/a</w:t>
                  </w:r>
                </w:p>
              </w:tc>
              <w:tc>
                <w:tcPr>
                  <w:tcW w:w="346" w:type="pct"/>
                  <w:vMerge w:val="continue"/>
                  <w:tcBorders>
                    <w:tl2br w:val="nil"/>
                    <w:tr2bl w:val="nil"/>
                  </w:tcBorders>
                  <w:shd w:val="clear" w:color="auto" w:fill="auto"/>
                  <w:vAlign w:val="center"/>
                </w:tcPr>
                <w:p w14:paraId="01EDA789">
                  <w:pPr>
                    <w:pStyle w:val="86"/>
                    <w:keepNext w:val="0"/>
                    <w:keepLines w:val="0"/>
                    <w:suppressLineNumbers w:val="0"/>
                    <w:bidi w:val="0"/>
                    <w:spacing w:before="0" w:beforeAutospacing="0" w:after="0" w:afterAutospacing="0"/>
                    <w:ind w:left="0" w:right="0"/>
                    <w:rPr>
                      <w:rFonts w:hint="eastAsia"/>
                      <w:color w:val="auto"/>
                      <w:sz w:val="20"/>
                      <w:szCs w:val="20"/>
                      <w:highlight w:val="none"/>
                    </w:rPr>
                  </w:pPr>
                </w:p>
              </w:tc>
              <w:tc>
                <w:tcPr>
                  <w:tcW w:w="512" w:type="pct"/>
                  <w:tcBorders>
                    <w:tl2br w:val="nil"/>
                    <w:tr2bl w:val="nil"/>
                  </w:tcBorders>
                  <w:shd w:val="clear" w:color="auto" w:fill="auto"/>
                  <w:vAlign w:val="center"/>
                </w:tcPr>
                <w:p w14:paraId="2DF7181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m</w:t>
                  </w:r>
                  <w:r>
                    <w:rPr>
                      <w:rFonts w:hint="default"/>
                      <w:color w:val="auto"/>
                      <w:sz w:val="20"/>
                      <w:szCs w:val="20"/>
                      <w:highlight w:val="none"/>
                      <w:vertAlign w:val="superscript"/>
                      <w:lang w:val="en-US" w:eastAsia="zh-CN"/>
                    </w:rPr>
                    <w:t>3</w:t>
                  </w:r>
                  <w:r>
                    <w:rPr>
                      <w:rFonts w:hint="default"/>
                      <w:color w:val="auto"/>
                      <w:sz w:val="20"/>
                      <w:szCs w:val="20"/>
                      <w:highlight w:val="none"/>
                      <w:lang w:val="en-US" w:eastAsia="zh-CN"/>
                    </w:rPr>
                    <w:t>/d</w:t>
                  </w:r>
                </w:p>
              </w:tc>
              <w:tc>
                <w:tcPr>
                  <w:tcW w:w="578" w:type="pct"/>
                  <w:tcBorders>
                    <w:tl2br w:val="nil"/>
                    <w:tr2bl w:val="nil"/>
                  </w:tcBorders>
                  <w:shd w:val="clear" w:color="auto" w:fill="auto"/>
                  <w:vAlign w:val="center"/>
                </w:tcPr>
                <w:p w14:paraId="25C4FB4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m</w:t>
                  </w:r>
                  <w:r>
                    <w:rPr>
                      <w:rFonts w:hint="default"/>
                      <w:color w:val="auto"/>
                      <w:sz w:val="20"/>
                      <w:szCs w:val="20"/>
                      <w:highlight w:val="none"/>
                      <w:vertAlign w:val="superscript"/>
                      <w:lang w:val="en-US" w:eastAsia="zh-CN"/>
                    </w:rPr>
                    <w:t>3</w:t>
                  </w:r>
                  <w:r>
                    <w:rPr>
                      <w:rFonts w:hint="default"/>
                      <w:color w:val="auto"/>
                      <w:sz w:val="20"/>
                      <w:szCs w:val="20"/>
                      <w:highlight w:val="none"/>
                      <w:lang w:val="en-US" w:eastAsia="zh-CN"/>
                    </w:rPr>
                    <w:t>/a</w:t>
                  </w:r>
                </w:p>
              </w:tc>
            </w:tr>
            <w:tr w14:paraId="7E681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1FD2536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w:t>
                  </w:r>
                </w:p>
              </w:tc>
              <w:tc>
                <w:tcPr>
                  <w:tcW w:w="558" w:type="pct"/>
                  <w:tcBorders>
                    <w:tl2br w:val="nil"/>
                    <w:tr2bl w:val="nil"/>
                  </w:tcBorders>
                  <w:shd w:val="clear" w:color="auto" w:fill="auto"/>
                  <w:vAlign w:val="center"/>
                </w:tcPr>
                <w:p w14:paraId="47D8BCD5">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员工生活用水</w:t>
                  </w:r>
                </w:p>
              </w:tc>
              <w:tc>
                <w:tcPr>
                  <w:tcW w:w="641" w:type="pct"/>
                  <w:tcBorders>
                    <w:tl2br w:val="nil"/>
                    <w:tr2bl w:val="nil"/>
                  </w:tcBorders>
                  <w:shd w:val="clear" w:color="auto" w:fill="auto"/>
                  <w:vAlign w:val="center"/>
                </w:tcPr>
                <w:p w14:paraId="5C37E5D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170</w:t>
                  </w:r>
                  <w:r>
                    <w:rPr>
                      <w:rFonts w:hint="eastAsia"/>
                      <w:color w:val="auto"/>
                      <w:sz w:val="20"/>
                      <w:szCs w:val="20"/>
                      <w:highlight w:val="none"/>
                      <w:lang w:val="en-US" w:eastAsia="zh-CN"/>
                    </w:rPr>
                    <w:t>人</w:t>
                  </w:r>
                  <w:r>
                    <w:rPr>
                      <w:rFonts w:hint="default"/>
                      <w:color w:val="auto"/>
                      <w:sz w:val="20"/>
                      <w:szCs w:val="20"/>
                      <w:highlight w:val="none"/>
                      <w:lang w:val="en-US" w:eastAsia="zh-CN"/>
                    </w:rPr>
                    <w:t>/d</w:t>
                  </w:r>
                </w:p>
              </w:tc>
              <w:tc>
                <w:tcPr>
                  <w:tcW w:w="950" w:type="pct"/>
                  <w:tcBorders>
                    <w:tl2br w:val="nil"/>
                    <w:tr2bl w:val="nil"/>
                  </w:tcBorders>
                  <w:shd w:val="clear" w:color="auto" w:fill="auto"/>
                  <w:vAlign w:val="center"/>
                </w:tcPr>
                <w:p w14:paraId="6882F4E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50L/</w:t>
                  </w:r>
                  <w:r>
                    <w:rPr>
                      <w:rFonts w:hint="eastAsia"/>
                      <w:color w:val="auto"/>
                      <w:sz w:val="20"/>
                      <w:szCs w:val="20"/>
                      <w:highlight w:val="none"/>
                      <w:lang w:val="en-US" w:eastAsia="zh-CN"/>
                    </w:rPr>
                    <w:t>（人</w:t>
                  </w:r>
                  <w:r>
                    <w:rPr>
                      <w:rFonts w:hint="default"/>
                      <w:color w:val="auto"/>
                      <w:sz w:val="20"/>
                      <w:szCs w:val="20"/>
                      <w:highlight w:val="none"/>
                      <w:lang w:val="en-US" w:eastAsia="zh-CN"/>
                    </w:rPr>
                    <w:t>·d</w:t>
                  </w:r>
                  <w:r>
                    <w:rPr>
                      <w:rFonts w:hint="eastAsia"/>
                      <w:color w:val="auto"/>
                      <w:sz w:val="20"/>
                      <w:szCs w:val="20"/>
                      <w:highlight w:val="none"/>
                      <w:lang w:val="en-US" w:eastAsia="zh-CN"/>
                    </w:rPr>
                    <w:t>）</w:t>
                  </w:r>
                </w:p>
              </w:tc>
              <w:tc>
                <w:tcPr>
                  <w:tcW w:w="524" w:type="pct"/>
                  <w:tcBorders>
                    <w:tl2br w:val="nil"/>
                    <w:tr2bl w:val="nil"/>
                  </w:tcBorders>
                  <w:shd w:val="clear" w:color="auto" w:fill="auto"/>
                  <w:vAlign w:val="center"/>
                </w:tcPr>
                <w:p w14:paraId="0A402E3C">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8.5</w:t>
                  </w:r>
                </w:p>
              </w:tc>
              <w:tc>
                <w:tcPr>
                  <w:tcW w:w="628" w:type="pct"/>
                  <w:tcBorders>
                    <w:tl2br w:val="nil"/>
                    <w:tr2bl w:val="nil"/>
                  </w:tcBorders>
                  <w:shd w:val="clear" w:color="auto" w:fill="auto"/>
                  <w:vAlign w:val="center"/>
                </w:tcPr>
                <w:p w14:paraId="50E7C4B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2125</w:t>
                  </w:r>
                </w:p>
              </w:tc>
              <w:tc>
                <w:tcPr>
                  <w:tcW w:w="346" w:type="pct"/>
                  <w:tcBorders>
                    <w:tl2br w:val="nil"/>
                    <w:tr2bl w:val="nil"/>
                  </w:tcBorders>
                  <w:shd w:val="clear" w:color="auto" w:fill="auto"/>
                  <w:vAlign w:val="center"/>
                </w:tcPr>
                <w:p w14:paraId="221AE26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0.9</w:t>
                  </w:r>
                </w:p>
              </w:tc>
              <w:tc>
                <w:tcPr>
                  <w:tcW w:w="512" w:type="pct"/>
                  <w:tcBorders>
                    <w:tl2br w:val="nil"/>
                    <w:tr2bl w:val="nil"/>
                  </w:tcBorders>
                  <w:shd w:val="clear" w:color="auto" w:fill="auto"/>
                  <w:vAlign w:val="center"/>
                </w:tcPr>
                <w:p w14:paraId="4DCB0E6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7.65</w:t>
                  </w:r>
                </w:p>
              </w:tc>
              <w:tc>
                <w:tcPr>
                  <w:tcW w:w="578" w:type="pct"/>
                  <w:tcBorders>
                    <w:tl2br w:val="nil"/>
                    <w:tr2bl w:val="nil"/>
                  </w:tcBorders>
                  <w:shd w:val="clear" w:color="auto" w:fill="auto"/>
                  <w:vAlign w:val="center"/>
                </w:tcPr>
                <w:p w14:paraId="331B622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1912.5</w:t>
                  </w:r>
                </w:p>
              </w:tc>
            </w:tr>
            <w:tr w14:paraId="09706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05C0159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2</w:t>
                  </w:r>
                </w:p>
              </w:tc>
              <w:tc>
                <w:tcPr>
                  <w:tcW w:w="558" w:type="pct"/>
                  <w:tcBorders>
                    <w:tl2br w:val="nil"/>
                    <w:tr2bl w:val="nil"/>
                  </w:tcBorders>
                  <w:shd w:val="clear" w:color="auto" w:fill="auto"/>
                  <w:vAlign w:val="center"/>
                </w:tcPr>
                <w:p w14:paraId="51A79340">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综合楼地面清洁用水</w:t>
                  </w:r>
                </w:p>
              </w:tc>
              <w:tc>
                <w:tcPr>
                  <w:tcW w:w="641" w:type="pct"/>
                  <w:tcBorders>
                    <w:tl2br w:val="nil"/>
                    <w:tr2bl w:val="nil"/>
                  </w:tcBorders>
                  <w:shd w:val="clear" w:color="auto" w:fill="auto"/>
                  <w:vAlign w:val="center"/>
                </w:tcPr>
                <w:p w14:paraId="6A07890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1849.69m</w:t>
                  </w:r>
                  <w:r>
                    <w:rPr>
                      <w:rFonts w:hint="default"/>
                      <w:color w:val="auto"/>
                      <w:sz w:val="20"/>
                      <w:szCs w:val="20"/>
                      <w:highlight w:val="none"/>
                      <w:vertAlign w:val="superscript"/>
                      <w:lang w:val="en-US" w:eastAsia="zh-CN"/>
                    </w:rPr>
                    <w:t>2</w:t>
                  </w:r>
                </w:p>
              </w:tc>
              <w:tc>
                <w:tcPr>
                  <w:tcW w:w="950" w:type="pct"/>
                  <w:tcBorders>
                    <w:tl2br w:val="nil"/>
                    <w:tr2bl w:val="nil"/>
                  </w:tcBorders>
                  <w:shd w:val="clear" w:color="auto" w:fill="auto"/>
                  <w:vAlign w:val="center"/>
                </w:tcPr>
                <w:p w14:paraId="01BDF1D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0.5L/m</w:t>
                  </w:r>
                  <w:r>
                    <w:rPr>
                      <w:rFonts w:hint="default"/>
                      <w:color w:val="auto"/>
                      <w:sz w:val="20"/>
                      <w:szCs w:val="20"/>
                      <w:highlight w:val="none"/>
                      <w:vertAlign w:val="superscript"/>
                      <w:lang w:val="en-US" w:eastAsia="zh-CN"/>
                    </w:rPr>
                    <w:t>2</w:t>
                  </w:r>
                  <w:r>
                    <w:rPr>
                      <w:rFonts w:hint="default"/>
                      <w:color w:val="auto"/>
                      <w:sz w:val="20"/>
                      <w:szCs w:val="20"/>
                      <w:highlight w:val="none"/>
                      <w:lang w:val="en-US" w:eastAsia="zh-CN"/>
                    </w:rPr>
                    <w:t>·</w:t>
                  </w:r>
                  <w:r>
                    <w:rPr>
                      <w:rFonts w:hint="eastAsia"/>
                      <w:color w:val="auto"/>
                      <w:sz w:val="20"/>
                      <w:szCs w:val="20"/>
                      <w:highlight w:val="none"/>
                      <w:lang w:val="en-US" w:eastAsia="zh-CN"/>
                    </w:rPr>
                    <w:t>次</w:t>
                  </w:r>
                </w:p>
                <w:p w14:paraId="3B0EA83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（每周一次）</w:t>
                  </w:r>
                </w:p>
              </w:tc>
              <w:tc>
                <w:tcPr>
                  <w:tcW w:w="524" w:type="pct"/>
                  <w:tcBorders>
                    <w:tl2br w:val="nil"/>
                    <w:tr2bl w:val="nil"/>
                  </w:tcBorders>
                  <w:shd w:val="clear" w:color="auto" w:fill="auto"/>
                  <w:vAlign w:val="center"/>
                </w:tcPr>
                <w:p w14:paraId="014A76C4">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0.192</w:t>
                  </w:r>
                </w:p>
              </w:tc>
              <w:tc>
                <w:tcPr>
                  <w:tcW w:w="628" w:type="pct"/>
                  <w:tcBorders>
                    <w:tl2br w:val="nil"/>
                    <w:tr2bl w:val="nil"/>
                  </w:tcBorders>
                  <w:shd w:val="clear" w:color="auto" w:fill="auto"/>
                  <w:vAlign w:val="center"/>
                </w:tcPr>
                <w:p w14:paraId="6152B05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48.1</w:t>
                  </w:r>
                  <w:r>
                    <w:rPr>
                      <w:rFonts w:hint="default"/>
                      <w:color w:val="auto"/>
                      <w:sz w:val="20"/>
                      <w:szCs w:val="20"/>
                      <w:highlight w:val="none"/>
                      <w:lang w:val="en-US" w:eastAsia="zh-CN"/>
                    </w:rPr>
                    <w:t xml:space="preserve"> </w:t>
                  </w:r>
                </w:p>
              </w:tc>
              <w:tc>
                <w:tcPr>
                  <w:tcW w:w="346" w:type="pct"/>
                  <w:tcBorders>
                    <w:tl2br w:val="nil"/>
                    <w:tr2bl w:val="nil"/>
                  </w:tcBorders>
                  <w:shd w:val="clear" w:color="auto" w:fill="auto"/>
                  <w:vAlign w:val="center"/>
                </w:tcPr>
                <w:p w14:paraId="28FFC77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0.9</w:t>
                  </w:r>
                </w:p>
              </w:tc>
              <w:tc>
                <w:tcPr>
                  <w:tcW w:w="512" w:type="pct"/>
                  <w:tcBorders>
                    <w:tl2br w:val="nil"/>
                    <w:tr2bl w:val="nil"/>
                  </w:tcBorders>
                  <w:shd w:val="clear" w:color="auto" w:fill="auto"/>
                  <w:vAlign w:val="center"/>
                </w:tcPr>
                <w:p w14:paraId="200E7AFD">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0.173</w:t>
                  </w:r>
                </w:p>
              </w:tc>
              <w:tc>
                <w:tcPr>
                  <w:tcW w:w="578" w:type="pct"/>
                  <w:tcBorders>
                    <w:tl2br w:val="nil"/>
                    <w:tr2bl w:val="nil"/>
                  </w:tcBorders>
                  <w:shd w:val="clear" w:color="auto" w:fill="auto"/>
                  <w:vAlign w:val="center"/>
                </w:tcPr>
                <w:p w14:paraId="70A85F8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43.3</w:t>
                  </w:r>
                  <w:r>
                    <w:rPr>
                      <w:rFonts w:hint="default"/>
                      <w:color w:val="auto"/>
                      <w:sz w:val="20"/>
                      <w:szCs w:val="20"/>
                      <w:highlight w:val="none"/>
                      <w:lang w:val="en-US" w:eastAsia="zh-CN"/>
                    </w:rPr>
                    <w:t xml:space="preserve"> </w:t>
                  </w:r>
                </w:p>
              </w:tc>
            </w:tr>
            <w:tr w14:paraId="735E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7BEC7C3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3</w:t>
                  </w:r>
                </w:p>
              </w:tc>
              <w:tc>
                <w:tcPr>
                  <w:tcW w:w="558" w:type="pct"/>
                  <w:tcBorders>
                    <w:tl2br w:val="nil"/>
                    <w:tr2bl w:val="nil"/>
                  </w:tcBorders>
                  <w:shd w:val="clear" w:color="auto" w:fill="auto"/>
                  <w:vAlign w:val="center"/>
                </w:tcPr>
                <w:p w14:paraId="1B582D5F">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餐饮用水</w:t>
                  </w:r>
                </w:p>
              </w:tc>
              <w:tc>
                <w:tcPr>
                  <w:tcW w:w="641" w:type="pct"/>
                  <w:tcBorders>
                    <w:tl2br w:val="nil"/>
                    <w:tr2bl w:val="nil"/>
                  </w:tcBorders>
                  <w:shd w:val="clear" w:color="auto" w:fill="auto"/>
                  <w:vAlign w:val="center"/>
                </w:tcPr>
                <w:p w14:paraId="4383A20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100</w:t>
                  </w:r>
                  <w:r>
                    <w:rPr>
                      <w:rFonts w:hint="eastAsia"/>
                      <w:color w:val="auto"/>
                      <w:sz w:val="20"/>
                      <w:szCs w:val="20"/>
                      <w:highlight w:val="none"/>
                      <w:lang w:val="en-US" w:eastAsia="zh-CN"/>
                    </w:rPr>
                    <w:t>人次</w:t>
                  </w:r>
                </w:p>
              </w:tc>
              <w:tc>
                <w:tcPr>
                  <w:tcW w:w="950" w:type="pct"/>
                  <w:tcBorders>
                    <w:tl2br w:val="nil"/>
                    <w:tr2bl w:val="nil"/>
                  </w:tcBorders>
                  <w:shd w:val="clear" w:color="auto" w:fill="auto"/>
                  <w:vAlign w:val="center"/>
                </w:tcPr>
                <w:p w14:paraId="1BDD92C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45L/</w:t>
                  </w:r>
                  <w:r>
                    <w:rPr>
                      <w:rFonts w:hint="eastAsia"/>
                      <w:color w:val="auto"/>
                      <w:sz w:val="20"/>
                      <w:szCs w:val="20"/>
                      <w:highlight w:val="none"/>
                      <w:lang w:val="en-US" w:eastAsia="zh-CN"/>
                    </w:rPr>
                    <w:t>人次</w:t>
                  </w:r>
                </w:p>
              </w:tc>
              <w:tc>
                <w:tcPr>
                  <w:tcW w:w="524" w:type="pct"/>
                  <w:tcBorders>
                    <w:tl2br w:val="nil"/>
                    <w:tr2bl w:val="nil"/>
                  </w:tcBorders>
                  <w:shd w:val="clear" w:color="auto" w:fill="auto"/>
                  <w:vAlign w:val="center"/>
                </w:tcPr>
                <w:p w14:paraId="387A538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4.5</w:t>
                  </w:r>
                </w:p>
              </w:tc>
              <w:tc>
                <w:tcPr>
                  <w:tcW w:w="628" w:type="pct"/>
                  <w:tcBorders>
                    <w:tl2br w:val="nil"/>
                    <w:tr2bl w:val="nil"/>
                  </w:tcBorders>
                  <w:shd w:val="clear" w:color="auto" w:fill="auto"/>
                  <w:vAlign w:val="center"/>
                </w:tcPr>
                <w:p w14:paraId="03CF8437">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1125</w:t>
                  </w:r>
                </w:p>
              </w:tc>
              <w:tc>
                <w:tcPr>
                  <w:tcW w:w="346" w:type="pct"/>
                  <w:tcBorders>
                    <w:tl2br w:val="nil"/>
                    <w:tr2bl w:val="nil"/>
                  </w:tcBorders>
                  <w:shd w:val="clear" w:color="auto" w:fill="auto"/>
                  <w:vAlign w:val="center"/>
                </w:tcPr>
                <w:p w14:paraId="3720050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0.9</w:t>
                  </w:r>
                </w:p>
              </w:tc>
              <w:tc>
                <w:tcPr>
                  <w:tcW w:w="512" w:type="pct"/>
                  <w:tcBorders>
                    <w:tl2br w:val="nil"/>
                    <w:tr2bl w:val="nil"/>
                  </w:tcBorders>
                  <w:shd w:val="clear" w:color="auto" w:fill="auto"/>
                  <w:vAlign w:val="center"/>
                </w:tcPr>
                <w:p w14:paraId="73BED50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4.05</w:t>
                  </w:r>
                </w:p>
              </w:tc>
              <w:tc>
                <w:tcPr>
                  <w:tcW w:w="578" w:type="pct"/>
                  <w:tcBorders>
                    <w:tl2br w:val="nil"/>
                    <w:tr2bl w:val="nil"/>
                  </w:tcBorders>
                  <w:shd w:val="clear" w:color="auto" w:fill="auto"/>
                  <w:vAlign w:val="center"/>
                </w:tcPr>
                <w:p w14:paraId="28E71D46">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1012.5</w:t>
                  </w:r>
                </w:p>
              </w:tc>
            </w:tr>
            <w:tr w14:paraId="2216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6034499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4</w:t>
                  </w:r>
                </w:p>
              </w:tc>
              <w:tc>
                <w:tcPr>
                  <w:tcW w:w="558" w:type="pct"/>
                  <w:tcBorders>
                    <w:tl2br w:val="nil"/>
                    <w:tr2bl w:val="nil"/>
                  </w:tcBorders>
                  <w:shd w:val="clear" w:color="auto" w:fill="auto"/>
                  <w:vAlign w:val="center"/>
                </w:tcPr>
                <w:p w14:paraId="0510BF36">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脱模剂用水</w:t>
                  </w:r>
                </w:p>
              </w:tc>
              <w:tc>
                <w:tcPr>
                  <w:tcW w:w="1591" w:type="pct"/>
                  <w:gridSpan w:val="2"/>
                  <w:tcBorders>
                    <w:tl2br w:val="nil"/>
                    <w:tr2bl w:val="nil"/>
                  </w:tcBorders>
                  <w:shd w:val="clear" w:color="auto" w:fill="auto"/>
                  <w:vAlign w:val="center"/>
                </w:tcPr>
                <w:p w14:paraId="53DE6BA9">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脱模剂与水以</w:t>
                  </w:r>
                  <w:r>
                    <w:rPr>
                      <w:rFonts w:hint="default"/>
                      <w:color w:val="auto"/>
                      <w:sz w:val="20"/>
                      <w:szCs w:val="20"/>
                      <w:highlight w:val="none"/>
                      <w:lang w:val="en-US" w:eastAsia="zh-CN"/>
                    </w:rPr>
                    <w:t>1:</w:t>
                  </w:r>
                  <w:r>
                    <w:rPr>
                      <w:rFonts w:hint="eastAsia"/>
                      <w:color w:val="auto"/>
                      <w:sz w:val="20"/>
                      <w:szCs w:val="20"/>
                      <w:highlight w:val="none"/>
                      <w:lang w:val="en-US" w:eastAsia="zh-CN"/>
                    </w:rPr>
                    <w:t>8</w:t>
                  </w:r>
                  <w:r>
                    <w:rPr>
                      <w:rFonts w:hint="default"/>
                      <w:color w:val="auto"/>
                      <w:sz w:val="20"/>
                      <w:szCs w:val="20"/>
                      <w:highlight w:val="none"/>
                      <w:lang w:val="en-US" w:eastAsia="zh-CN"/>
                    </w:rPr>
                    <w:t>0</w:t>
                  </w:r>
                  <w:r>
                    <w:rPr>
                      <w:rFonts w:hint="eastAsia"/>
                      <w:color w:val="auto"/>
                      <w:sz w:val="20"/>
                      <w:szCs w:val="20"/>
                      <w:highlight w:val="none"/>
                      <w:lang w:val="en-US" w:eastAsia="zh-CN"/>
                    </w:rPr>
                    <w:t>进行配比，脱模剂用量约1.26</w:t>
                  </w:r>
                  <w:r>
                    <w:rPr>
                      <w:rFonts w:hint="default"/>
                      <w:color w:val="auto"/>
                      <w:sz w:val="20"/>
                      <w:szCs w:val="20"/>
                      <w:highlight w:val="none"/>
                      <w:lang w:val="en-US" w:eastAsia="zh-CN"/>
                    </w:rPr>
                    <w:t>t/a</w:t>
                  </w:r>
                </w:p>
              </w:tc>
              <w:tc>
                <w:tcPr>
                  <w:tcW w:w="524" w:type="pct"/>
                  <w:tcBorders>
                    <w:tl2br w:val="nil"/>
                    <w:tr2bl w:val="nil"/>
                  </w:tcBorders>
                  <w:shd w:val="clear" w:color="auto" w:fill="auto"/>
                  <w:vAlign w:val="center"/>
                </w:tcPr>
                <w:p w14:paraId="00358365">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0.403</w:t>
                  </w:r>
                </w:p>
              </w:tc>
              <w:tc>
                <w:tcPr>
                  <w:tcW w:w="628" w:type="pct"/>
                  <w:tcBorders>
                    <w:tl2br w:val="nil"/>
                    <w:tr2bl w:val="nil"/>
                  </w:tcBorders>
                  <w:shd w:val="clear" w:color="auto" w:fill="auto"/>
                  <w:vAlign w:val="center"/>
                </w:tcPr>
                <w:p w14:paraId="5E515D8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100.8</w:t>
                  </w:r>
                </w:p>
              </w:tc>
              <w:tc>
                <w:tcPr>
                  <w:tcW w:w="346" w:type="pct"/>
                  <w:tcBorders>
                    <w:tl2br w:val="nil"/>
                    <w:tr2bl w:val="nil"/>
                  </w:tcBorders>
                  <w:shd w:val="clear" w:color="auto" w:fill="auto"/>
                  <w:vAlign w:val="center"/>
                </w:tcPr>
                <w:p w14:paraId="7EBBC6D3">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w:t>
                  </w:r>
                </w:p>
              </w:tc>
              <w:tc>
                <w:tcPr>
                  <w:tcW w:w="512" w:type="pct"/>
                  <w:tcBorders>
                    <w:tl2br w:val="nil"/>
                    <w:tr2bl w:val="nil"/>
                  </w:tcBorders>
                  <w:shd w:val="clear" w:color="auto" w:fill="auto"/>
                  <w:vAlign w:val="center"/>
                </w:tcPr>
                <w:p w14:paraId="53E7EBFE">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0.327</w:t>
                  </w:r>
                </w:p>
              </w:tc>
              <w:tc>
                <w:tcPr>
                  <w:tcW w:w="578" w:type="pct"/>
                  <w:tcBorders>
                    <w:tl2br w:val="nil"/>
                    <w:tr2bl w:val="nil"/>
                  </w:tcBorders>
                  <w:shd w:val="clear" w:color="auto" w:fill="auto"/>
                  <w:vAlign w:val="center"/>
                </w:tcPr>
                <w:p w14:paraId="380B9C5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81.7</w:t>
                  </w:r>
                </w:p>
              </w:tc>
            </w:tr>
            <w:tr w14:paraId="1C482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6CBF2F3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5</w:t>
                  </w:r>
                </w:p>
              </w:tc>
              <w:tc>
                <w:tcPr>
                  <w:tcW w:w="558" w:type="pct"/>
                  <w:tcBorders>
                    <w:tl2br w:val="nil"/>
                    <w:tr2bl w:val="nil"/>
                  </w:tcBorders>
                  <w:shd w:val="clear" w:color="auto" w:fill="auto"/>
                  <w:vAlign w:val="center"/>
                </w:tcPr>
                <w:p w14:paraId="2A3BD738">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乙醇废气处理用水</w:t>
                  </w:r>
                </w:p>
              </w:tc>
              <w:tc>
                <w:tcPr>
                  <w:tcW w:w="1591" w:type="pct"/>
                  <w:gridSpan w:val="2"/>
                  <w:tcBorders>
                    <w:tl2br w:val="nil"/>
                    <w:tr2bl w:val="nil"/>
                  </w:tcBorders>
                  <w:shd w:val="clear" w:color="auto" w:fill="auto"/>
                  <w:vAlign w:val="center"/>
                </w:tcPr>
                <w:p w14:paraId="4D513C8E">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每月更换4次，每次新鲜用水量约为</w:t>
                  </w:r>
                  <w:r>
                    <w:rPr>
                      <w:rFonts w:hint="default"/>
                      <w:color w:val="auto"/>
                      <w:sz w:val="20"/>
                      <w:szCs w:val="20"/>
                      <w:highlight w:val="none"/>
                      <w:lang w:val="en-US" w:eastAsia="zh-CN"/>
                    </w:rPr>
                    <w:t>0.3t</w:t>
                  </w:r>
                </w:p>
              </w:tc>
              <w:tc>
                <w:tcPr>
                  <w:tcW w:w="524" w:type="pct"/>
                  <w:tcBorders>
                    <w:tl2br w:val="nil"/>
                    <w:tr2bl w:val="nil"/>
                  </w:tcBorders>
                  <w:shd w:val="clear" w:color="auto" w:fill="auto"/>
                  <w:vAlign w:val="center"/>
                </w:tcPr>
                <w:p w14:paraId="1C52E49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0.058</w:t>
                  </w:r>
                </w:p>
              </w:tc>
              <w:tc>
                <w:tcPr>
                  <w:tcW w:w="628" w:type="pct"/>
                  <w:tcBorders>
                    <w:tl2br w:val="nil"/>
                    <w:tr2bl w:val="nil"/>
                  </w:tcBorders>
                  <w:shd w:val="clear" w:color="auto" w:fill="auto"/>
                  <w:vAlign w:val="center"/>
                </w:tcPr>
                <w:p w14:paraId="166346C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14.4</w:t>
                  </w:r>
                </w:p>
              </w:tc>
              <w:tc>
                <w:tcPr>
                  <w:tcW w:w="346" w:type="pct"/>
                  <w:tcBorders>
                    <w:tl2br w:val="nil"/>
                    <w:tr2bl w:val="nil"/>
                  </w:tcBorders>
                  <w:shd w:val="clear" w:color="auto" w:fill="auto"/>
                  <w:vAlign w:val="center"/>
                </w:tcPr>
                <w:p w14:paraId="3A80FA65">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w:t>
                  </w:r>
                </w:p>
              </w:tc>
              <w:tc>
                <w:tcPr>
                  <w:tcW w:w="512" w:type="pct"/>
                  <w:tcBorders>
                    <w:tl2br w:val="nil"/>
                    <w:tr2bl w:val="nil"/>
                  </w:tcBorders>
                  <w:shd w:val="clear" w:color="auto" w:fill="auto"/>
                  <w:vAlign w:val="center"/>
                </w:tcPr>
                <w:p w14:paraId="23209BF4">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0.058</w:t>
                  </w:r>
                </w:p>
              </w:tc>
              <w:tc>
                <w:tcPr>
                  <w:tcW w:w="578" w:type="pct"/>
                  <w:tcBorders>
                    <w:tl2br w:val="nil"/>
                    <w:tr2bl w:val="nil"/>
                  </w:tcBorders>
                  <w:shd w:val="clear" w:color="auto" w:fill="auto"/>
                  <w:vAlign w:val="center"/>
                </w:tcPr>
                <w:p w14:paraId="4C25AA48">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14.4</w:t>
                  </w:r>
                </w:p>
              </w:tc>
            </w:tr>
            <w:tr w14:paraId="2CE21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5B25F25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6</w:t>
                  </w:r>
                </w:p>
              </w:tc>
              <w:tc>
                <w:tcPr>
                  <w:tcW w:w="558" w:type="pct"/>
                  <w:tcBorders>
                    <w:tl2br w:val="nil"/>
                    <w:tr2bl w:val="nil"/>
                  </w:tcBorders>
                  <w:shd w:val="clear" w:color="auto" w:fill="auto"/>
                  <w:vAlign w:val="center"/>
                </w:tcPr>
                <w:p w14:paraId="6088C782">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模具、挤压机冷却用水</w:t>
                  </w:r>
                </w:p>
              </w:tc>
              <w:tc>
                <w:tcPr>
                  <w:tcW w:w="1591" w:type="pct"/>
                  <w:gridSpan w:val="2"/>
                  <w:tcBorders>
                    <w:tl2br w:val="nil"/>
                    <w:tr2bl w:val="nil"/>
                  </w:tcBorders>
                  <w:shd w:val="clear" w:color="auto" w:fill="auto"/>
                  <w:vAlign w:val="center"/>
                </w:tcPr>
                <w:p w14:paraId="2E91D409">
                  <w:pPr>
                    <w:pStyle w:val="86"/>
                    <w:keepNext w:val="0"/>
                    <w:keepLines w:val="0"/>
                    <w:suppressLineNumbers w:val="0"/>
                    <w:bidi w:val="0"/>
                    <w:spacing w:before="0" w:beforeAutospacing="0" w:after="0" w:afterAutospacing="0"/>
                    <w:ind w:left="0" w:right="0"/>
                    <w:jc w:val="both"/>
                    <w:rPr>
                      <w:rFonts w:hint="eastAsia"/>
                      <w:color w:val="auto"/>
                      <w:sz w:val="20"/>
                      <w:szCs w:val="20"/>
                      <w:highlight w:val="none"/>
                    </w:rPr>
                  </w:pPr>
                  <w:r>
                    <w:rPr>
                      <w:rFonts w:hint="eastAsia"/>
                      <w:color w:val="auto"/>
                      <w:sz w:val="20"/>
                      <w:szCs w:val="20"/>
                      <w:highlight w:val="none"/>
                      <w:lang w:val="en-US" w:eastAsia="zh-CN"/>
                    </w:rPr>
                    <w:t>循环冷却补水量为循环水量的1.133%（总循环水量约2617.6</w:t>
                  </w:r>
                  <w:r>
                    <w:rPr>
                      <w:rFonts w:hint="default"/>
                      <w:color w:val="auto"/>
                      <w:sz w:val="20"/>
                      <w:szCs w:val="20"/>
                      <w:highlight w:val="none"/>
                      <w:lang w:val="en-US" w:eastAsia="zh-CN"/>
                    </w:rPr>
                    <w:t>m</w:t>
                  </w:r>
                  <w:r>
                    <w:rPr>
                      <w:rFonts w:hint="default"/>
                      <w:color w:val="auto"/>
                      <w:sz w:val="20"/>
                      <w:szCs w:val="20"/>
                      <w:highlight w:val="none"/>
                      <w:vertAlign w:val="superscript"/>
                      <w:lang w:val="en-US" w:eastAsia="zh-CN"/>
                    </w:rPr>
                    <w:t>3</w:t>
                  </w:r>
                  <w:r>
                    <w:rPr>
                      <w:rFonts w:hint="eastAsia"/>
                      <w:color w:val="auto"/>
                      <w:sz w:val="20"/>
                      <w:szCs w:val="20"/>
                      <w:highlight w:val="none"/>
                      <w:vertAlign w:val="baseline"/>
                      <w:lang w:val="en-US" w:eastAsia="zh-CN"/>
                    </w:rPr>
                    <w:t>/d</w:t>
                  </w:r>
                  <w:r>
                    <w:rPr>
                      <w:rFonts w:hint="eastAsia"/>
                      <w:color w:val="auto"/>
                      <w:sz w:val="20"/>
                      <w:szCs w:val="20"/>
                      <w:highlight w:val="none"/>
                      <w:lang w:val="en-US" w:eastAsia="zh-CN"/>
                    </w:rPr>
                    <w:t>），排污水率为循环水量的0.083%。</w:t>
                  </w:r>
                </w:p>
              </w:tc>
              <w:tc>
                <w:tcPr>
                  <w:tcW w:w="524" w:type="pct"/>
                  <w:tcBorders>
                    <w:tl2br w:val="nil"/>
                    <w:tr2bl w:val="nil"/>
                  </w:tcBorders>
                  <w:shd w:val="clear" w:color="auto" w:fill="auto"/>
                  <w:vAlign w:val="center"/>
                </w:tcPr>
                <w:p w14:paraId="6ED1A514">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29.657</w:t>
                  </w:r>
                </w:p>
              </w:tc>
              <w:tc>
                <w:tcPr>
                  <w:tcW w:w="628" w:type="pct"/>
                  <w:tcBorders>
                    <w:tl2br w:val="nil"/>
                    <w:tr2bl w:val="nil"/>
                  </w:tcBorders>
                  <w:shd w:val="clear" w:color="auto" w:fill="auto"/>
                  <w:vAlign w:val="center"/>
                </w:tcPr>
                <w:p w14:paraId="5BD0B2DB">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7414.35</w:t>
                  </w:r>
                </w:p>
              </w:tc>
              <w:tc>
                <w:tcPr>
                  <w:tcW w:w="346" w:type="pct"/>
                  <w:tcBorders>
                    <w:tl2br w:val="nil"/>
                    <w:tr2bl w:val="nil"/>
                  </w:tcBorders>
                  <w:shd w:val="clear" w:color="auto" w:fill="auto"/>
                  <w:vAlign w:val="center"/>
                </w:tcPr>
                <w:p w14:paraId="258B339E">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w:t>
                  </w:r>
                </w:p>
              </w:tc>
              <w:tc>
                <w:tcPr>
                  <w:tcW w:w="512" w:type="pct"/>
                  <w:tcBorders>
                    <w:tl2br w:val="nil"/>
                    <w:tr2bl w:val="nil"/>
                  </w:tcBorders>
                  <w:shd w:val="clear" w:color="auto" w:fill="auto"/>
                  <w:vAlign w:val="center"/>
                </w:tcPr>
                <w:p w14:paraId="741B8713">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2.173</w:t>
                  </w:r>
                </w:p>
              </w:tc>
              <w:tc>
                <w:tcPr>
                  <w:tcW w:w="578" w:type="pct"/>
                  <w:tcBorders>
                    <w:tl2br w:val="nil"/>
                    <w:tr2bl w:val="nil"/>
                  </w:tcBorders>
                  <w:shd w:val="clear" w:color="auto" w:fill="auto"/>
                  <w:vAlign w:val="center"/>
                </w:tcPr>
                <w:p w14:paraId="507868AF">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545</w:t>
                  </w:r>
                </w:p>
              </w:tc>
            </w:tr>
            <w:tr w14:paraId="2DAE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17AEE44F">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7</w:t>
                  </w:r>
                </w:p>
              </w:tc>
              <w:tc>
                <w:tcPr>
                  <w:tcW w:w="558" w:type="pct"/>
                  <w:tcBorders>
                    <w:tl2br w:val="nil"/>
                    <w:tr2bl w:val="nil"/>
                  </w:tcBorders>
                  <w:shd w:val="clear" w:color="auto" w:fill="auto"/>
                  <w:vAlign w:val="center"/>
                </w:tcPr>
                <w:p w14:paraId="7A8CEE2B">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清洗废水</w:t>
                  </w:r>
                </w:p>
              </w:tc>
              <w:tc>
                <w:tcPr>
                  <w:tcW w:w="1591" w:type="pct"/>
                  <w:gridSpan w:val="2"/>
                  <w:tcBorders>
                    <w:tl2br w:val="nil"/>
                    <w:tr2bl w:val="nil"/>
                  </w:tcBorders>
                  <w:shd w:val="clear" w:color="auto" w:fill="auto"/>
                  <w:vAlign w:val="center"/>
                </w:tcPr>
                <w:p w14:paraId="57A38468">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清洗剂（</w:t>
                  </w:r>
                  <w:r>
                    <w:rPr>
                      <w:rFonts w:hint="default"/>
                      <w:color w:val="auto"/>
                      <w:sz w:val="20"/>
                      <w:szCs w:val="20"/>
                      <w:highlight w:val="none"/>
                      <w:lang w:val="en-US" w:eastAsia="zh-CN"/>
                    </w:rPr>
                    <w:t>0.075t/a</w:t>
                  </w:r>
                  <w:r>
                    <w:rPr>
                      <w:rFonts w:hint="eastAsia"/>
                      <w:color w:val="auto"/>
                      <w:sz w:val="20"/>
                      <w:szCs w:val="20"/>
                      <w:highlight w:val="none"/>
                      <w:lang w:val="en-US" w:eastAsia="zh-CN"/>
                    </w:rPr>
                    <w:t>）与水</w:t>
                  </w:r>
                  <w:r>
                    <w:rPr>
                      <w:rFonts w:hint="default"/>
                      <w:color w:val="auto"/>
                      <w:sz w:val="20"/>
                      <w:szCs w:val="20"/>
                      <w:highlight w:val="none"/>
                      <w:lang w:val="en-US" w:eastAsia="zh-CN"/>
                    </w:rPr>
                    <w:t>1:20</w:t>
                  </w:r>
                  <w:r>
                    <w:rPr>
                      <w:rFonts w:hint="eastAsia"/>
                      <w:color w:val="auto"/>
                      <w:sz w:val="20"/>
                      <w:szCs w:val="20"/>
                      <w:highlight w:val="none"/>
                      <w:lang w:val="en-US" w:eastAsia="zh-CN"/>
                    </w:rPr>
                    <w:t>溶解</w:t>
                  </w:r>
                </w:p>
              </w:tc>
              <w:tc>
                <w:tcPr>
                  <w:tcW w:w="524" w:type="pct"/>
                  <w:tcBorders>
                    <w:tl2br w:val="nil"/>
                    <w:tr2bl w:val="nil"/>
                  </w:tcBorders>
                  <w:shd w:val="clear" w:color="auto" w:fill="auto"/>
                  <w:vAlign w:val="center"/>
                </w:tcPr>
                <w:p w14:paraId="691DFFA8">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0.006</w:t>
                  </w:r>
                </w:p>
              </w:tc>
              <w:tc>
                <w:tcPr>
                  <w:tcW w:w="628" w:type="pct"/>
                  <w:tcBorders>
                    <w:tl2br w:val="nil"/>
                    <w:tr2bl w:val="nil"/>
                  </w:tcBorders>
                  <w:shd w:val="clear" w:color="auto" w:fill="auto"/>
                  <w:vAlign w:val="center"/>
                </w:tcPr>
                <w:p w14:paraId="3AFA96AD">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1.5</w:t>
                  </w:r>
                </w:p>
              </w:tc>
              <w:tc>
                <w:tcPr>
                  <w:tcW w:w="346" w:type="pct"/>
                  <w:tcBorders>
                    <w:tl2br w:val="nil"/>
                    <w:tr2bl w:val="nil"/>
                  </w:tcBorders>
                  <w:shd w:val="clear" w:color="auto" w:fill="auto"/>
                  <w:vAlign w:val="center"/>
                </w:tcPr>
                <w:p w14:paraId="781E1060">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0.9</w:t>
                  </w:r>
                </w:p>
              </w:tc>
              <w:tc>
                <w:tcPr>
                  <w:tcW w:w="512" w:type="pct"/>
                  <w:tcBorders>
                    <w:tl2br w:val="nil"/>
                    <w:tr2bl w:val="nil"/>
                  </w:tcBorders>
                  <w:shd w:val="clear" w:color="auto" w:fill="auto"/>
                  <w:vAlign w:val="center"/>
                </w:tcPr>
                <w:p w14:paraId="7F919167">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0.0057</w:t>
                  </w:r>
                </w:p>
              </w:tc>
              <w:tc>
                <w:tcPr>
                  <w:tcW w:w="578" w:type="pct"/>
                  <w:tcBorders>
                    <w:tl2br w:val="nil"/>
                    <w:tr2bl w:val="nil"/>
                  </w:tcBorders>
                  <w:shd w:val="clear" w:color="auto" w:fill="auto"/>
                  <w:vAlign w:val="center"/>
                </w:tcPr>
                <w:p w14:paraId="693BD862">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1.418</w:t>
                  </w:r>
                </w:p>
              </w:tc>
            </w:tr>
            <w:tr w14:paraId="1780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260" w:type="pct"/>
                  <w:tcBorders>
                    <w:tl2br w:val="nil"/>
                    <w:tr2bl w:val="nil"/>
                  </w:tcBorders>
                  <w:shd w:val="clear" w:color="auto" w:fill="auto"/>
                  <w:vAlign w:val="center"/>
                </w:tcPr>
                <w:p w14:paraId="44C1CE3D">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8</w:t>
                  </w:r>
                </w:p>
              </w:tc>
              <w:tc>
                <w:tcPr>
                  <w:tcW w:w="558" w:type="pct"/>
                  <w:tcBorders>
                    <w:tl2br w:val="nil"/>
                    <w:tr2bl w:val="nil"/>
                  </w:tcBorders>
                  <w:shd w:val="clear" w:color="auto" w:fill="auto"/>
                  <w:vAlign w:val="center"/>
                </w:tcPr>
                <w:p w14:paraId="68A07E75">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空压机含油冷凝水</w:t>
                  </w:r>
                </w:p>
              </w:tc>
              <w:tc>
                <w:tcPr>
                  <w:tcW w:w="1591" w:type="pct"/>
                  <w:gridSpan w:val="2"/>
                  <w:tcBorders>
                    <w:tl2br w:val="nil"/>
                    <w:tr2bl w:val="nil"/>
                  </w:tcBorders>
                  <w:shd w:val="clear" w:color="auto" w:fill="auto"/>
                  <w:vAlign w:val="center"/>
                </w:tcPr>
                <w:p w14:paraId="16856F8D">
                  <w:pPr>
                    <w:pStyle w:val="86"/>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r>
                    <w:rPr>
                      <w:rFonts w:hint="eastAsia"/>
                      <w:color w:val="auto"/>
                      <w:sz w:val="20"/>
                      <w:szCs w:val="20"/>
                      <w:highlight w:val="none"/>
                      <w:lang w:val="en-US" w:eastAsia="zh-CN"/>
                    </w:rPr>
                    <w:t>空压机运行产生的含油冷凝水量约为0.1t/a。</w:t>
                  </w:r>
                </w:p>
              </w:tc>
              <w:tc>
                <w:tcPr>
                  <w:tcW w:w="524" w:type="pct"/>
                  <w:tcBorders>
                    <w:tl2br w:val="nil"/>
                    <w:tr2bl w:val="nil"/>
                  </w:tcBorders>
                  <w:shd w:val="clear" w:color="auto" w:fill="auto"/>
                  <w:vAlign w:val="center"/>
                </w:tcPr>
                <w:p w14:paraId="7919A54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w:t>
                  </w:r>
                </w:p>
              </w:tc>
              <w:tc>
                <w:tcPr>
                  <w:tcW w:w="628" w:type="pct"/>
                  <w:tcBorders>
                    <w:tl2br w:val="nil"/>
                    <w:tr2bl w:val="nil"/>
                  </w:tcBorders>
                  <w:shd w:val="clear" w:color="auto" w:fill="auto"/>
                  <w:vAlign w:val="center"/>
                </w:tcPr>
                <w:p w14:paraId="07279BE5">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w:t>
                  </w:r>
                </w:p>
              </w:tc>
              <w:tc>
                <w:tcPr>
                  <w:tcW w:w="346" w:type="pct"/>
                  <w:tcBorders>
                    <w:tl2br w:val="nil"/>
                    <w:tr2bl w:val="nil"/>
                  </w:tcBorders>
                  <w:shd w:val="clear" w:color="auto" w:fill="auto"/>
                  <w:vAlign w:val="center"/>
                </w:tcPr>
                <w:p w14:paraId="03ABA91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w:t>
                  </w:r>
                </w:p>
              </w:tc>
              <w:tc>
                <w:tcPr>
                  <w:tcW w:w="512" w:type="pct"/>
                  <w:tcBorders>
                    <w:tl2br w:val="nil"/>
                    <w:tr2bl w:val="nil"/>
                  </w:tcBorders>
                  <w:shd w:val="clear" w:color="auto" w:fill="auto"/>
                  <w:vAlign w:val="center"/>
                </w:tcPr>
                <w:p w14:paraId="4CD0654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0.1</w:t>
                  </w:r>
                </w:p>
              </w:tc>
              <w:tc>
                <w:tcPr>
                  <w:tcW w:w="578" w:type="pct"/>
                  <w:tcBorders>
                    <w:tl2br w:val="nil"/>
                    <w:tr2bl w:val="nil"/>
                  </w:tcBorders>
                  <w:shd w:val="clear" w:color="auto" w:fill="auto"/>
                  <w:vAlign w:val="center"/>
                </w:tcPr>
                <w:p w14:paraId="663BA7CE">
                  <w:pPr>
                    <w:pStyle w:val="86"/>
                    <w:keepNext w:val="0"/>
                    <w:keepLines w:val="0"/>
                    <w:suppressLineNumbers w:val="0"/>
                    <w:bidi w:val="0"/>
                    <w:spacing w:before="0" w:beforeAutospacing="0" w:after="0" w:afterAutospacing="0"/>
                    <w:ind w:left="0" w:right="0"/>
                    <w:jc w:val="center"/>
                    <w:rPr>
                      <w:rFonts w:hint="default"/>
                      <w:color w:val="auto"/>
                      <w:sz w:val="20"/>
                      <w:szCs w:val="20"/>
                      <w:highlight w:val="none"/>
                      <w:lang w:val="en-US" w:eastAsia="zh-CN"/>
                    </w:rPr>
                  </w:pPr>
                  <w:r>
                    <w:rPr>
                      <w:rFonts w:hint="eastAsia"/>
                      <w:color w:val="auto"/>
                      <w:sz w:val="20"/>
                      <w:szCs w:val="20"/>
                      <w:highlight w:val="none"/>
                      <w:lang w:val="en-US" w:eastAsia="zh-CN"/>
                    </w:rPr>
                    <w:t>0.0004</w:t>
                  </w:r>
                </w:p>
              </w:tc>
            </w:tr>
            <w:tr w14:paraId="62A1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818" w:type="pct"/>
                  <w:gridSpan w:val="2"/>
                  <w:tcBorders>
                    <w:tl2br w:val="nil"/>
                    <w:tr2bl w:val="nil"/>
                  </w:tcBorders>
                  <w:shd w:val="clear" w:color="auto" w:fill="auto"/>
                  <w:vAlign w:val="center"/>
                </w:tcPr>
                <w:p w14:paraId="2111D508">
                  <w:pPr>
                    <w:pStyle w:val="86"/>
                    <w:keepNext w:val="0"/>
                    <w:keepLines w:val="0"/>
                    <w:suppressLineNumbers w:val="0"/>
                    <w:bidi w:val="0"/>
                    <w:spacing w:before="0" w:beforeAutospacing="0" w:after="0" w:afterAutospacing="0"/>
                    <w:ind w:left="0" w:right="0"/>
                    <w:rPr>
                      <w:rFonts w:hint="eastAsia"/>
                      <w:color w:val="auto"/>
                      <w:sz w:val="20"/>
                      <w:szCs w:val="20"/>
                      <w:highlight w:val="none"/>
                    </w:rPr>
                  </w:pPr>
                  <w:r>
                    <w:rPr>
                      <w:rFonts w:hint="eastAsia"/>
                      <w:color w:val="auto"/>
                      <w:sz w:val="20"/>
                      <w:szCs w:val="20"/>
                      <w:highlight w:val="none"/>
                      <w:lang w:val="en-US" w:eastAsia="zh-CN"/>
                    </w:rPr>
                    <w:t>总计</w:t>
                  </w:r>
                </w:p>
              </w:tc>
              <w:tc>
                <w:tcPr>
                  <w:tcW w:w="1591" w:type="pct"/>
                  <w:gridSpan w:val="2"/>
                  <w:tcBorders>
                    <w:tl2br w:val="nil"/>
                    <w:tr2bl w:val="nil"/>
                  </w:tcBorders>
                  <w:shd w:val="clear" w:color="auto" w:fill="auto"/>
                  <w:vAlign w:val="center"/>
                </w:tcPr>
                <w:p w14:paraId="5A215004">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w:t>
                  </w:r>
                </w:p>
              </w:tc>
              <w:tc>
                <w:tcPr>
                  <w:tcW w:w="524" w:type="pct"/>
                  <w:tcBorders>
                    <w:tl2br w:val="nil"/>
                    <w:tr2bl w:val="nil"/>
                  </w:tcBorders>
                  <w:shd w:val="clear" w:color="auto" w:fill="auto"/>
                  <w:vAlign w:val="center"/>
                </w:tcPr>
                <w:p w14:paraId="267876A9">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43.316</w:t>
                  </w:r>
                </w:p>
              </w:tc>
              <w:tc>
                <w:tcPr>
                  <w:tcW w:w="628" w:type="pct"/>
                  <w:tcBorders>
                    <w:tl2br w:val="nil"/>
                    <w:tr2bl w:val="nil"/>
                  </w:tcBorders>
                  <w:shd w:val="clear" w:color="auto" w:fill="auto"/>
                  <w:vAlign w:val="center"/>
                </w:tcPr>
                <w:p w14:paraId="6DAA1852">
                  <w:pPr>
                    <w:pStyle w:val="86"/>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10829.14</w:t>
                  </w:r>
                </w:p>
              </w:tc>
              <w:tc>
                <w:tcPr>
                  <w:tcW w:w="346" w:type="pct"/>
                  <w:tcBorders>
                    <w:tl2br w:val="nil"/>
                    <w:tr2bl w:val="nil"/>
                  </w:tcBorders>
                  <w:shd w:val="clear" w:color="auto" w:fill="auto"/>
                  <w:vAlign w:val="center"/>
                </w:tcPr>
                <w:p w14:paraId="5F5C25A9">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lang w:val="en-US" w:eastAsia="zh-CN"/>
                    </w:rPr>
                    <w:t>/</w:t>
                  </w:r>
                </w:p>
              </w:tc>
              <w:tc>
                <w:tcPr>
                  <w:tcW w:w="512" w:type="pct"/>
                  <w:tcBorders>
                    <w:tl2br w:val="nil"/>
                    <w:tr2bl w:val="nil"/>
                  </w:tcBorders>
                  <w:shd w:val="clear" w:color="auto" w:fill="auto"/>
                  <w:vAlign w:val="center"/>
                </w:tcPr>
                <w:p w14:paraId="23FAF45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14.536</w:t>
                  </w:r>
                </w:p>
              </w:tc>
              <w:tc>
                <w:tcPr>
                  <w:tcW w:w="578" w:type="pct"/>
                  <w:tcBorders>
                    <w:tl2br w:val="nil"/>
                    <w:tr2bl w:val="nil"/>
                  </w:tcBorders>
                  <w:shd w:val="clear" w:color="auto" w:fill="auto"/>
                  <w:vAlign w:val="center"/>
                </w:tcPr>
                <w:p w14:paraId="51CF6A9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3609.0</w:t>
                  </w:r>
                  <w:r>
                    <w:rPr>
                      <w:rFonts w:hint="default"/>
                      <w:color w:val="auto"/>
                      <w:sz w:val="20"/>
                      <w:szCs w:val="20"/>
                      <w:highlight w:val="none"/>
                      <w:lang w:val="en-US" w:eastAsia="zh-CN"/>
                    </w:rPr>
                    <w:t xml:space="preserve"> </w:t>
                  </w:r>
                </w:p>
              </w:tc>
            </w:tr>
            <w:tr w14:paraId="55452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jc w:val="center"/>
              </w:trPr>
              <w:tc>
                <w:tcPr>
                  <w:tcW w:w="5000" w:type="pct"/>
                  <w:gridSpan w:val="9"/>
                  <w:tcBorders>
                    <w:tl2br w:val="nil"/>
                    <w:tr2bl w:val="nil"/>
                  </w:tcBorders>
                  <w:shd w:val="clear" w:color="auto" w:fill="auto"/>
                  <w:vAlign w:val="center"/>
                </w:tcPr>
                <w:p w14:paraId="6819E1A7">
                  <w:pPr>
                    <w:pStyle w:val="86"/>
                    <w:keepNext w:val="0"/>
                    <w:keepLines w:val="0"/>
                    <w:suppressLineNumbers w:val="0"/>
                    <w:bidi w:val="0"/>
                    <w:spacing w:before="0" w:beforeAutospacing="0" w:after="0" w:afterAutospacing="0"/>
                    <w:ind w:left="0" w:right="0"/>
                    <w:jc w:val="both"/>
                    <w:rPr>
                      <w:rFonts w:hint="eastAsia"/>
                      <w:color w:val="auto"/>
                      <w:sz w:val="20"/>
                      <w:szCs w:val="20"/>
                      <w:highlight w:val="none"/>
                    </w:rPr>
                  </w:pPr>
                  <w:r>
                    <w:rPr>
                      <w:rFonts w:hint="eastAsia"/>
                      <w:color w:val="auto"/>
                      <w:sz w:val="20"/>
                      <w:szCs w:val="20"/>
                      <w:highlight w:val="none"/>
                      <w:lang w:val="en-US" w:eastAsia="zh-CN"/>
                    </w:rPr>
                    <w:t>备注：清洁为一周一次、一年</w:t>
                  </w:r>
                  <w:r>
                    <w:rPr>
                      <w:rFonts w:hint="default"/>
                      <w:color w:val="auto"/>
                      <w:sz w:val="20"/>
                      <w:szCs w:val="20"/>
                      <w:highlight w:val="none"/>
                      <w:lang w:val="en-US" w:eastAsia="zh-CN"/>
                    </w:rPr>
                    <w:t>52</w:t>
                  </w:r>
                  <w:r>
                    <w:rPr>
                      <w:rFonts w:hint="eastAsia"/>
                      <w:color w:val="auto"/>
                      <w:sz w:val="20"/>
                      <w:szCs w:val="20"/>
                      <w:highlight w:val="none"/>
                      <w:lang w:val="en-US" w:eastAsia="zh-CN"/>
                    </w:rPr>
                    <w:t>次计；运行时间250天/年。</w:t>
                  </w:r>
                </w:p>
              </w:tc>
            </w:tr>
          </w:tbl>
          <w:p w14:paraId="6C1D22C1">
            <w:pPr>
              <w:keepNext w:val="0"/>
              <w:keepLines w:val="0"/>
              <w:suppressLineNumbers w:val="0"/>
              <w:adjustRightInd w:val="0"/>
              <w:snapToGrid w:val="0"/>
              <w:spacing w:before="0" w:beforeAutospacing="0" w:after="0" w:afterAutospacing="0"/>
              <w:ind w:left="0" w:right="0"/>
              <w:jc w:val="center"/>
              <w:rPr>
                <w:rFonts w:hint="eastAsia"/>
                <w:color w:val="auto"/>
                <w:sz w:val="26"/>
                <w:szCs w:val="26"/>
                <w:highlight w:val="none"/>
                <w:lang w:val="en-US" w:eastAsia="zh-CN"/>
              </w:rPr>
            </w:pPr>
            <w:r>
              <w:rPr>
                <w:rFonts w:hint="eastAsia"/>
                <w:color w:val="auto"/>
                <w:sz w:val="26"/>
                <w:szCs w:val="26"/>
                <w:highlight w:val="none"/>
                <w:lang w:val="en-US" w:eastAsia="zh-CN"/>
              </w:rPr>
              <w:object>
                <v:shape id="_x0000_i1028" o:spt="75" type="#_x0000_t75" style="height:314.3pt;width:458.75pt;" o:ole="t" filled="f" o:preferrelative="t" stroked="f" coordsize="21600,21600">
                  <v:path/>
                  <v:fill on="f" focussize="0,0"/>
                  <v:stroke on="f"/>
                  <v:imagedata r:id="rId17" o:title=""/>
                  <o:lock v:ext="edit" aspectratio="f"/>
                  <w10:wrap type="none"/>
                  <w10:anchorlock/>
                </v:shape>
                <o:OLEObject Type="Embed" ProgID="Visio.Drawing.15" ShapeID="_x0000_i1028" DrawAspect="Content" ObjectID="_1468075728" r:id="rId16">
                  <o:LockedField>false</o:LockedField>
                </o:OLEObject>
              </w:object>
            </w:r>
          </w:p>
          <w:p w14:paraId="744A7D53">
            <w:pPr>
              <w:keepNext w:val="0"/>
              <w:keepLines w:val="0"/>
              <w:suppressLineNumbers w:val="0"/>
              <w:adjustRightInd w:val="0"/>
              <w:snapToGrid w:val="0"/>
              <w:spacing w:before="0" w:beforeAutospacing="0" w:after="0" w:afterAutospacing="0"/>
              <w:ind w:left="0" w:right="0"/>
              <w:jc w:val="center"/>
              <w:rPr>
                <w:rFonts w:hint="eastAsia"/>
                <w:bCs/>
                <w:color w:val="auto"/>
                <w:sz w:val="26"/>
                <w:szCs w:val="26"/>
                <w:highlight w:val="none"/>
              </w:rPr>
            </w:pPr>
            <w:r>
              <w:rPr>
                <w:rFonts w:hint="eastAsia"/>
                <w:color w:val="auto"/>
                <w:sz w:val="26"/>
                <w:szCs w:val="26"/>
                <w:highlight w:val="none"/>
                <w:lang w:val="en-US" w:eastAsia="zh-CN"/>
              </w:rPr>
              <w:t>图2.8-2  近期水平衡图  （</w:t>
            </w:r>
            <w:r>
              <w:rPr>
                <w:rFonts w:hint="eastAsia"/>
                <w:bCs/>
                <w:color w:val="auto"/>
                <w:sz w:val="26"/>
                <w:szCs w:val="26"/>
                <w:highlight w:val="none"/>
              </w:rPr>
              <w:t>单位：</w:t>
            </w:r>
            <w:r>
              <w:rPr>
                <w:rFonts w:hint="default"/>
                <w:bCs/>
                <w:color w:val="auto"/>
                <w:sz w:val="26"/>
                <w:szCs w:val="26"/>
                <w:highlight w:val="none"/>
              </w:rPr>
              <w:t>m</w:t>
            </w:r>
            <w:r>
              <w:rPr>
                <w:rFonts w:hint="default"/>
                <w:bCs/>
                <w:color w:val="auto"/>
                <w:sz w:val="26"/>
                <w:szCs w:val="26"/>
                <w:highlight w:val="none"/>
                <w:vertAlign w:val="superscript"/>
              </w:rPr>
              <w:t>3</w:t>
            </w:r>
            <w:r>
              <w:rPr>
                <w:rFonts w:hint="eastAsia"/>
                <w:bCs/>
                <w:color w:val="auto"/>
                <w:sz w:val="26"/>
                <w:szCs w:val="26"/>
                <w:highlight w:val="none"/>
              </w:rPr>
              <w:t xml:space="preserve"> /d</w:t>
            </w:r>
            <w:r>
              <w:rPr>
                <w:rFonts w:hint="eastAsia"/>
                <w:bCs/>
                <w:color w:val="auto"/>
                <w:sz w:val="26"/>
                <w:szCs w:val="26"/>
                <w:highlight w:val="none"/>
                <w:lang w:eastAsia="zh-CN"/>
              </w:rPr>
              <w:t>）</w:t>
            </w:r>
          </w:p>
          <w:p w14:paraId="10E62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Cs/>
                <w:color w:val="auto"/>
                <w:sz w:val="26"/>
                <w:szCs w:val="26"/>
                <w:highlight w:val="none"/>
              </w:rPr>
            </w:pPr>
            <w:r>
              <w:rPr>
                <w:rFonts w:hint="eastAsia"/>
                <w:color w:val="auto"/>
                <w:sz w:val="26"/>
                <w:szCs w:val="26"/>
                <w:highlight w:val="none"/>
                <w:lang w:val="en-US" w:eastAsia="zh-CN"/>
              </w:rPr>
              <w:object>
                <v:shape id="_x0000_i1029" o:spt="75" type="#_x0000_t75" style="height:333.75pt;width:458.65pt;" o:ole="t" filled="f" o:preferrelative="t" stroked="f" coordsize="21600,21600">
                  <v:path/>
                  <v:fill on="f" focussize="0,0"/>
                  <v:stroke on="f"/>
                  <v:imagedata r:id="rId19" o:title=""/>
                  <o:lock v:ext="edit" aspectratio="f"/>
                  <w10:wrap type="none"/>
                  <w10:anchorlock/>
                </v:shape>
                <o:OLEObject Type="Embed" ProgID="Visio.Drawing.15" ShapeID="_x0000_i1029" DrawAspect="Content" ObjectID="_1468075729" r:id="rId18">
                  <o:LockedField>false</o:LockedField>
                </o:OLEObject>
              </w:object>
            </w:r>
            <w:r>
              <w:rPr>
                <w:rFonts w:hint="eastAsia"/>
                <w:color w:val="auto"/>
                <w:sz w:val="26"/>
                <w:szCs w:val="26"/>
                <w:highlight w:val="none"/>
                <w:lang w:val="en-US" w:eastAsia="zh-CN"/>
              </w:rPr>
              <w:t>图2.8-3 远期（2026年1月园区污水处理厂投运后）水平衡图  （</w:t>
            </w:r>
            <w:r>
              <w:rPr>
                <w:rFonts w:hint="eastAsia"/>
                <w:bCs/>
                <w:color w:val="auto"/>
                <w:sz w:val="26"/>
                <w:szCs w:val="26"/>
                <w:highlight w:val="none"/>
              </w:rPr>
              <w:t>单位：</w:t>
            </w:r>
            <w:r>
              <w:rPr>
                <w:rFonts w:hint="default"/>
                <w:bCs/>
                <w:color w:val="auto"/>
                <w:sz w:val="26"/>
                <w:szCs w:val="26"/>
                <w:highlight w:val="none"/>
              </w:rPr>
              <w:t>m</w:t>
            </w:r>
            <w:r>
              <w:rPr>
                <w:rFonts w:hint="default"/>
                <w:bCs/>
                <w:color w:val="auto"/>
                <w:sz w:val="26"/>
                <w:szCs w:val="26"/>
                <w:highlight w:val="none"/>
                <w:vertAlign w:val="superscript"/>
              </w:rPr>
              <w:t>3</w:t>
            </w:r>
            <w:r>
              <w:rPr>
                <w:rFonts w:hint="eastAsia"/>
                <w:bCs/>
                <w:color w:val="auto"/>
                <w:sz w:val="26"/>
                <w:szCs w:val="26"/>
                <w:highlight w:val="none"/>
              </w:rPr>
              <w:t xml:space="preserve"> /d</w:t>
            </w:r>
            <w:r>
              <w:rPr>
                <w:rFonts w:hint="eastAsia"/>
                <w:bCs/>
                <w:color w:val="auto"/>
                <w:sz w:val="26"/>
                <w:szCs w:val="26"/>
                <w:highlight w:val="none"/>
                <w:lang w:eastAsia="zh-CN"/>
              </w:rPr>
              <w:t>）</w:t>
            </w:r>
          </w:p>
          <w:p w14:paraId="76CD8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Cs/>
                <w:color w:val="auto"/>
                <w:sz w:val="26"/>
                <w:szCs w:val="26"/>
                <w:highlight w:val="none"/>
                <w:lang w:val="en-US" w:eastAsia="zh-CN"/>
              </w:rPr>
            </w:pPr>
          </w:p>
        </w:tc>
      </w:tr>
      <w:tr w14:paraId="76E5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dxa"/>
            <w:vAlign w:val="center"/>
          </w:tcPr>
          <w:p w14:paraId="3F76425D">
            <w:pPr>
              <w:keepNext w:val="0"/>
              <w:keepLines w:val="0"/>
              <w:suppressLineNumbers w:val="0"/>
              <w:tabs>
                <w:tab w:val="left" w:pos="9127"/>
              </w:tabs>
              <w:spacing w:before="0" w:beforeAutospacing="0" w:after="0" w:afterAutospacing="0"/>
              <w:ind w:left="0" w:right="0"/>
              <w:rPr>
                <w:rFonts w:hint="default"/>
                <w:color w:val="auto"/>
                <w:sz w:val="26"/>
                <w:szCs w:val="26"/>
                <w:highlight w:val="none"/>
              </w:rPr>
            </w:pPr>
            <w:r>
              <w:rPr>
                <w:rFonts w:hint="default"/>
                <w:bCs/>
                <w:color w:val="auto"/>
                <w:sz w:val="26"/>
                <w:szCs w:val="26"/>
                <w:highlight w:val="none"/>
              </w:rPr>
              <w:t>与项目有关的原有环境污染问题</w:t>
            </w:r>
          </w:p>
        </w:tc>
        <w:tc>
          <w:tcPr>
            <w:tcW w:w="9421" w:type="dxa"/>
            <w:vAlign w:val="center"/>
          </w:tcPr>
          <w:p w14:paraId="4D73B758">
            <w:pPr>
              <w:pStyle w:val="74"/>
              <w:keepNext w:val="0"/>
              <w:keepLines w:val="0"/>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2</w:t>
            </w:r>
            <w:r>
              <w:rPr>
                <w:rFonts w:hint="default"/>
                <w:b/>
                <w:bCs/>
                <w:color w:val="auto"/>
                <w:highlight w:val="none"/>
              </w:rPr>
              <w:t>.</w:t>
            </w:r>
            <w:r>
              <w:rPr>
                <w:rFonts w:hint="eastAsia"/>
                <w:b/>
                <w:bCs/>
                <w:color w:val="auto"/>
                <w:highlight w:val="none"/>
                <w:lang w:val="en-US" w:eastAsia="zh-CN"/>
              </w:rPr>
              <w:t>9</w:t>
            </w:r>
            <w:r>
              <w:rPr>
                <w:rFonts w:hint="eastAsia"/>
                <w:b/>
                <w:bCs/>
                <w:color w:val="auto"/>
                <w:highlight w:val="none"/>
              </w:rPr>
              <w:t>与项目有关的原有环境污染问题</w:t>
            </w:r>
          </w:p>
          <w:p w14:paraId="003459BF">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eastAsia"/>
                <w:color w:val="auto"/>
                <w:szCs w:val="21"/>
                <w:highlight w:val="none"/>
                <w:lang w:val="en-US" w:eastAsia="zh-CN"/>
              </w:rPr>
            </w:pPr>
            <w:r>
              <w:rPr>
                <w:rFonts w:hint="default"/>
                <w:color w:val="auto"/>
                <w:szCs w:val="21"/>
                <w:highlight w:val="none"/>
              </w:rPr>
              <w:t>本项目位于重庆市綦江区古南街道北渡铝产业园A04-03/02部分地块，</w:t>
            </w:r>
            <w:r>
              <w:rPr>
                <w:rFonts w:hint="eastAsia"/>
                <w:color w:val="auto"/>
                <w:szCs w:val="21"/>
                <w:highlight w:val="none"/>
                <w:lang w:val="en-US" w:eastAsia="zh-CN"/>
              </w:rPr>
              <w:t>该地块项目所在地块属于规划工业用地，无工业企业用地历史，不存在与本项目相关的原有环境问题。</w:t>
            </w:r>
          </w:p>
          <w:p w14:paraId="00763CC8">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eastAsia"/>
                <w:color w:val="auto"/>
                <w:szCs w:val="21"/>
                <w:highlight w:val="none"/>
                <w:lang w:val="en-US" w:eastAsia="zh-CN"/>
              </w:rPr>
            </w:pPr>
            <w:r>
              <w:rPr>
                <w:rFonts w:hint="eastAsia"/>
                <w:color w:val="auto"/>
                <w:szCs w:val="21"/>
                <w:highlight w:val="none"/>
                <w:lang w:val="en-US" w:eastAsia="zh-CN"/>
              </w:rPr>
              <w:t>本次评价识别了厂区内已建设内容的环境问题，并对应提出整改要求：</w:t>
            </w:r>
          </w:p>
          <w:p w14:paraId="1DC2E06F">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（1）厂区内现阶段未建设酸碱中和池，无法实现清洗废水的预处理后</w:t>
            </w:r>
            <w:r>
              <w:rPr>
                <w:rFonts w:hint="eastAsia"/>
                <w:color w:val="auto"/>
                <w:szCs w:val="21"/>
                <w:highlight w:val="none"/>
                <w:lang w:val="en-US" w:eastAsia="zh-CN"/>
              </w:rPr>
              <w:t>达到</w:t>
            </w:r>
            <w:r>
              <w:rPr>
                <w:rFonts w:hint="default"/>
                <w:color w:val="auto"/>
                <w:szCs w:val="21"/>
                <w:highlight w:val="none"/>
                <w:lang w:val="en-US" w:eastAsia="zh-CN"/>
              </w:rPr>
              <w:t>间接排放标准或进水水质标准；因此本次提出整改要求：新建1座酸碱中和</w:t>
            </w:r>
            <w:r>
              <w:rPr>
                <w:rFonts w:hint="eastAsia"/>
                <w:color w:val="auto"/>
                <w:szCs w:val="21"/>
                <w:highlight w:val="none"/>
                <w:lang w:val="en-US" w:eastAsia="zh-CN"/>
              </w:rPr>
              <w:t>+隔油处理设施用于清洗废水的预处理</w:t>
            </w:r>
            <w:r>
              <w:rPr>
                <w:rFonts w:hint="default"/>
                <w:color w:val="auto"/>
                <w:szCs w:val="21"/>
                <w:highlight w:val="none"/>
                <w:lang w:val="en-US" w:eastAsia="zh-CN"/>
              </w:rPr>
              <w:t>。</w:t>
            </w:r>
          </w:p>
          <w:p w14:paraId="4E5370FB">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（2）油料暂存区未规范贮存、未完善重点防渗措施，本次提出整改要求：油料暂存区进行重点防渗、并规范存放。</w:t>
            </w:r>
          </w:p>
          <w:p w14:paraId="29469742">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3）压铸脱模废气的已建治理设施为“过滤棉+两级活性炭吸附”，由于脱模剂与水配比后脱模废气中含湿量较大（水蒸气），未考虑活性炭箱前除湿措施，本次提出整改要求：活性炭箱前增加除湿装置（改造为“过滤棉+除湿装置+两级活性炭吸附”），确保不影响活性炭的使用效果。</w:t>
            </w:r>
          </w:p>
          <w:p w14:paraId="25A29944">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（4）抛丸、磨加工的粉尘收集系统、管路、治理设施未考虑防爆设计，本次提出要求对其进行防爆设计改造。</w:t>
            </w:r>
          </w:p>
          <w:p w14:paraId="4B7F0CE0">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（5）搅拌、挤压产生的配套废气治理设施为“UV+单级活性炭吸附”，不满足现有环保要求，本次提出措施整改要求，将其改造为“滤筒除尘+两级活性炭吸附”。</w:t>
            </w:r>
          </w:p>
          <w:p w14:paraId="141674DC">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6）现有危险废物贮存库不完全满足《危险废物贮存污染控制标准》（GB18597-2023）的相关要求，不同贮存分区之间未采取隔离措施、涉及液态危险废物贮存未配套设置堵截设施，本次提出整改要求：1）由于涉及液态危险废物的贮存，危险废物贮存库应设置液体泄漏堵截设施，堵截设施最小容积不应低于对应贮存区域最大液态废物容器容积或液态废物总储量1/10（二者取较大者）；2</w:t>
            </w:r>
            <w:r>
              <w:rPr>
                <w:rFonts w:hint="eastAsia"/>
                <w:color w:val="auto"/>
                <w:szCs w:val="21"/>
                <w:highlight w:val="none"/>
                <w:lang w:val="en-US" w:eastAsia="zh-CN"/>
              </w:rPr>
              <w:t>）</w:t>
            </w:r>
            <w:r>
              <w:rPr>
                <w:rFonts w:hint="default"/>
                <w:color w:val="auto"/>
                <w:szCs w:val="21"/>
                <w:highlight w:val="none"/>
                <w:lang w:val="en-US" w:eastAsia="zh-CN"/>
              </w:rPr>
              <w:t>贮存库内不同贮存分区之间应采取隔离措施。隔离措施可根据危险废物特性采用过道、隔板或隔墙等方式。</w:t>
            </w:r>
          </w:p>
          <w:p w14:paraId="5694DCE9">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（7）金属粉尘的防爆措施不完善，本次提出整改要求：</w:t>
            </w:r>
          </w:p>
          <w:p w14:paraId="21B78D9E">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1）配套金属粉尘的防爆措施：抛丸、磨加工设备安装有效的局部排风除尘系统，在所有产尘点设置吸风罩，确保粉尘被及时抽走，选用符合国家防爆标准、具有泄爆、隔爆或抑爆装置的集尘设备，配套使用防爆的除尘系统，除尘管道设计应避免死角，减少粉尘积聚，在管道和设备连接处安装隔爆阀。2号厂房内尤其抛丸、磨加工区域必须使用符合标准的防爆电气设备（如防爆电机、防爆开关、防爆灯具）。定期检查设备，防止因部件磨损、脱落或松动而产生摩擦碰撞火花。对所有相关员工进行铝镁粉尘爆炸危险性、安全操作规程和应急响应的定期培训，使其认识到风险并掌握防范技能。 在危险区域设置明确的警示标识，如“粉尘爆炸危险区”“禁止明火”“必须防静电”等。</w:t>
            </w:r>
          </w:p>
          <w:p w14:paraId="2D4B7698">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2）防静电、防明火：厂房内生产区地面应按要求采取硬化处理，厂区内禁止明火。所有设备、管道、集尘器必须可靠接地，工作地面采用导电地面，员工穿戴防静电服和鞋，使用抗静电材料的工具和风管。</w:t>
            </w:r>
          </w:p>
          <w:p w14:paraId="1B13CBD8">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3）2号厂房设置可燃气体检测报警器；凡容易发生事故或危及生命安全的场所、设备以及需要提醒操作人员注意的地方，应设置安全标志；配备足够的急救药品和现场救援器材、设备。</w:t>
            </w:r>
          </w:p>
          <w:p w14:paraId="4FA3AE64">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default"/>
                <w:color w:val="auto"/>
                <w:szCs w:val="21"/>
                <w:highlight w:val="none"/>
                <w:lang w:val="en-US" w:eastAsia="zh-CN"/>
              </w:rPr>
              <w:t>4）对2号厂房及贮存铝灰渣的危险废物贮存库定期检查以确保屋顶、门窗密封良好，防止雨水渗入，从而避免水与设备、铝灰渣、车间内悬浮的粉尘直接接触产生氢气，车间加强通风。</w:t>
            </w:r>
          </w:p>
          <w:p w14:paraId="31426EE3">
            <w:pPr>
              <w:pStyle w:val="74"/>
              <w:keepNext w:val="0"/>
              <w:keepLines w:val="0"/>
              <w:widowControl w:val="0"/>
              <w:numPr>
                <w:ilvl w:val="0"/>
                <w:numId w:val="0"/>
              </w:numPr>
              <w:suppressLineNumbers w:val="0"/>
              <w:spacing w:before="0" w:beforeAutospacing="0" w:after="0" w:afterAutospacing="0" w:line="400" w:lineRule="exact"/>
              <w:ind w:left="0" w:right="0" w:rightChars="0" w:firstLine="520" w:firstLineChars="200"/>
              <w:jc w:val="both"/>
              <w:rPr>
                <w:rFonts w:hint="default"/>
                <w:color w:val="auto"/>
                <w:szCs w:val="21"/>
                <w:highlight w:val="none"/>
                <w:lang w:val="en-US" w:eastAsia="zh-CN"/>
              </w:rPr>
            </w:pPr>
            <w:r>
              <w:rPr>
                <w:rFonts w:hint="eastAsia"/>
                <w:color w:val="auto"/>
                <w:szCs w:val="21"/>
                <w:highlight w:val="none"/>
                <w:lang w:val="en-US" w:eastAsia="zh-CN"/>
              </w:rPr>
              <w:t>（8）危废贮存库涉及镁锌铝合金产生的铝灰渣及除尘灰的贮存，应对危险废物贮存库增加废气收集系统及废气治理设施，确保危废库始终保持微负压，防止含氢、含粉尘的气体在室内积聚；并通过严格防潮防水的贮存措施，从根本上抑制氢气的产生。采用防爆、防静电的收集系统。末端治理的工艺上先干法除尘后干法净化，严禁用水，并全程配备安全监控与泄爆设施。</w:t>
            </w:r>
          </w:p>
        </w:tc>
      </w:tr>
    </w:tbl>
    <w:p w14:paraId="7DF4767F">
      <w:pPr>
        <w:rPr>
          <w:color w:val="auto"/>
          <w:highlight w:val="none"/>
        </w:rPr>
        <w:sectPr>
          <w:pgSz w:w="11906" w:h="16838"/>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p w14:paraId="338A3928">
      <w:pPr>
        <w:pStyle w:val="23"/>
        <w:rPr>
          <w:snapToGrid w:val="0"/>
          <w:color w:val="auto"/>
          <w:highlight w:val="none"/>
        </w:rPr>
      </w:pPr>
      <w:r>
        <w:rPr>
          <w:snapToGrid w:val="0"/>
          <w:color w:val="auto"/>
          <w:highlight w:val="none"/>
        </w:rPr>
        <w:t>三、区域环境质量现状、环境保护目标及评价标准</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9430"/>
      </w:tblGrid>
      <w:tr w14:paraId="6EA0D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29EBB86C">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区域</w:t>
            </w:r>
          </w:p>
          <w:p w14:paraId="3F2B555A">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环境</w:t>
            </w:r>
          </w:p>
          <w:p w14:paraId="359A83AB">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质量</w:t>
            </w:r>
          </w:p>
          <w:p w14:paraId="6CCD2FAD">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rPr>
            </w:pPr>
            <w:r>
              <w:rPr>
                <w:rFonts w:hint="default"/>
                <w:color w:val="auto"/>
                <w:kern w:val="0"/>
                <w:sz w:val="26"/>
                <w:szCs w:val="26"/>
                <w:highlight w:val="none"/>
              </w:rPr>
              <w:t>现状</w:t>
            </w:r>
          </w:p>
        </w:tc>
        <w:tc>
          <w:tcPr>
            <w:tcW w:w="8978" w:type="dxa"/>
            <w:vAlign w:val="center"/>
          </w:tcPr>
          <w:p w14:paraId="01B7C144">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eastAsia"/>
                <w:b/>
                <w:color w:val="auto"/>
                <w:kern w:val="0"/>
                <w:sz w:val="26"/>
                <w:szCs w:val="26"/>
                <w:highlight w:val="none"/>
              </w:rPr>
              <w:t>3</w:t>
            </w:r>
            <w:r>
              <w:rPr>
                <w:rFonts w:hint="default"/>
                <w:b/>
                <w:color w:val="auto"/>
                <w:kern w:val="0"/>
                <w:sz w:val="26"/>
                <w:szCs w:val="26"/>
                <w:highlight w:val="none"/>
              </w:rPr>
              <w:t>.1</w:t>
            </w:r>
            <w:r>
              <w:rPr>
                <w:rFonts w:hint="eastAsia"/>
                <w:b/>
                <w:color w:val="auto"/>
                <w:kern w:val="0"/>
                <w:sz w:val="26"/>
                <w:szCs w:val="26"/>
                <w:highlight w:val="none"/>
              </w:rPr>
              <w:t>区域环境质量现状</w:t>
            </w:r>
          </w:p>
          <w:p w14:paraId="66BB59EB">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3.</w:t>
            </w:r>
            <w:r>
              <w:rPr>
                <w:rFonts w:hint="eastAsia"/>
                <w:b/>
                <w:color w:val="auto"/>
                <w:kern w:val="0"/>
                <w:sz w:val="26"/>
                <w:szCs w:val="26"/>
                <w:highlight w:val="none"/>
              </w:rPr>
              <w:t>1</w:t>
            </w:r>
            <w:r>
              <w:rPr>
                <w:rFonts w:hint="default"/>
                <w:b/>
                <w:color w:val="auto"/>
                <w:sz w:val="26"/>
                <w:szCs w:val="26"/>
                <w:highlight w:val="none"/>
              </w:rPr>
              <w:t>.1</w:t>
            </w:r>
            <w:r>
              <w:rPr>
                <w:rFonts w:hint="eastAsia"/>
                <w:b/>
                <w:color w:val="auto"/>
                <w:kern w:val="0"/>
                <w:sz w:val="26"/>
                <w:szCs w:val="26"/>
                <w:highlight w:val="none"/>
              </w:rPr>
              <w:t>大气环境</w:t>
            </w:r>
          </w:p>
          <w:p w14:paraId="28FC92C7">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3.</w:t>
            </w:r>
            <w:r>
              <w:rPr>
                <w:rFonts w:hint="eastAsia"/>
                <w:b/>
                <w:color w:val="auto"/>
                <w:kern w:val="0"/>
                <w:sz w:val="26"/>
                <w:szCs w:val="26"/>
                <w:highlight w:val="none"/>
              </w:rPr>
              <w:t>1</w:t>
            </w:r>
            <w:r>
              <w:rPr>
                <w:rFonts w:hint="default"/>
                <w:b/>
                <w:color w:val="auto"/>
                <w:kern w:val="0"/>
                <w:sz w:val="26"/>
                <w:szCs w:val="26"/>
                <w:highlight w:val="none"/>
              </w:rPr>
              <w:t>.1.1</w:t>
            </w:r>
            <w:r>
              <w:rPr>
                <w:rFonts w:hint="eastAsia"/>
                <w:b/>
                <w:color w:val="auto"/>
                <w:kern w:val="0"/>
                <w:sz w:val="26"/>
                <w:szCs w:val="26"/>
                <w:highlight w:val="none"/>
              </w:rPr>
              <w:t>区域环境空气质量达标情况</w:t>
            </w:r>
          </w:p>
          <w:p w14:paraId="0F721909">
            <w:pPr>
              <w:keepNext w:val="0"/>
              <w:keepLines w:val="0"/>
              <w:suppressLineNumbers w:val="0"/>
              <w:spacing w:before="0" w:beforeAutospacing="0" w:after="0" w:afterAutospacing="0" w:line="400" w:lineRule="exact"/>
              <w:ind w:left="0" w:right="0" w:firstLine="520" w:firstLineChars="200"/>
              <w:rPr>
                <w:rFonts w:hint="default"/>
                <w:color w:val="auto"/>
                <w:sz w:val="26"/>
                <w:szCs w:val="26"/>
                <w:highlight w:val="none"/>
              </w:rPr>
            </w:pPr>
            <w:r>
              <w:rPr>
                <w:rFonts w:hint="default"/>
                <w:color w:val="auto"/>
                <w:sz w:val="26"/>
                <w:szCs w:val="26"/>
                <w:highlight w:val="none"/>
              </w:rPr>
              <w:t>项目所在区域执行二级标准</w:t>
            </w:r>
            <w:r>
              <w:rPr>
                <w:rFonts w:hint="eastAsia"/>
                <w:color w:val="auto"/>
                <w:sz w:val="26"/>
                <w:szCs w:val="26"/>
                <w:highlight w:val="none"/>
              </w:rPr>
              <w:t>，</w:t>
            </w:r>
            <w:r>
              <w:rPr>
                <w:rFonts w:hint="default"/>
                <w:color w:val="auto"/>
                <w:sz w:val="26"/>
                <w:szCs w:val="26"/>
                <w:highlight w:val="none"/>
              </w:rPr>
              <w:t>本评价采用《202</w:t>
            </w:r>
            <w:r>
              <w:rPr>
                <w:rFonts w:hint="eastAsia"/>
                <w:color w:val="auto"/>
                <w:sz w:val="26"/>
                <w:szCs w:val="26"/>
                <w:highlight w:val="none"/>
                <w:lang w:val="en-US" w:eastAsia="zh-CN"/>
              </w:rPr>
              <w:t>4</w:t>
            </w:r>
            <w:r>
              <w:rPr>
                <w:rFonts w:hint="eastAsia"/>
                <w:color w:val="auto"/>
                <w:sz w:val="26"/>
                <w:szCs w:val="26"/>
                <w:highlight w:val="none"/>
              </w:rPr>
              <w:t>年</w:t>
            </w:r>
            <w:r>
              <w:rPr>
                <w:rFonts w:hint="default"/>
                <w:color w:val="auto"/>
                <w:sz w:val="26"/>
                <w:szCs w:val="26"/>
                <w:highlight w:val="none"/>
              </w:rPr>
              <w:t>重庆市生态环境状况公报》中</w:t>
            </w:r>
            <w:r>
              <w:rPr>
                <w:rFonts w:hint="eastAsia"/>
                <w:color w:val="auto"/>
                <w:sz w:val="26"/>
                <w:szCs w:val="26"/>
                <w:highlight w:val="none"/>
                <w:lang w:val="en-US" w:eastAsia="zh-CN"/>
              </w:rPr>
              <w:t>綦江</w:t>
            </w:r>
            <w:r>
              <w:rPr>
                <w:rFonts w:hint="eastAsia"/>
                <w:color w:val="auto"/>
                <w:sz w:val="26"/>
                <w:szCs w:val="26"/>
                <w:highlight w:val="none"/>
              </w:rPr>
              <w:t>区</w:t>
            </w:r>
            <w:r>
              <w:rPr>
                <w:rFonts w:hint="default"/>
                <w:color w:val="auto"/>
                <w:sz w:val="26"/>
                <w:szCs w:val="26"/>
                <w:highlight w:val="none"/>
              </w:rPr>
              <w:t>大气</w:t>
            </w:r>
            <w:r>
              <w:rPr>
                <w:rFonts w:hint="eastAsia"/>
                <w:color w:val="auto"/>
                <w:sz w:val="26"/>
                <w:szCs w:val="26"/>
                <w:highlight w:val="none"/>
              </w:rPr>
              <w:t>例行</w:t>
            </w:r>
            <w:r>
              <w:rPr>
                <w:rFonts w:hint="default"/>
                <w:color w:val="auto"/>
                <w:sz w:val="26"/>
                <w:szCs w:val="26"/>
                <w:highlight w:val="none"/>
              </w:rPr>
              <w:t>监测数据对</w:t>
            </w:r>
            <w:r>
              <w:rPr>
                <w:rFonts w:hint="eastAsia"/>
                <w:color w:val="auto"/>
                <w:sz w:val="26"/>
                <w:szCs w:val="26"/>
                <w:highlight w:val="none"/>
              </w:rPr>
              <w:t>项目</w:t>
            </w:r>
            <w:r>
              <w:rPr>
                <w:rFonts w:hint="default"/>
                <w:color w:val="auto"/>
                <w:sz w:val="26"/>
                <w:szCs w:val="26"/>
                <w:highlight w:val="none"/>
              </w:rPr>
              <w:t>所在</w:t>
            </w:r>
            <w:r>
              <w:rPr>
                <w:rFonts w:hint="eastAsia"/>
                <w:color w:val="auto"/>
                <w:sz w:val="26"/>
                <w:szCs w:val="26"/>
                <w:highlight w:val="none"/>
              </w:rPr>
              <w:t>区域</w:t>
            </w:r>
            <w:r>
              <w:rPr>
                <w:rFonts w:hint="default"/>
                <w:color w:val="auto"/>
                <w:sz w:val="26"/>
                <w:szCs w:val="26"/>
                <w:highlight w:val="none"/>
              </w:rPr>
              <w:t>空气质量现状进行</w:t>
            </w:r>
            <w:r>
              <w:rPr>
                <w:rFonts w:hint="eastAsia"/>
                <w:color w:val="auto"/>
                <w:sz w:val="26"/>
                <w:szCs w:val="26"/>
                <w:highlight w:val="none"/>
              </w:rPr>
              <w:t>达标判断</w:t>
            </w:r>
            <w:r>
              <w:rPr>
                <w:rFonts w:hint="default"/>
                <w:color w:val="auto"/>
                <w:sz w:val="26"/>
                <w:szCs w:val="26"/>
                <w:highlight w:val="none"/>
              </w:rPr>
              <w:t>，详见</w:t>
            </w:r>
            <w:r>
              <w:rPr>
                <w:rFonts w:hint="eastAsia"/>
                <w:color w:val="auto"/>
                <w:sz w:val="26"/>
                <w:szCs w:val="26"/>
                <w:highlight w:val="none"/>
              </w:rPr>
              <w:t>下表</w:t>
            </w:r>
            <w:r>
              <w:rPr>
                <w:rFonts w:hint="default"/>
                <w:color w:val="auto"/>
                <w:sz w:val="26"/>
                <w:szCs w:val="26"/>
                <w:highlight w:val="none"/>
              </w:rPr>
              <w:t>。</w:t>
            </w:r>
          </w:p>
          <w:p w14:paraId="46156411">
            <w:pPr>
              <w:pStyle w:val="50"/>
              <w:keepNext w:val="0"/>
              <w:keepLines w:val="0"/>
              <w:suppressLineNumbers w:val="0"/>
              <w:spacing w:before="0" w:beforeAutospacing="0" w:after="0" w:afterAutospacing="0"/>
              <w:ind w:left="0" w:right="0"/>
              <w:rPr>
                <w:rFonts w:hint="default"/>
                <w:color w:val="auto"/>
                <w:highlight w:val="none"/>
              </w:rPr>
            </w:pPr>
          </w:p>
          <w:p w14:paraId="272C2843">
            <w:pPr>
              <w:keepNext w:val="0"/>
              <w:keepLines w:val="0"/>
              <w:suppressLineNumbers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表3.1-1</w:t>
            </w:r>
            <w:r>
              <w:rPr>
                <w:rFonts w:hint="eastAsia"/>
                <w:color w:val="auto"/>
                <w:sz w:val="26"/>
                <w:szCs w:val="26"/>
                <w:highlight w:val="none"/>
                <w:lang w:val="en-US" w:eastAsia="zh-CN"/>
              </w:rPr>
              <w:t xml:space="preserve">  綦江</w:t>
            </w:r>
            <w:r>
              <w:rPr>
                <w:rFonts w:hint="default"/>
                <w:color w:val="auto"/>
                <w:sz w:val="26"/>
                <w:szCs w:val="26"/>
                <w:highlight w:val="none"/>
              </w:rPr>
              <w:t>区202</w:t>
            </w:r>
            <w:r>
              <w:rPr>
                <w:rFonts w:hint="eastAsia"/>
                <w:color w:val="auto"/>
                <w:sz w:val="26"/>
                <w:szCs w:val="26"/>
                <w:highlight w:val="none"/>
                <w:lang w:val="en-US" w:eastAsia="zh-CN"/>
              </w:rPr>
              <w:t>4</w:t>
            </w:r>
            <w:r>
              <w:rPr>
                <w:rFonts w:hint="default"/>
                <w:color w:val="auto"/>
                <w:sz w:val="26"/>
                <w:szCs w:val="26"/>
                <w:highlight w:val="none"/>
              </w:rPr>
              <w:t>年空气质量现状评价表（二类区）</w:t>
            </w:r>
          </w:p>
          <w:tbl>
            <w:tblPr>
              <w:tblStyle w:val="25"/>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195"/>
              <w:gridCol w:w="1320"/>
              <w:gridCol w:w="1320"/>
              <w:gridCol w:w="1392"/>
              <w:gridCol w:w="1489"/>
            </w:tblGrid>
            <w:tr w14:paraId="71C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1F674150">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污染物</w:t>
                  </w:r>
                </w:p>
              </w:tc>
              <w:tc>
                <w:tcPr>
                  <w:tcW w:w="2080" w:type="dxa"/>
                  <w:tcBorders>
                    <w:top w:val="single" w:color="auto" w:sz="4" w:space="0"/>
                    <w:left w:val="single" w:color="auto" w:sz="4" w:space="0"/>
                    <w:bottom w:val="single" w:color="auto" w:sz="4" w:space="0"/>
                    <w:right w:val="single" w:color="auto" w:sz="4" w:space="0"/>
                  </w:tcBorders>
                  <w:vAlign w:val="center"/>
                </w:tcPr>
                <w:p w14:paraId="2E3873B5">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年评价指标</w:t>
                  </w:r>
                </w:p>
              </w:tc>
              <w:tc>
                <w:tcPr>
                  <w:tcW w:w="1251" w:type="dxa"/>
                  <w:tcBorders>
                    <w:top w:val="single" w:color="auto" w:sz="4" w:space="0"/>
                    <w:left w:val="single" w:color="auto" w:sz="4" w:space="0"/>
                    <w:bottom w:val="single" w:color="auto" w:sz="4" w:space="0"/>
                    <w:right w:val="single" w:color="auto" w:sz="4" w:space="0"/>
                  </w:tcBorders>
                  <w:vAlign w:val="center"/>
                </w:tcPr>
                <w:p w14:paraId="7242D130">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浓度（</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rPr>
                    <w:t>）</w:t>
                  </w:r>
                </w:p>
              </w:tc>
              <w:tc>
                <w:tcPr>
                  <w:tcW w:w="1251" w:type="dxa"/>
                  <w:tcBorders>
                    <w:top w:val="single" w:color="auto" w:sz="4" w:space="0"/>
                    <w:left w:val="single" w:color="auto" w:sz="4" w:space="0"/>
                    <w:bottom w:val="single" w:color="auto" w:sz="4" w:space="0"/>
                    <w:right w:val="single" w:color="auto" w:sz="4" w:space="0"/>
                  </w:tcBorders>
                  <w:vAlign w:val="center"/>
                </w:tcPr>
                <w:p w14:paraId="38CF9B8C">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标准值</w:t>
                  </w:r>
                </w:p>
                <w:p w14:paraId="04FC1269">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lang w:eastAsia="zh-CN"/>
                    </w:rPr>
                    <w:t>(</w:t>
                  </w:r>
                  <w:r>
                    <w:rPr>
                      <w:rFonts w:hint="default"/>
                      <w:color w:val="auto"/>
                      <w:sz w:val="21"/>
                      <w:szCs w:val="21"/>
                      <w:highlight w:val="none"/>
                    </w:rPr>
                    <w:t>μg/m</w:t>
                  </w:r>
                  <w:r>
                    <w:rPr>
                      <w:rFonts w:hint="default"/>
                      <w:color w:val="auto"/>
                      <w:sz w:val="21"/>
                      <w:szCs w:val="21"/>
                      <w:highlight w:val="none"/>
                      <w:vertAlign w:val="superscript"/>
                    </w:rPr>
                    <w:t>3</w:t>
                  </w:r>
                  <w:r>
                    <w:rPr>
                      <w:rFonts w:hint="eastAsia"/>
                      <w:color w:val="auto"/>
                      <w:sz w:val="21"/>
                      <w:szCs w:val="21"/>
                      <w:highlight w:val="none"/>
                      <w:vertAlign w:val="superscript"/>
                      <w:lang w:eastAsia="zh-CN"/>
                    </w:rPr>
                    <w:t>)</w:t>
                  </w:r>
                </w:p>
              </w:tc>
              <w:tc>
                <w:tcPr>
                  <w:tcW w:w="1319" w:type="dxa"/>
                  <w:tcBorders>
                    <w:top w:val="single" w:color="auto" w:sz="4" w:space="0"/>
                    <w:left w:val="single" w:color="auto" w:sz="4" w:space="0"/>
                    <w:bottom w:val="single" w:color="auto" w:sz="4" w:space="0"/>
                    <w:right w:val="single" w:color="auto" w:sz="4" w:space="0"/>
                  </w:tcBorders>
                  <w:vAlign w:val="center"/>
                </w:tcPr>
                <w:p w14:paraId="7E3FE34A">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占标率</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eastAsia="zh-CN"/>
                    </w:rPr>
                    <w:t>）</w:t>
                  </w:r>
                </w:p>
              </w:tc>
              <w:tc>
                <w:tcPr>
                  <w:tcW w:w="1410" w:type="dxa"/>
                  <w:tcBorders>
                    <w:top w:val="single" w:color="auto" w:sz="4" w:space="0"/>
                    <w:left w:val="single" w:color="auto" w:sz="4" w:space="0"/>
                    <w:bottom w:val="single" w:color="auto" w:sz="4" w:space="0"/>
                    <w:right w:val="single" w:color="auto" w:sz="4" w:space="0"/>
                  </w:tcBorders>
                  <w:vAlign w:val="center"/>
                </w:tcPr>
                <w:p w14:paraId="59C7E471">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达标情况</w:t>
                  </w:r>
                </w:p>
              </w:tc>
            </w:tr>
            <w:tr w14:paraId="0E0A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45F38645">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10</w:t>
                  </w:r>
                </w:p>
              </w:tc>
              <w:tc>
                <w:tcPr>
                  <w:tcW w:w="2080" w:type="dxa"/>
                  <w:vMerge w:val="restart"/>
                  <w:tcBorders>
                    <w:top w:val="single" w:color="auto" w:sz="4" w:space="0"/>
                    <w:left w:val="single" w:color="auto" w:sz="4" w:space="0"/>
                    <w:bottom w:val="single" w:color="auto" w:sz="4" w:space="0"/>
                    <w:right w:val="single" w:color="auto" w:sz="4" w:space="0"/>
                  </w:tcBorders>
                  <w:vAlign w:val="center"/>
                </w:tcPr>
                <w:p w14:paraId="46819E89">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年平均质量浓度</w:t>
                  </w:r>
                </w:p>
              </w:tc>
              <w:tc>
                <w:tcPr>
                  <w:tcW w:w="1251" w:type="dxa"/>
                  <w:tcBorders>
                    <w:top w:val="single" w:color="auto" w:sz="4" w:space="0"/>
                    <w:left w:val="single" w:color="auto" w:sz="4" w:space="0"/>
                    <w:bottom w:val="single" w:color="auto" w:sz="4" w:space="0"/>
                    <w:right w:val="single" w:color="auto" w:sz="4" w:space="0"/>
                  </w:tcBorders>
                  <w:vAlign w:val="center"/>
                </w:tcPr>
                <w:p w14:paraId="2FDBB9F7">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54</w:t>
                  </w:r>
                </w:p>
              </w:tc>
              <w:tc>
                <w:tcPr>
                  <w:tcW w:w="1251" w:type="dxa"/>
                  <w:tcBorders>
                    <w:top w:val="single" w:color="auto" w:sz="4" w:space="0"/>
                    <w:left w:val="single" w:color="auto" w:sz="4" w:space="0"/>
                    <w:bottom w:val="single" w:color="auto" w:sz="4" w:space="0"/>
                    <w:right w:val="single" w:color="auto" w:sz="4" w:space="0"/>
                  </w:tcBorders>
                  <w:vAlign w:val="center"/>
                </w:tcPr>
                <w:p w14:paraId="150EA4F0">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70</w:t>
                  </w:r>
                </w:p>
              </w:tc>
              <w:tc>
                <w:tcPr>
                  <w:tcW w:w="1319" w:type="dxa"/>
                  <w:tcBorders>
                    <w:top w:val="single" w:color="auto" w:sz="4" w:space="0"/>
                    <w:left w:val="single" w:color="auto" w:sz="4" w:space="0"/>
                    <w:bottom w:val="single" w:color="auto" w:sz="4" w:space="0"/>
                    <w:right w:val="single" w:color="auto" w:sz="4" w:space="0"/>
                  </w:tcBorders>
                  <w:vAlign w:val="center"/>
                </w:tcPr>
                <w:p w14:paraId="4BB09D1E">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77.1</w:t>
                  </w:r>
                </w:p>
              </w:tc>
              <w:tc>
                <w:tcPr>
                  <w:tcW w:w="1410" w:type="dxa"/>
                  <w:tcBorders>
                    <w:top w:val="single" w:color="auto" w:sz="4" w:space="0"/>
                    <w:left w:val="single" w:color="auto" w:sz="4" w:space="0"/>
                    <w:bottom w:val="single" w:color="auto" w:sz="4" w:space="0"/>
                    <w:right w:val="single" w:color="auto" w:sz="4" w:space="0"/>
                  </w:tcBorders>
                  <w:vAlign w:val="center"/>
                </w:tcPr>
                <w:p w14:paraId="1A9FB0EE">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达标</w:t>
                  </w:r>
                </w:p>
              </w:tc>
            </w:tr>
            <w:tr w14:paraId="39E0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1907FCA">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SO</w:t>
                  </w:r>
                  <w:r>
                    <w:rPr>
                      <w:rFonts w:hint="default"/>
                      <w:color w:val="auto"/>
                      <w:sz w:val="21"/>
                      <w:szCs w:val="21"/>
                      <w:highlight w:val="none"/>
                      <w:vertAlign w:val="subscript"/>
                    </w:rPr>
                    <w:t>2</w:t>
                  </w: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6185A385">
                  <w:pPr>
                    <w:pStyle w:val="81"/>
                    <w:keepNext w:val="0"/>
                    <w:keepLines w:val="0"/>
                    <w:suppressLineNumbers w:val="0"/>
                    <w:bidi w:val="0"/>
                    <w:spacing w:before="0" w:beforeAutospacing="0" w:after="0" w:afterAutospacing="0"/>
                    <w:ind w:left="0" w:right="0"/>
                    <w:rPr>
                      <w:rFonts w:hint="default"/>
                      <w:color w:val="auto"/>
                      <w:sz w:val="21"/>
                      <w:szCs w:val="21"/>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755D2953">
                  <w:pPr>
                    <w:pStyle w:val="81"/>
                    <w:keepNext w:val="0"/>
                    <w:keepLines w:val="0"/>
                    <w:suppressLineNumbers w:val="0"/>
                    <w:bidi w:val="0"/>
                    <w:spacing w:before="0" w:beforeAutospacing="0" w:after="0" w:afterAutospacing="0"/>
                    <w:ind w:left="0" w:right="0"/>
                    <w:rPr>
                      <w:rFonts w:hint="eastAsia" w:eastAsia="宋体"/>
                      <w:color w:val="auto"/>
                      <w:sz w:val="21"/>
                      <w:szCs w:val="21"/>
                      <w:highlight w:val="none"/>
                      <w:lang w:val="en-US" w:eastAsia="zh-CN"/>
                    </w:rPr>
                  </w:pPr>
                  <w:r>
                    <w:rPr>
                      <w:rFonts w:hint="default"/>
                      <w:color w:val="auto"/>
                      <w:sz w:val="21"/>
                      <w:szCs w:val="21"/>
                      <w:highlight w:val="none"/>
                    </w:rPr>
                    <w:t>1</w:t>
                  </w:r>
                  <w:r>
                    <w:rPr>
                      <w:rFonts w:hint="eastAsia"/>
                      <w:color w:val="auto"/>
                      <w:sz w:val="21"/>
                      <w:szCs w:val="21"/>
                      <w:highlight w:val="none"/>
                      <w:lang w:val="en-US" w:eastAsia="zh-CN"/>
                    </w:rPr>
                    <w:t>0</w:t>
                  </w:r>
                </w:p>
              </w:tc>
              <w:tc>
                <w:tcPr>
                  <w:tcW w:w="1251" w:type="dxa"/>
                  <w:tcBorders>
                    <w:top w:val="single" w:color="auto" w:sz="4" w:space="0"/>
                    <w:left w:val="single" w:color="auto" w:sz="4" w:space="0"/>
                    <w:bottom w:val="single" w:color="auto" w:sz="4" w:space="0"/>
                    <w:right w:val="single" w:color="auto" w:sz="4" w:space="0"/>
                  </w:tcBorders>
                  <w:vAlign w:val="center"/>
                </w:tcPr>
                <w:p w14:paraId="46D98C3C">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60</w:t>
                  </w:r>
                </w:p>
              </w:tc>
              <w:tc>
                <w:tcPr>
                  <w:tcW w:w="1319" w:type="dxa"/>
                  <w:tcBorders>
                    <w:top w:val="single" w:color="auto" w:sz="4" w:space="0"/>
                    <w:left w:val="single" w:color="auto" w:sz="4" w:space="0"/>
                    <w:bottom w:val="single" w:color="auto" w:sz="4" w:space="0"/>
                    <w:right w:val="single" w:color="auto" w:sz="4" w:space="0"/>
                  </w:tcBorders>
                  <w:vAlign w:val="center"/>
                </w:tcPr>
                <w:p w14:paraId="144FEE1B">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16.7</w:t>
                  </w:r>
                </w:p>
              </w:tc>
              <w:tc>
                <w:tcPr>
                  <w:tcW w:w="1410" w:type="dxa"/>
                  <w:tcBorders>
                    <w:top w:val="single" w:color="auto" w:sz="4" w:space="0"/>
                    <w:left w:val="single" w:color="auto" w:sz="4" w:space="0"/>
                    <w:bottom w:val="single" w:color="auto" w:sz="4" w:space="0"/>
                    <w:right w:val="single" w:color="auto" w:sz="4" w:space="0"/>
                  </w:tcBorders>
                  <w:vAlign w:val="center"/>
                </w:tcPr>
                <w:p w14:paraId="1CD3A3C9">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达标</w:t>
                  </w:r>
                </w:p>
              </w:tc>
            </w:tr>
            <w:tr w14:paraId="6F61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6EBB0BD1">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NO</w:t>
                  </w:r>
                  <w:r>
                    <w:rPr>
                      <w:rFonts w:hint="default"/>
                      <w:color w:val="auto"/>
                      <w:sz w:val="21"/>
                      <w:szCs w:val="21"/>
                      <w:highlight w:val="none"/>
                      <w:vertAlign w:val="subscript"/>
                    </w:rPr>
                    <w:t>2</w:t>
                  </w: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5E757033">
                  <w:pPr>
                    <w:pStyle w:val="81"/>
                    <w:keepNext w:val="0"/>
                    <w:keepLines w:val="0"/>
                    <w:suppressLineNumbers w:val="0"/>
                    <w:bidi w:val="0"/>
                    <w:spacing w:before="0" w:beforeAutospacing="0" w:after="0" w:afterAutospacing="0"/>
                    <w:ind w:left="0" w:right="0"/>
                    <w:rPr>
                      <w:rFonts w:hint="default"/>
                      <w:color w:val="auto"/>
                      <w:sz w:val="21"/>
                      <w:szCs w:val="21"/>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79C2DADF">
                  <w:pPr>
                    <w:pStyle w:val="81"/>
                    <w:keepNext w:val="0"/>
                    <w:keepLines w:val="0"/>
                    <w:suppressLineNumbers w:val="0"/>
                    <w:bidi w:val="0"/>
                    <w:spacing w:before="0" w:beforeAutospacing="0" w:after="0" w:afterAutospacing="0"/>
                    <w:ind w:left="0" w:right="0"/>
                    <w:rPr>
                      <w:rFonts w:hint="eastAsia" w:eastAsia="宋体"/>
                      <w:color w:val="auto"/>
                      <w:sz w:val="21"/>
                      <w:szCs w:val="21"/>
                      <w:highlight w:val="none"/>
                      <w:lang w:val="en-US" w:eastAsia="zh-CN"/>
                    </w:rPr>
                  </w:pPr>
                  <w:r>
                    <w:rPr>
                      <w:rFonts w:hint="default"/>
                      <w:color w:val="auto"/>
                      <w:sz w:val="21"/>
                      <w:szCs w:val="21"/>
                      <w:highlight w:val="none"/>
                    </w:rPr>
                    <w:t>2</w:t>
                  </w:r>
                  <w:r>
                    <w:rPr>
                      <w:rFonts w:hint="eastAsia"/>
                      <w:color w:val="auto"/>
                      <w:sz w:val="21"/>
                      <w:szCs w:val="21"/>
                      <w:highlight w:val="none"/>
                      <w:lang w:val="en-US" w:eastAsia="zh-CN"/>
                    </w:rPr>
                    <w:t>0</w:t>
                  </w:r>
                </w:p>
              </w:tc>
              <w:tc>
                <w:tcPr>
                  <w:tcW w:w="1251" w:type="dxa"/>
                  <w:tcBorders>
                    <w:top w:val="single" w:color="auto" w:sz="4" w:space="0"/>
                    <w:left w:val="single" w:color="auto" w:sz="4" w:space="0"/>
                    <w:bottom w:val="single" w:color="auto" w:sz="4" w:space="0"/>
                    <w:right w:val="single" w:color="auto" w:sz="4" w:space="0"/>
                  </w:tcBorders>
                  <w:vAlign w:val="center"/>
                </w:tcPr>
                <w:p w14:paraId="6686B618">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40</w:t>
                  </w:r>
                </w:p>
              </w:tc>
              <w:tc>
                <w:tcPr>
                  <w:tcW w:w="1319" w:type="dxa"/>
                  <w:tcBorders>
                    <w:top w:val="single" w:color="auto" w:sz="4" w:space="0"/>
                    <w:left w:val="single" w:color="auto" w:sz="4" w:space="0"/>
                    <w:bottom w:val="single" w:color="auto" w:sz="4" w:space="0"/>
                    <w:right w:val="single" w:color="auto" w:sz="4" w:space="0"/>
                  </w:tcBorders>
                  <w:vAlign w:val="center"/>
                </w:tcPr>
                <w:p w14:paraId="41AC833A">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50.0</w:t>
                  </w:r>
                </w:p>
              </w:tc>
              <w:tc>
                <w:tcPr>
                  <w:tcW w:w="1410" w:type="dxa"/>
                  <w:tcBorders>
                    <w:top w:val="single" w:color="auto" w:sz="4" w:space="0"/>
                    <w:left w:val="single" w:color="auto" w:sz="4" w:space="0"/>
                    <w:bottom w:val="single" w:color="auto" w:sz="4" w:space="0"/>
                    <w:right w:val="single" w:color="auto" w:sz="4" w:space="0"/>
                  </w:tcBorders>
                  <w:vAlign w:val="center"/>
                </w:tcPr>
                <w:p w14:paraId="637F7E63">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达标</w:t>
                  </w:r>
                </w:p>
              </w:tc>
            </w:tr>
            <w:tr w14:paraId="6AA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6CA7F555">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PM</w:t>
                  </w:r>
                  <w:r>
                    <w:rPr>
                      <w:rFonts w:hint="default"/>
                      <w:color w:val="auto"/>
                      <w:sz w:val="21"/>
                      <w:szCs w:val="21"/>
                      <w:highlight w:val="none"/>
                      <w:vertAlign w:val="subscript"/>
                    </w:rPr>
                    <w:t>2.5</w:t>
                  </w: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15159088">
                  <w:pPr>
                    <w:pStyle w:val="81"/>
                    <w:keepNext w:val="0"/>
                    <w:keepLines w:val="0"/>
                    <w:suppressLineNumbers w:val="0"/>
                    <w:bidi w:val="0"/>
                    <w:spacing w:before="0" w:beforeAutospacing="0" w:after="0" w:afterAutospacing="0"/>
                    <w:ind w:left="0" w:right="0"/>
                    <w:rPr>
                      <w:rFonts w:hint="default"/>
                      <w:color w:val="auto"/>
                      <w:sz w:val="21"/>
                      <w:szCs w:val="21"/>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14:paraId="3E7C7C66">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41.6</w:t>
                  </w:r>
                </w:p>
              </w:tc>
              <w:tc>
                <w:tcPr>
                  <w:tcW w:w="1251" w:type="dxa"/>
                  <w:tcBorders>
                    <w:top w:val="single" w:color="auto" w:sz="4" w:space="0"/>
                    <w:left w:val="single" w:color="auto" w:sz="4" w:space="0"/>
                    <w:bottom w:val="single" w:color="auto" w:sz="4" w:space="0"/>
                    <w:right w:val="single" w:color="auto" w:sz="4" w:space="0"/>
                  </w:tcBorders>
                  <w:vAlign w:val="center"/>
                </w:tcPr>
                <w:p w14:paraId="0ECB9BC6">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35</w:t>
                  </w:r>
                </w:p>
              </w:tc>
              <w:tc>
                <w:tcPr>
                  <w:tcW w:w="1319" w:type="dxa"/>
                  <w:tcBorders>
                    <w:top w:val="single" w:color="auto" w:sz="4" w:space="0"/>
                    <w:left w:val="single" w:color="auto" w:sz="4" w:space="0"/>
                    <w:bottom w:val="single" w:color="auto" w:sz="4" w:space="0"/>
                    <w:right w:val="single" w:color="auto" w:sz="4" w:space="0"/>
                  </w:tcBorders>
                  <w:vAlign w:val="center"/>
                </w:tcPr>
                <w:p w14:paraId="0C49F232">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rPr>
                    <w:t>1</w:t>
                  </w:r>
                  <w:r>
                    <w:rPr>
                      <w:rFonts w:hint="eastAsia"/>
                      <w:color w:val="auto"/>
                      <w:sz w:val="21"/>
                      <w:szCs w:val="21"/>
                      <w:highlight w:val="none"/>
                      <w:lang w:val="en-US" w:eastAsia="zh-CN"/>
                    </w:rPr>
                    <w:t>18.9</w:t>
                  </w:r>
                </w:p>
              </w:tc>
              <w:tc>
                <w:tcPr>
                  <w:tcW w:w="1410" w:type="dxa"/>
                  <w:tcBorders>
                    <w:top w:val="single" w:color="auto" w:sz="4" w:space="0"/>
                    <w:left w:val="single" w:color="auto" w:sz="4" w:space="0"/>
                    <w:bottom w:val="single" w:color="auto" w:sz="4" w:space="0"/>
                    <w:right w:val="single" w:color="auto" w:sz="4" w:space="0"/>
                  </w:tcBorders>
                  <w:vAlign w:val="center"/>
                </w:tcPr>
                <w:p w14:paraId="739ECEAC">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b/>
                      <w:bCs/>
                      <w:color w:val="auto"/>
                      <w:sz w:val="21"/>
                      <w:szCs w:val="21"/>
                      <w:highlight w:val="none"/>
                    </w:rPr>
                    <w:t>超标</w:t>
                  </w:r>
                </w:p>
              </w:tc>
            </w:tr>
            <w:tr w14:paraId="094E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BF999D9">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CO</w:t>
                  </w:r>
                </w:p>
              </w:tc>
              <w:tc>
                <w:tcPr>
                  <w:tcW w:w="2080" w:type="dxa"/>
                  <w:tcBorders>
                    <w:top w:val="single" w:color="auto" w:sz="4" w:space="0"/>
                    <w:left w:val="single" w:color="auto" w:sz="4" w:space="0"/>
                    <w:bottom w:val="single" w:color="auto" w:sz="4" w:space="0"/>
                    <w:right w:val="single" w:color="auto" w:sz="4" w:space="0"/>
                  </w:tcBorders>
                  <w:vAlign w:val="center"/>
                </w:tcPr>
                <w:p w14:paraId="3998AA7E">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日均浓度的第</w:t>
                  </w:r>
                  <w:r>
                    <w:rPr>
                      <w:rFonts w:hint="default"/>
                      <w:color w:val="auto"/>
                      <w:sz w:val="21"/>
                      <w:szCs w:val="21"/>
                      <w:highlight w:val="none"/>
                    </w:rPr>
                    <w:t>95</w:t>
                  </w:r>
                </w:p>
                <w:p w14:paraId="2681F5A5">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百分位数</w:t>
                  </w:r>
                </w:p>
              </w:tc>
              <w:tc>
                <w:tcPr>
                  <w:tcW w:w="1251" w:type="dxa"/>
                  <w:tcBorders>
                    <w:top w:val="single" w:color="auto" w:sz="4" w:space="0"/>
                    <w:left w:val="single" w:color="auto" w:sz="4" w:space="0"/>
                    <w:bottom w:val="single" w:color="auto" w:sz="4" w:space="0"/>
                    <w:right w:val="single" w:color="auto" w:sz="4" w:space="0"/>
                  </w:tcBorders>
                  <w:vAlign w:val="center"/>
                </w:tcPr>
                <w:p w14:paraId="4487B2DF">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1000</w:t>
                  </w:r>
                </w:p>
              </w:tc>
              <w:tc>
                <w:tcPr>
                  <w:tcW w:w="1251" w:type="dxa"/>
                  <w:tcBorders>
                    <w:top w:val="single" w:color="auto" w:sz="4" w:space="0"/>
                    <w:left w:val="single" w:color="auto" w:sz="4" w:space="0"/>
                    <w:bottom w:val="single" w:color="auto" w:sz="4" w:space="0"/>
                    <w:right w:val="single" w:color="auto" w:sz="4" w:space="0"/>
                  </w:tcBorders>
                  <w:vAlign w:val="center"/>
                </w:tcPr>
                <w:p w14:paraId="0BA8E10D">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4000</w:t>
                  </w:r>
                </w:p>
              </w:tc>
              <w:tc>
                <w:tcPr>
                  <w:tcW w:w="1319" w:type="dxa"/>
                  <w:tcBorders>
                    <w:top w:val="single" w:color="auto" w:sz="4" w:space="0"/>
                    <w:left w:val="single" w:color="auto" w:sz="4" w:space="0"/>
                    <w:bottom w:val="single" w:color="auto" w:sz="4" w:space="0"/>
                    <w:right w:val="single" w:color="auto" w:sz="4" w:space="0"/>
                  </w:tcBorders>
                  <w:vAlign w:val="center"/>
                </w:tcPr>
                <w:p w14:paraId="0E92C53F">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25.0</w:t>
                  </w:r>
                </w:p>
              </w:tc>
              <w:tc>
                <w:tcPr>
                  <w:tcW w:w="1410" w:type="dxa"/>
                  <w:tcBorders>
                    <w:top w:val="single" w:color="auto" w:sz="4" w:space="0"/>
                    <w:left w:val="single" w:color="auto" w:sz="4" w:space="0"/>
                    <w:bottom w:val="single" w:color="auto" w:sz="4" w:space="0"/>
                    <w:right w:val="single" w:color="auto" w:sz="4" w:space="0"/>
                  </w:tcBorders>
                  <w:vAlign w:val="center"/>
                </w:tcPr>
                <w:p w14:paraId="449545ED">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达标</w:t>
                  </w:r>
                </w:p>
              </w:tc>
            </w:tr>
            <w:tr w14:paraId="232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3FE20647">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O</w:t>
                  </w:r>
                  <w:r>
                    <w:rPr>
                      <w:rFonts w:hint="default"/>
                      <w:color w:val="auto"/>
                      <w:sz w:val="21"/>
                      <w:szCs w:val="21"/>
                      <w:highlight w:val="none"/>
                      <w:vertAlign w:val="subscript"/>
                    </w:rPr>
                    <w:t>3</w:t>
                  </w:r>
                </w:p>
              </w:tc>
              <w:tc>
                <w:tcPr>
                  <w:tcW w:w="2080" w:type="dxa"/>
                  <w:tcBorders>
                    <w:top w:val="single" w:color="auto" w:sz="4" w:space="0"/>
                    <w:left w:val="single" w:color="auto" w:sz="4" w:space="0"/>
                    <w:bottom w:val="single" w:color="auto" w:sz="4" w:space="0"/>
                    <w:right w:val="single" w:color="auto" w:sz="4" w:space="0"/>
                  </w:tcBorders>
                  <w:vAlign w:val="center"/>
                </w:tcPr>
                <w:p w14:paraId="11F4C587">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日最大</w:t>
                  </w:r>
                  <w:r>
                    <w:rPr>
                      <w:rFonts w:hint="default"/>
                      <w:color w:val="auto"/>
                      <w:sz w:val="21"/>
                      <w:szCs w:val="21"/>
                      <w:highlight w:val="none"/>
                    </w:rPr>
                    <w:t>8h</w:t>
                  </w:r>
                  <w:r>
                    <w:rPr>
                      <w:rFonts w:hint="eastAsia"/>
                      <w:color w:val="auto"/>
                      <w:sz w:val="21"/>
                      <w:szCs w:val="21"/>
                      <w:highlight w:val="none"/>
                    </w:rPr>
                    <w:t>平均浓度的第</w:t>
                  </w:r>
                  <w:r>
                    <w:rPr>
                      <w:rFonts w:hint="default"/>
                      <w:color w:val="auto"/>
                      <w:sz w:val="21"/>
                      <w:szCs w:val="21"/>
                      <w:highlight w:val="none"/>
                    </w:rPr>
                    <w:t>90</w:t>
                  </w:r>
                  <w:r>
                    <w:rPr>
                      <w:rFonts w:hint="eastAsia"/>
                      <w:color w:val="auto"/>
                      <w:sz w:val="21"/>
                      <w:szCs w:val="21"/>
                      <w:highlight w:val="none"/>
                    </w:rPr>
                    <w:t>百分位数</w:t>
                  </w:r>
                </w:p>
              </w:tc>
              <w:tc>
                <w:tcPr>
                  <w:tcW w:w="1251" w:type="dxa"/>
                  <w:tcBorders>
                    <w:top w:val="single" w:color="auto" w:sz="4" w:space="0"/>
                    <w:left w:val="single" w:color="auto" w:sz="4" w:space="0"/>
                    <w:bottom w:val="single" w:color="auto" w:sz="4" w:space="0"/>
                    <w:right w:val="single" w:color="auto" w:sz="4" w:space="0"/>
                  </w:tcBorders>
                  <w:vAlign w:val="center"/>
                </w:tcPr>
                <w:p w14:paraId="61B11550">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132</w:t>
                  </w:r>
                </w:p>
              </w:tc>
              <w:tc>
                <w:tcPr>
                  <w:tcW w:w="1251" w:type="dxa"/>
                  <w:tcBorders>
                    <w:top w:val="single" w:color="auto" w:sz="4" w:space="0"/>
                    <w:left w:val="single" w:color="auto" w:sz="4" w:space="0"/>
                    <w:bottom w:val="single" w:color="auto" w:sz="4" w:space="0"/>
                    <w:right w:val="single" w:color="auto" w:sz="4" w:space="0"/>
                  </w:tcBorders>
                  <w:vAlign w:val="center"/>
                </w:tcPr>
                <w:p w14:paraId="64835553">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160</w:t>
                  </w:r>
                </w:p>
              </w:tc>
              <w:tc>
                <w:tcPr>
                  <w:tcW w:w="1319" w:type="dxa"/>
                  <w:tcBorders>
                    <w:top w:val="single" w:color="auto" w:sz="4" w:space="0"/>
                    <w:left w:val="single" w:color="auto" w:sz="4" w:space="0"/>
                    <w:bottom w:val="single" w:color="auto" w:sz="4" w:space="0"/>
                    <w:right w:val="single" w:color="auto" w:sz="4" w:space="0"/>
                  </w:tcBorders>
                  <w:vAlign w:val="center"/>
                </w:tcPr>
                <w:p w14:paraId="02FB05BC">
                  <w:pPr>
                    <w:pStyle w:val="81"/>
                    <w:keepNext w:val="0"/>
                    <w:keepLines w:val="0"/>
                    <w:suppressLineNumbers w:val="0"/>
                    <w:bidi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82.5</w:t>
                  </w:r>
                </w:p>
              </w:tc>
              <w:tc>
                <w:tcPr>
                  <w:tcW w:w="1410" w:type="dxa"/>
                  <w:tcBorders>
                    <w:top w:val="single" w:color="auto" w:sz="4" w:space="0"/>
                    <w:left w:val="single" w:color="auto" w:sz="4" w:space="0"/>
                    <w:bottom w:val="single" w:color="auto" w:sz="4" w:space="0"/>
                    <w:right w:val="single" w:color="auto" w:sz="4" w:space="0"/>
                  </w:tcBorders>
                  <w:vAlign w:val="center"/>
                </w:tcPr>
                <w:p w14:paraId="56815B44">
                  <w:pPr>
                    <w:pStyle w:val="81"/>
                    <w:keepNext w:val="0"/>
                    <w:keepLines w:val="0"/>
                    <w:suppressLineNumbers w:val="0"/>
                    <w:bidi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达标</w:t>
                  </w:r>
                </w:p>
              </w:tc>
            </w:tr>
          </w:tbl>
          <w:p w14:paraId="0EB8DF9A">
            <w:pPr>
              <w:pStyle w:val="50"/>
              <w:keepNext w:val="0"/>
              <w:keepLines w:val="0"/>
              <w:suppressLineNumbers w:val="0"/>
              <w:spacing w:before="0" w:beforeAutospacing="0" w:after="0" w:afterAutospacing="0"/>
              <w:ind w:left="0" w:right="0"/>
              <w:rPr>
                <w:rFonts w:hint="default"/>
                <w:color w:val="auto"/>
                <w:highlight w:val="none"/>
              </w:rPr>
            </w:pPr>
          </w:p>
          <w:p w14:paraId="49BC279C">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lang w:val="da-DK"/>
              </w:rPr>
              <w:t>根据上表可知，綦江</w:t>
            </w:r>
            <w:r>
              <w:rPr>
                <w:rFonts w:hint="eastAsia"/>
                <w:color w:val="auto"/>
                <w:highlight w:val="none"/>
              </w:rPr>
              <w:t>区</w:t>
            </w:r>
            <w:r>
              <w:rPr>
                <w:rFonts w:hint="default"/>
                <w:color w:val="auto"/>
                <w:highlight w:val="none"/>
              </w:rPr>
              <w:t>202</w:t>
            </w:r>
            <w:r>
              <w:rPr>
                <w:rFonts w:hint="eastAsia"/>
                <w:color w:val="auto"/>
                <w:highlight w:val="none"/>
                <w:lang w:val="en-US" w:eastAsia="zh-CN"/>
              </w:rPr>
              <w:t>4</w:t>
            </w:r>
            <w:r>
              <w:rPr>
                <w:rFonts w:hint="eastAsia"/>
                <w:color w:val="auto"/>
                <w:highlight w:val="none"/>
              </w:rPr>
              <w:t>年</w:t>
            </w:r>
            <w:r>
              <w:rPr>
                <w:rFonts w:hint="default"/>
                <w:color w:val="auto"/>
                <w:highlight w:val="none"/>
              </w:rPr>
              <w:t>PM</w:t>
            </w:r>
            <w:r>
              <w:rPr>
                <w:rFonts w:hint="default"/>
                <w:color w:val="auto"/>
                <w:highlight w:val="none"/>
                <w:vertAlign w:val="subscript"/>
              </w:rPr>
              <w:t>2.5</w:t>
            </w:r>
            <w:r>
              <w:rPr>
                <w:rFonts w:hint="eastAsia"/>
                <w:color w:val="auto"/>
                <w:highlight w:val="none"/>
              </w:rPr>
              <w:t>不满足《环境空气质量标准》（</w:t>
            </w:r>
            <w:r>
              <w:rPr>
                <w:rFonts w:hint="default"/>
                <w:color w:val="auto"/>
                <w:highlight w:val="none"/>
              </w:rPr>
              <w:t>GB3095-2012</w:t>
            </w:r>
            <w:r>
              <w:rPr>
                <w:rFonts w:hint="eastAsia"/>
                <w:color w:val="auto"/>
                <w:highlight w:val="none"/>
              </w:rPr>
              <w:t>）中二级标准，评价区域为</w:t>
            </w:r>
            <w:r>
              <w:rPr>
                <w:rFonts w:hint="eastAsia"/>
                <w:b/>
                <w:bCs/>
                <w:color w:val="auto"/>
                <w:highlight w:val="none"/>
              </w:rPr>
              <w:t>不达标区</w:t>
            </w:r>
            <w:r>
              <w:rPr>
                <w:rFonts w:hint="eastAsia"/>
                <w:color w:val="auto"/>
                <w:highlight w:val="none"/>
              </w:rPr>
              <w:t>。</w:t>
            </w:r>
          </w:p>
          <w:p w14:paraId="1EEB469E">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2021年12月31日，重庆市綦江区人民印发了《重庆市綦江区生态环境保护“十四五”规划》，其中提升大气环境质量的主要内容如下：</w:t>
            </w:r>
          </w:p>
          <w:p w14:paraId="722D96A7">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①强化工业废气治理：推进实施水泥行业产能等量或减量替代，加大化工园区、化工、燃煤锅炉集中整治力度。推动工业炉窑深度治理和升级改造。以工业涂装、化工、电子、包装印刷、家具制造、油品储运销等行业为重点治理挥发性有机物（VOCs），按照国家和市级要求把VOCs纳入环境保护税征税范围。严格落实国家和地方VOCs含量限值标准，大力推进低（无）VOCs含量原辅材料替代。加强火电、水泥、砖瓦、建材加工等行业废气无组织排放监管。</w:t>
            </w:r>
          </w:p>
          <w:p w14:paraId="755F2BBA">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②加强交通污染防治：打好交通运输污染防治攻坚战，以公转铁、多式联运、轻型超低排放车为重点，加快调整优化交通运输结构，推进构建“车—油—路”绿色交通体系，严格执行在用车检测维护（I/M）制度，加快区内充电桩的布局规划建设。加快淘汰高污染、高能耗、技术落后、老旧的交通装备和设施，鼓励营运车标准化、大型化、专业化发展，大力推广应用新能源和清洁能源汽车，推动公交车、出租车纯电动化。严格执行汽柴油质量标准，加强油品监管执法。进一步深化高排放车辆限行措施，对货运车辆（含运渣车）按排放标准、时段、路线精细化管控。强化柴油货车、非道路移动机械、机动船舶等移动源污染治理。</w:t>
            </w:r>
          </w:p>
          <w:p w14:paraId="2419B93F">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③严格扬尘污染防治：严格落实施工扬尘控制“十项规定”，持续推行“红黄绿”名单分级管控制度，建设扬尘控制示范工地。以新城开发建设和旧城改造区域为重点开展建筑工地施工扬尘污染防治专项治理，推进建筑工地绿色施工，加强施工单位在线监控，全面推进建筑面积八万平方米及以上的工地安装在线扬尘监控设施并联网。提高城市道路机械化清扫率，持续开展道路冲洗、洒水，完善质量标准考评，建设扬尘控制示范道路。加大渣土密闭运输联合执法监管力度，严格落实“定车辆、定线路、定渣场”要求。加强企业堆煤、堆料、建筑渣土消纳场和混凝土搅拌站粉尘排放监管。加强城市裸露地块扬尘控制。</w:t>
            </w:r>
          </w:p>
          <w:p w14:paraId="281C17AB">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④治理生活污染：深化餐饮油烟治理，严格落实《重庆市餐饮业大气污染物地方排放标准》，对现有餐饮业、宾馆开展执法监测，查处排放污染物不达标、油烟净化设施闲置等违法行为。强化餐饮油烟深度治理、维护、监测、执法管理，督促机关、学校、医院等公共机构食堂带头治理餐饮油烟污染。完善餐饮业、企业食堂以及公共机构食堂油烟净化设施在线监控系统，推动油烟排放智能化监管。巩固50.6平方公里高污染燃料禁燃区，强化城市建成区烟花爆竹燃放管理。巩固城区露天烧烤整治成果，严控露天焚烧，疏堵结合加强秸秆焚烧管理。</w:t>
            </w:r>
          </w:p>
          <w:p w14:paraId="7857CF22">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⑤加强环境空气质量目标管理：建立綦江区环境空气质量分类管理体系，进一步改善大气环境质量，通过精细管控共建共享“綦江蓝”。强化对城区可吸入颗粒物、二氧化硫、氮氧化物等污染物数据的监测、分析和预警，增强重点区域、重点时段、重点行业、重点污染源的控制。协同控制细颗粒物（PM</w:t>
            </w:r>
            <w:r>
              <w:rPr>
                <w:rFonts w:hint="eastAsia"/>
                <w:color w:val="auto"/>
                <w:highlight w:val="none"/>
                <w:vertAlign w:val="subscript"/>
              </w:rPr>
              <w:t>2.5</w:t>
            </w:r>
            <w:r>
              <w:rPr>
                <w:rFonts w:hint="eastAsia"/>
                <w:color w:val="auto"/>
                <w:highlight w:val="none"/>
              </w:rPr>
              <w:t>）和臭氧（O</w:t>
            </w:r>
            <w:r>
              <w:rPr>
                <w:rFonts w:hint="eastAsia"/>
                <w:color w:val="auto"/>
                <w:highlight w:val="none"/>
                <w:vertAlign w:val="subscript"/>
              </w:rPr>
              <w:t>3</w:t>
            </w:r>
            <w:r>
              <w:rPr>
                <w:rFonts w:hint="eastAsia"/>
                <w:color w:val="auto"/>
                <w:highlight w:val="none"/>
              </w:rPr>
              <w:t>），确保到2025年O</w:t>
            </w:r>
            <w:r>
              <w:rPr>
                <w:rFonts w:hint="eastAsia"/>
                <w:color w:val="auto"/>
                <w:highlight w:val="none"/>
                <w:vertAlign w:val="subscript"/>
              </w:rPr>
              <w:t>3</w:t>
            </w:r>
            <w:r>
              <w:rPr>
                <w:rFonts w:hint="eastAsia"/>
                <w:color w:val="auto"/>
                <w:highlight w:val="none"/>
              </w:rPr>
              <w:t>浓度上升趋势得到遏制，基本消除重污染天气，PM</w:t>
            </w:r>
            <w:r>
              <w:rPr>
                <w:rFonts w:hint="eastAsia"/>
                <w:color w:val="auto"/>
                <w:highlight w:val="none"/>
                <w:vertAlign w:val="subscript"/>
              </w:rPr>
              <w:t>2.5</w:t>
            </w:r>
            <w:r>
              <w:rPr>
                <w:rFonts w:hint="eastAsia"/>
                <w:color w:val="auto"/>
                <w:highlight w:val="none"/>
              </w:rPr>
              <w:t>年均浓度稳定达标。通过常态化巡查、人工影响天气、百日攻坚等手段积极应对轻中度污染天气，落实重污染天气应急预案。</w:t>
            </w:r>
          </w:p>
          <w:p w14:paraId="345F277B">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采取以上措施后，綦江区区域大气环境质量现状将得到显著改善。</w:t>
            </w:r>
          </w:p>
          <w:p w14:paraId="588BDAD3">
            <w:pPr>
              <w:keepNext w:val="0"/>
              <w:keepLines w:val="0"/>
              <w:suppressLineNumbers w:val="0"/>
              <w:snapToGrid w:val="0"/>
              <w:spacing w:before="0" w:beforeAutospacing="0" w:after="0" w:afterAutospacing="0" w:line="400" w:lineRule="exact"/>
              <w:ind w:left="0" w:right="0" w:firstLine="522" w:firstLineChars="200"/>
              <w:rPr>
                <w:rFonts w:hint="default"/>
                <w:b/>
                <w:color w:val="auto"/>
                <w:sz w:val="26"/>
                <w:szCs w:val="26"/>
                <w:highlight w:val="none"/>
                <w:lang w:val="da-DK"/>
              </w:rPr>
            </w:pPr>
            <w:r>
              <w:rPr>
                <w:rFonts w:hint="default"/>
                <w:b/>
                <w:color w:val="auto"/>
                <w:sz w:val="26"/>
                <w:szCs w:val="26"/>
                <w:highlight w:val="none"/>
                <w:lang w:val="da-DK"/>
              </w:rPr>
              <w:t>3.</w:t>
            </w:r>
            <w:r>
              <w:rPr>
                <w:rFonts w:hint="eastAsia"/>
                <w:b/>
                <w:color w:val="auto"/>
                <w:sz w:val="26"/>
                <w:szCs w:val="26"/>
                <w:highlight w:val="none"/>
                <w:lang w:val="da-DK"/>
              </w:rPr>
              <w:t>1</w:t>
            </w:r>
            <w:r>
              <w:rPr>
                <w:rFonts w:hint="default"/>
                <w:b/>
                <w:color w:val="auto"/>
                <w:sz w:val="26"/>
                <w:szCs w:val="26"/>
                <w:highlight w:val="none"/>
                <w:lang w:val="da-DK"/>
              </w:rPr>
              <w:t>.1.2</w:t>
            </w:r>
            <w:r>
              <w:rPr>
                <w:rFonts w:hint="eastAsia"/>
                <w:b/>
                <w:color w:val="auto"/>
                <w:sz w:val="26"/>
                <w:szCs w:val="26"/>
                <w:highlight w:val="none"/>
                <w:lang w:val="da-DK"/>
              </w:rPr>
              <w:t>污染物环境质量现状评价</w:t>
            </w:r>
          </w:p>
          <w:p w14:paraId="45BF9349">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环境质量现状引用本次评价非甲烷总烃引用重庆裕能新材料有限公司《年产10万吨铝板带箔及精深加工项目环境影响报告书》监测数据，报告编号：重庆索奥（2024</w:t>
            </w:r>
            <w:r>
              <w:rPr>
                <w:rFonts w:hint="eastAsia"/>
                <w:color w:val="auto"/>
                <w:highlight w:val="none"/>
                <w:lang w:eastAsia="zh-CN"/>
              </w:rPr>
              <w:t>）</w:t>
            </w:r>
            <w:r>
              <w:rPr>
                <w:rFonts w:hint="eastAsia"/>
                <w:color w:val="auto"/>
                <w:highlight w:val="none"/>
              </w:rPr>
              <w:t>第环1162号</w:t>
            </w:r>
            <w:r>
              <w:rPr>
                <w:rFonts w:hint="eastAsia"/>
                <w:color w:val="auto"/>
                <w:highlight w:val="none"/>
                <w:lang w:eastAsia="zh-CN"/>
              </w:rPr>
              <w:t>（</w:t>
            </w:r>
            <w:r>
              <w:rPr>
                <w:rFonts w:hint="eastAsia"/>
                <w:color w:val="auto"/>
                <w:highlight w:val="none"/>
                <w:lang w:val="en-US" w:eastAsia="zh-CN"/>
              </w:rPr>
              <w:t>附件8</w:t>
            </w:r>
            <w:r>
              <w:rPr>
                <w:rFonts w:hint="eastAsia"/>
                <w:color w:val="auto"/>
                <w:highlight w:val="none"/>
                <w:lang w:eastAsia="zh-CN"/>
              </w:rPr>
              <w:t>）</w:t>
            </w:r>
            <w:r>
              <w:rPr>
                <w:rFonts w:hint="eastAsia"/>
                <w:color w:val="auto"/>
                <w:highlight w:val="none"/>
              </w:rPr>
              <w:t>，监测点位、监测因子及监测时间频次等见表</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1</w:t>
            </w:r>
            <w:r>
              <w:rPr>
                <w:rFonts w:hint="eastAsia"/>
                <w:color w:val="auto"/>
                <w:highlight w:val="none"/>
              </w:rPr>
              <w:t>-</w:t>
            </w:r>
            <w:r>
              <w:rPr>
                <w:rFonts w:hint="default"/>
                <w:color w:val="auto"/>
                <w:highlight w:val="none"/>
              </w:rPr>
              <w:t>2</w:t>
            </w:r>
            <w:r>
              <w:rPr>
                <w:rFonts w:hint="eastAsia"/>
                <w:color w:val="auto"/>
                <w:highlight w:val="none"/>
              </w:rPr>
              <w:t>，监测结果见表</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1</w:t>
            </w:r>
            <w:r>
              <w:rPr>
                <w:rFonts w:hint="eastAsia"/>
                <w:color w:val="auto"/>
                <w:highlight w:val="none"/>
              </w:rPr>
              <w:t>-</w:t>
            </w:r>
            <w:r>
              <w:rPr>
                <w:rFonts w:hint="default"/>
                <w:color w:val="auto"/>
                <w:highlight w:val="none"/>
              </w:rPr>
              <w:t>3</w:t>
            </w:r>
            <w:r>
              <w:rPr>
                <w:rFonts w:hint="eastAsia"/>
                <w:color w:val="auto"/>
                <w:highlight w:val="none"/>
              </w:rPr>
              <w:t>。</w:t>
            </w:r>
          </w:p>
          <w:p w14:paraId="05B15769">
            <w:pPr>
              <w:pStyle w:val="3"/>
              <w:keepNext w:val="0"/>
              <w:keepLines w:val="0"/>
              <w:suppressLineNumbers w:val="0"/>
              <w:spacing w:before="0" w:beforeAutospacing="0" w:after="0" w:afterAutospacing="0" w:line="240" w:lineRule="auto"/>
              <w:ind w:left="0" w:right="0" w:firstLine="0" w:firstLineChars="0"/>
              <w:rPr>
                <w:rFonts w:hint="default"/>
                <w:color w:val="auto"/>
                <w:highlight w:val="none"/>
              </w:rPr>
            </w:pPr>
          </w:p>
          <w:p w14:paraId="4BDEF9C8">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3</w:t>
            </w:r>
            <w:r>
              <w:rPr>
                <w:rFonts w:hint="default"/>
                <w:color w:val="auto"/>
                <w:sz w:val="26"/>
                <w:szCs w:val="26"/>
                <w:highlight w:val="none"/>
              </w:rPr>
              <w:t>.</w:t>
            </w:r>
            <w:r>
              <w:rPr>
                <w:rFonts w:hint="eastAsia"/>
                <w:color w:val="auto"/>
                <w:sz w:val="26"/>
                <w:szCs w:val="26"/>
                <w:highlight w:val="none"/>
                <w:lang w:val="en-US" w:eastAsia="zh-CN"/>
              </w:rPr>
              <w:t>1</w:t>
            </w:r>
            <w:r>
              <w:rPr>
                <w:rFonts w:hint="default"/>
                <w:color w:val="auto"/>
                <w:sz w:val="26"/>
                <w:szCs w:val="26"/>
                <w:highlight w:val="none"/>
              </w:rPr>
              <w:t xml:space="preserve">-2 </w:t>
            </w:r>
            <w:r>
              <w:rPr>
                <w:rFonts w:hint="eastAsia"/>
                <w:color w:val="auto"/>
                <w:sz w:val="26"/>
                <w:szCs w:val="26"/>
                <w:highlight w:val="none"/>
                <w:lang w:val="en-US" w:eastAsia="zh-CN"/>
              </w:rPr>
              <w:t xml:space="preserve"> </w:t>
            </w:r>
            <w:r>
              <w:rPr>
                <w:rFonts w:hint="eastAsia"/>
                <w:color w:val="auto"/>
                <w:sz w:val="26"/>
                <w:szCs w:val="26"/>
                <w:highlight w:val="none"/>
              </w:rPr>
              <w:t>环境空气特征污染物监测点位</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073"/>
              <w:gridCol w:w="932"/>
              <w:gridCol w:w="909"/>
              <w:gridCol w:w="1459"/>
              <w:gridCol w:w="2010"/>
              <w:gridCol w:w="2196"/>
            </w:tblGrid>
            <w:tr w14:paraId="4ED9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9" w:type="dxa"/>
                  <w:vMerge w:val="restart"/>
                  <w:tcBorders>
                    <w:top w:val="single" w:color="auto" w:sz="4" w:space="0"/>
                    <w:left w:val="single" w:color="auto" w:sz="4" w:space="0"/>
                    <w:right w:val="single" w:color="auto" w:sz="4" w:space="0"/>
                  </w:tcBorders>
                  <w:vAlign w:val="center"/>
                </w:tcPr>
                <w:p w14:paraId="600A9DB6">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序号</w:t>
                  </w:r>
                </w:p>
              </w:tc>
              <w:tc>
                <w:tcPr>
                  <w:tcW w:w="1176" w:type="dxa"/>
                  <w:vMerge w:val="restart"/>
                  <w:tcBorders>
                    <w:top w:val="single" w:color="auto" w:sz="4" w:space="0"/>
                    <w:left w:val="single" w:color="auto" w:sz="4" w:space="0"/>
                    <w:right w:val="single" w:color="auto" w:sz="4" w:space="0"/>
                  </w:tcBorders>
                  <w:vAlign w:val="center"/>
                </w:tcPr>
                <w:p w14:paraId="17988D33">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监测点位</w:t>
                  </w:r>
                </w:p>
              </w:tc>
              <w:tc>
                <w:tcPr>
                  <w:tcW w:w="1939" w:type="dxa"/>
                  <w:gridSpan w:val="2"/>
                  <w:tcBorders>
                    <w:top w:val="single" w:color="auto" w:sz="4" w:space="0"/>
                    <w:left w:val="single" w:color="auto" w:sz="4" w:space="0"/>
                    <w:bottom w:val="single" w:color="auto" w:sz="4" w:space="0"/>
                    <w:right w:val="single" w:color="auto" w:sz="4" w:space="0"/>
                  </w:tcBorders>
                  <w:vAlign w:val="center"/>
                </w:tcPr>
                <w:p w14:paraId="5BB5BDC1">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与项目位置关系</w:t>
                  </w:r>
                </w:p>
              </w:tc>
              <w:tc>
                <w:tcPr>
                  <w:tcW w:w="1557" w:type="dxa"/>
                  <w:vMerge w:val="restart"/>
                  <w:tcBorders>
                    <w:top w:val="single" w:color="auto" w:sz="4" w:space="0"/>
                    <w:left w:val="single" w:color="auto" w:sz="4" w:space="0"/>
                    <w:right w:val="single" w:color="auto" w:sz="4" w:space="0"/>
                  </w:tcBorders>
                  <w:vAlign w:val="center"/>
                </w:tcPr>
                <w:p w14:paraId="5023A4B1">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监测</w:t>
                  </w:r>
                </w:p>
                <w:p w14:paraId="6CE6EBCD">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因子</w:t>
                  </w:r>
                </w:p>
              </w:tc>
              <w:tc>
                <w:tcPr>
                  <w:tcW w:w="1523" w:type="dxa"/>
                  <w:vMerge w:val="restart"/>
                  <w:tcBorders>
                    <w:top w:val="single" w:color="auto" w:sz="4" w:space="0"/>
                    <w:left w:val="single" w:color="auto" w:sz="4" w:space="0"/>
                    <w:right w:val="single" w:color="auto" w:sz="4" w:space="0"/>
                  </w:tcBorders>
                  <w:vAlign w:val="center"/>
                </w:tcPr>
                <w:p w14:paraId="108BF119">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监测时间</w:t>
                  </w:r>
                </w:p>
              </w:tc>
              <w:tc>
                <w:tcPr>
                  <w:tcW w:w="2377" w:type="dxa"/>
                  <w:vMerge w:val="restart"/>
                  <w:tcBorders>
                    <w:top w:val="single" w:color="auto" w:sz="4" w:space="0"/>
                    <w:left w:val="single" w:color="auto" w:sz="4" w:space="0"/>
                    <w:right w:val="single" w:color="auto" w:sz="4" w:space="0"/>
                  </w:tcBorders>
                  <w:vAlign w:val="center"/>
                </w:tcPr>
                <w:p w14:paraId="60DB4213">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数据来源</w:t>
                  </w:r>
                </w:p>
              </w:tc>
            </w:tr>
            <w:tr w14:paraId="725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9" w:type="dxa"/>
                  <w:vMerge w:val="continue"/>
                  <w:tcBorders>
                    <w:left w:val="single" w:color="auto" w:sz="4" w:space="0"/>
                    <w:bottom w:val="single" w:color="auto" w:sz="4" w:space="0"/>
                    <w:right w:val="single" w:color="auto" w:sz="4" w:space="0"/>
                  </w:tcBorders>
                  <w:vAlign w:val="center"/>
                </w:tcPr>
                <w:p w14:paraId="753940A8">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76" w:type="dxa"/>
                  <w:vMerge w:val="continue"/>
                  <w:tcBorders>
                    <w:left w:val="single" w:color="auto" w:sz="4" w:space="0"/>
                    <w:bottom w:val="single" w:color="auto" w:sz="4" w:space="0"/>
                    <w:right w:val="single" w:color="auto" w:sz="4" w:space="0"/>
                  </w:tcBorders>
                  <w:vAlign w:val="center"/>
                </w:tcPr>
                <w:p w14:paraId="50FB5005">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3CA76B3D">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方位</w:t>
                  </w:r>
                </w:p>
              </w:tc>
              <w:tc>
                <w:tcPr>
                  <w:tcW w:w="926" w:type="dxa"/>
                  <w:tcBorders>
                    <w:top w:val="single" w:color="auto" w:sz="4" w:space="0"/>
                    <w:left w:val="single" w:color="auto" w:sz="4" w:space="0"/>
                    <w:bottom w:val="single" w:color="auto" w:sz="4" w:space="0"/>
                    <w:right w:val="single" w:color="auto" w:sz="4" w:space="0"/>
                  </w:tcBorders>
                  <w:vAlign w:val="center"/>
                </w:tcPr>
                <w:p w14:paraId="3CCD498F">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距离（m）</w:t>
                  </w:r>
                </w:p>
              </w:tc>
              <w:tc>
                <w:tcPr>
                  <w:tcW w:w="1557" w:type="dxa"/>
                  <w:vMerge w:val="continue"/>
                  <w:tcBorders>
                    <w:left w:val="single" w:color="auto" w:sz="4" w:space="0"/>
                    <w:bottom w:val="single" w:color="auto" w:sz="4" w:space="0"/>
                    <w:right w:val="single" w:color="auto" w:sz="4" w:space="0"/>
                  </w:tcBorders>
                  <w:vAlign w:val="center"/>
                </w:tcPr>
                <w:p w14:paraId="4F6BEB65">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23" w:type="dxa"/>
                  <w:vMerge w:val="continue"/>
                  <w:tcBorders>
                    <w:left w:val="single" w:color="auto" w:sz="4" w:space="0"/>
                    <w:bottom w:val="single" w:color="auto" w:sz="4" w:space="0"/>
                    <w:right w:val="single" w:color="auto" w:sz="4" w:space="0"/>
                  </w:tcBorders>
                  <w:vAlign w:val="center"/>
                </w:tcPr>
                <w:p w14:paraId="3C283513">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377" w:type="dxa"/>
                  <w:vMerge w:val="continue"/>
                  <w:tcBorders>
                    <w:left w:val="single" w:color="auto" w:sz="4" w:space="0"/>
                    <w:right w:val="single" w:color="auto" w:sz="4" w:space="0"/>
                  </w:tcBorders>
                  <w:vAlign w:val="center"/>
                </w:tcPr>
                <w:p w14:paraId="34A15509">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182A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19" w:type="dxa"/>
                  <w:tcBorders>
                    <w:top w:val="single" w:color="auto" w:sz="4" w:space="0"/>
                    <w:left w:val="single" w:color="auto" w:sz="4" w:space="0"/>
                    <w:bottom w:val="single" w:color="auto" w:sz="4" w:space="0"/>
                    <w:right w:val="single" w:color="auto" w:sz="4" w:space="0"/>
                  </w:tcBorders>
                  <w:vAlign w:val="center"/>
                </w:tcPr>
                <w:p w14:paraId="0D1E3099">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lang w:val="en-US" w:eastAsia="zh-CN"/>
                    </w:rPr>
                    <w:t>Y</w:t>
                  </w:r>
                  <w:r>
                    <w:rPr>
                      <w:rFonts w:hint="eastAsia"/>
                      <w:color w:val="auto"/>
                      <w:sz w:val="21"/>
                      <w:szCs w:val="21"/>
                      <w:highlight w:val="none"/>
                    </w:rPr>
                    <w:t>Q</w:t>
                  </w:r>
                  <w:r>
                    <w:rPr>
                      <w:rFonts w:hint="default"/>
                      <w:color w:val="auto"/>
                      <w:sz w:val="21"/>
                      <w:szCs w:val="21"/>
                      <w:highlight w:val="none"/>
                    </w:rPr>
                    <w:t>1</w:t>
                  </w:r>
                </w:p>
              </w:tc>
              <w:tc>
                <w:tcPr>
                  <w:tcW w:w="1176" w:type="dxa"/>
                  <w:tcBorders>
                    <w:top w:val="single" w:color="auto" w:sz="4" w:space="0"/>
                    <w:left w:val="single" w:color="auto" w:sz="4" w:space="0"/>
                    <w:bottom w:val="single" w:color="auto" w:sz="4" w:space="0"/>
                    <w:right w:val="single" w:color="auto" w:sz="4" w:space="0"/>
                  </w:tcBorders>
                  <w:vAlign w:val="center"/>
                </w:tcPr>
                <w:p w14:paraId="5F8D330F">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裕能新材料公司监测点</w:t>
                  </w:r>
                </w:p>
              </w:tc>
              <w:tc>
                <w:tcPr>
                  <w:tcW w:w="1013" w:type="dxa"/>
                  <w:tcBorders>
                    <w:top w:val="single" w:color="auto" w:sz="4" w:space="0"/>
                    <w:left w:val="single" w:color="auto" w:sz="4" w:space="0"/>
                    <w:bottom w:val="single" w:color="auto" w:sz="4" w:space="0"/>
                    <w:right w:val="single" w:color="auto" w:sz="4" w:space="0"/>
                  </w:tcBorders>
                  <w:vAlign w:val="center"/>
                </w:tcPr>
                <w:p w14:paraId="44C07EAA">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西北</w:t>
                  </w:r>
                </w:p>
              </w:tc>
              <w:tc>
                <w:tcPr>
                  <w:tcW w:w="926" w:type="dxa"/>
                  <w:tcBorders>
                    <w:top w:val="single" w:color="auto" w:sz="4" w:space="0"/>
                    <w:left w:val="single" w:color="auto" w:sz="4" w:space="0"/>
                    <w:bottom w:val="single" w:color="auto" w:sz="4" w:space="0"/>
                    <w:right w:val="single" w:color="auto" w:sz="4" w:space="0"/>
                  </w:tcBorders>
                  <w:vAlign w:val="center"/>
                </w:tcPr>
                <w:p w14:paraId="4EDB549E">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1263</w:t>
                  </w:r>
                </w:p>
              </w:tc>
              <w:tc>
                <w:tcPr>
                  <w:tcW w:w="1557" w:type="dxa"/>
                  <w:tcBorders>
                    <w:top w:val="single" w:color="auto" w:sz="4" w:space="0"/>
                    <w:left w:val="single" w:color="auto" w:sz="4" w:space="0"/>
                    <w:bottom w:val="single" w:color="auto" w:sz="4" w:space="0"/>
                    <w:right w:val="single" w:color="auto" w:sz="4" w:space="0"/>
                  </w:tcBorders>
                  <w:vAlign w:val="center"/>
                </w:tcPr>
                <w:p w14:paraId="55236268">
                  <w:pPr>
                    <w:pStyle w:val="62"/>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NMHC</w:t>
                  </w:r>
                </w:p>
              </w:tc>
              <w:tc>
                <w:tcPr>
                  <w:tcW w:w="1523" w:type="dxa"/>
                  <w:tcBorders>
                    <w:top w:val="single" w:color="auto" w:sz="4" w:space="0"/>
                    <w:left w:val="single" w:color="auto" w:sz="4" w:space="0"/>
                    <w:bottom w:val="single" w:color="auto" w:sz="4" w:space="0"/>
                    <w:right w:val="single" w:color="auto" w:sz="4" w:space="0"/>
                  </w:tcBorders>
                  <w:vAlign w:val="center"/>
                </w:tcPr>
                <w:p w14:paraId="3C88BEBD">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2024.8.13~2024.8.19</w:t>
                  </w:r>
                </w:p>
              </w:tc>
              <w:tc>
                <w:tcPr>
                  <w:tcW w:w="2377" w:type="dxa"/>
                  <w:tcBorders>
                    <w:top w:val="single" w:color="auto" w:sz="4" w:space="0"/>
                    <w:left w:val="single" w:color="auto" w:sz="4" w:space="0"/>
                    <w:bottom w:val="single" w:color="auto" w:sz="4" w:space="0"/>
                    <w:right w:val="single" w:color="auto" w:sz="4" w:space="0"/>
                  </w:tcBorders>
                  <w:vAlign w:val="center"/>
                </w:tcPr>
                <w:p w14:paraId="1E2BD198">
                  <w:pPr>
                    <w:pStyle w:val="62"/>
                    <w:keepNext w:val="0"/>
                    <w:keepLines w:val="0"/>
                    <w:suppressLineNumbers w:val="0"/>
                    <w:spacing w:before="0" w:beforeAutospacing="0" w:after="0" w:afterAutospacing="0"/>
                    <w:ind w:left="0" w:right="0"/>
                    <w:jc w:val="center"/>
                    <w:rPr>
                      <w:rFonts w:hint="default"/>
                      <w:color w:val="auto"/>
                      <w:sz w:val="21"/>
                      <w:szCs w:val="21"/>
                      <w:highlight w:val="none"/>
                      <w:lang w:val="en-US"/>
                    </w:rPr>
                  </w:pPr>
                  <w:r>
                    <w:rPr>
                      <w:rFonts w:hint="eastAsia"/>
                      <w:color w:val="auto"/>
                      <w:sz w:val="21"/>
                      <w:szCs w:val="21"/>
                      <w:highlight w:val="none"/>
                    </w:rPr>
                    <w:t>重庆索奥（2024</w:t>
                  </w:r>
                  <w:r>
                    <w:rPr>
                      <w:rFonts w:hint="eastAsia"/>
                      <w:color w:val="auto"/>
                      <w:sz w:val="21"/>
                      <w:szCs w:val="21"/>
                      <w:highlight w:val="none"/>
                      <w:lang w:eastAsia="zh-CN"/>
                    </w:rPr>
                    <w:t>）</w:t>
                  </w:r>
                  <w:r>
                    <w:rPr>
                      <w:rFonts w:hint="eastAsia"/>
                      <w:color w:val="auto"/>
                      <w:sz w:val="21"/>
                      <w:szCs w:val="21"/>
                      <w:highlight w:val="none"/>
                    </w:rPr>
                    <w:t>第环1162号</w:t>
                  </w:r>
                </w:p>
              </w:tc>
            </w:tr>
          </w:tbl>
          <w:p w14:paraId="692E018D">
            <w:pPr>
              <w:pStyle w:val="81"/>
              <w:keepNext w:val="0"/>
              <w:keepLines w:val="0"/>
              <w:suppressLineNumbers w:val="0"/>
              <w:spacing w:before="0" w:beforeAutospacing="0" w:after="0" w:afterAutospacing="0"/>
              <w:ind w:left="0" w:right="0"/>
              <w:rPr>
                <w:rFonts w:hint="default"/>
                <w:color w:val="auto"/>
                <w:highlight w:val="none"/>
              </w:rPr>
            </w:pPr>
          </w:p>
          <w:p w14:paraId="7D7CF7FD">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引用数据的监测点距离本项目未超过</w:t>
            </w:r>
            <w:r>
              <w:rPr>
                <w:rFonts w:hint="default"/>
                <w:color w:val="auto"/>
                <w:highlight w:val="none"/>
              </w:rPr>
              <w:t>5km</w:t>
            </w:r>
            <w:r>
              <w:rPr>
                <w:rFonts w:hint="eastAsia"/>
                <w:color w:val="auto"/>
                <w:highlight w:val="none"/>
              </w:rPr>
              <w:t>，监测至今未超过3年，区域大气环境质量状况未发生重大变化，因此，引用监测数据有效可行。</w:t>
            </w:r>
          </w:p>
          <w:p w14:paraId="56D223B2">
            <w:pPr>
              <w:pStyle w:val="81"/>
              <w:keepNext w:val="0"/>
              <w:keepLines w:val="0"/>
              <w:suppressLineNumbers w:val="0"/>
              <w:spacing w:before="0" w:beforeAutospacing="0" w:after="0" w:afterAutospacing="0"/>
              <w:ind w:left="0" w:right="0"/>
              <w:rPr>
                <w:rFonts w:hint="default"/>
                <w:color w:val="auto"/>
                <w:highlight w:val="none"/>
              </w:rPr>
            </w:pPr>
          </w:p>
          <w:p w14:paraId="26564506">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3</w:t>
            </w:r>
            <w:r>
              <w:rPr>
                <w:rFonts w:hint="default"/>
                <w:color w:val="auto"/>
                <w:sz w:val="26"/>
                <w:szCs w:val="26"/>
                <w:highlight w:val="none"/>
              </w:rPr>
              <w:t>.</w:t>
            </w:r>
            <w:r>
              <w:rPr>
                <w:rFonts w:hint="eastAsia"/>
                <w:color w:val="auto"/>
                <w:sz w:val="26"/>
                <w:szCs w:val="26"/>
                <w:highlight w:val="none"/>
                <w:lang w:val="en-US" w:eastAsia="zh-CN"/>
              </w:rPr>
              <w:t>1</w:t>
            </w:r>
            <w:r>
              <w:rPr>
                <w:rFonts w:hint="default"/>
                <w:color w:val="auto"/>
                <w:sz w:val="26"/>
                <w:szCs w:val="26"/>
                <w:highlight w:val="none"/>
              </w:rPr>
              <w:t xml:space="preserve">-3 </w:t>
            </w:r>
            <w:r>
              <w:rPr>
                <w:rFonts w:hint="eastAsia"/>
                <w:color w:val="auto"/>
                <w:sz w:val="26"/>
                <w:szCs w:val="26"/>
                <w:highlight w:val="none"/>
                <w:lang w:val="en-US" w:eastAsia="zh-CN"/>
              </w:rPr>
              <w:t xml:space="preserve"> </w:t>
            </w:r>
            <w:r>
              <w:rPr>
                <w:rFonts w:hint="eastAsia"/>
                <w:color w:val="auto"/>
                <w:sz w:val="26"/>
                <w:szCs w:val="26"/>
                <w:highlight w:val="none"/>
              </w:rPr>
              <w:t xml:space="preserve">特征污染物环境质量现状监测结果及分析 </w:t>
            </w:r>
            <w:r>
              <w:rPr>
                <w:rFonts w:hint="default"/>
                <w:color w:val="auto"/>
                <w:sz w:val="26"/>
                <w:szCs w:val="26"/>
                <w:highlight w:val="non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15"/>
              <w:gridCol w:w="1401"/>
              <w:gridCol w:w="1251"/>
              <w:gridCol w:w="1329"/>
              <w:gridCol w:w="1219"/>
              <w:gridCol w:w="895"/>
              <w:gridCol w:w="976"/>
            </w:tblGrid>
            <w:tr w14:paraId="7D36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Merge w:val="restart"/>
                  <w:vAlign w:val="center"/>
                </w:tcPr>
                <w:p w14:paraId="319943C3">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监测点位</w:t>
                  </w:r>
                </w:p>
              </w:tc>
              <w:tc>
                <w:tcPr>
                  <w:tcW w:w="1413" w:type="dxa"/>
                  <w:vMerge w:val="restart"/>
                  <w:vAlign w:val="center"/>
                </w:tcPr>
                <w:p w14:paraId="5982E77E">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污染物</w:t>
                  </w:r>
                </w:p>
              </w:tc>
              <w:tc>
                <w:tcPr>
                  <w:tcW w:w="1399" w:type="dxa"/>
                  <w:vMerge w:val="restart"/>
                  <w:vAlign w:val="center"/>
                </w:tcPr>
                <w:p w14:paraId="6B4DF59B">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平均时间</w:t>
                  </w:r>
                </w:p>
              </w:tc>
              <w:tc>
                <w:tcPr>
                  <w:tcW w:w="1250" w:type="dxa"/>
                  <w:vMerge w:val="restart"/>
                  <w:vAlign w:val="center"/>
                </w:tcPr>
                <w:p w14:paraId="472D9A00">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监测浓度</w:t>
                  </w:r>
                  <w:r>
                    <w:rPr>
                      <w:rFonts w:hint="eastAsia"/>
                      <w:color w:val="auto"/>
                      <w:sz w:val="21"/>
                      <w:szCs w:val="21"/>
                      <w:highlight w:val="none"/>
                      <w:lang w:eastAsia="zh-CN"/>
                    </w:rPr>
                    <w:t>（</w:t>
                  </w:r>
                  <w:r>
                    <w:rPr>
                      <w:rFonts w:hint="eastAsia"/>
                      <w:color w:val="auto"/>
                      <w:sz w:val="21"/>
                      <w:szCs w:val="21"/>
                      <w:highlight w:val="none"/>
                      <w:lang w:val="en-US" w:eastAsia="zh-CN"/>
                    </w:rPr>
                    <w:t>m</w:t>
                  </w:r>
                  <w:r>
                    <w:rPr>
                      <w:rFonts w:hint="default"/>
                      <w:color w:val="auto"/>
                      <w:sz w:val="21"/>
                      <w:szCs w:val="21"/>
                      <w:highlight w:val="none"/>
                    </w:rPr>
                    <w:t>g/m</w:t>
                  </w:r>
                  <w:r>
                    <w:rPr>
                      <w:rFonts w:hint="default"/>
                      <w:color w:val="auto"/>
                      <w:sz w:val="21"/>
                      <w:szCs w:val="21"/>
                      <w:highlight w:val="none"/>
                      <w:vertAlign w:val="superscript"/>
                    </w:rPr>
                    <w:t>3</w:t>
                  </w:r>
                  <w:r>
                    <w:rPr>
                      <w:rFonts w:hint="eastAsia"/>
                      <w:color w:val="auto"/>
                      <w:sz w:val="21"/>
                      <w:szCs w:val="21"/>
                      <w:highlight w:val="none"/>
                      <w:vertAlign w:val="superscript"/>
                      <w:lang w:eastAsia="zh-CN"/>
                    </w:rPr>
                    <w:t>）</w:t>
                  </w:r>
                </w:p>
              </w:tc>
              <w:tc>
                <w:tcPr>
                  <w:tcW w:w="1327" w:type="dxa"/>
                  <w:vMerge w:val="restart"/>
                  <w:vAlign w:val="center"/>
                </w:tcPr>
                <w:p w14:paraId="6F040C05">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评价标准</w:t>
                  </w:r>
                  <w:r>
                    <w:rPr>
                      <w:rFonts w:hint="eastAsia"/>
                      <w:color w:val="auto"/>
                      <w:sz w:val="21"/>
                      <w:szCs w:val="21"/>
                      <w:highlight w:val="none"/>
                      <w:lang w:eastAsia="zh-CN"/>
                    </w:rPr>
                    <w:t>（</w:t>
                  </w:r>
                  <w:r>
                    <w:rPr>
                      <w:rFonts w:hint="eastAsia"/>
                      <w:color w:val="auto"/>
                      <w:sz w:val="21"/>
                      <w:szCs w:val="21"/>
                      <w:highlight w:val="none"/>
                      <w:lang w:val="en-US" w:eastAsia="zh-CN"/>
                    </w:rPr>
                    <w:t>m</w:t>
                  </w:r>
                  <w:r>
                    <w:rPr>
                      <w:rFonts w:hint="default"/>
                      <w:color w:val="auto"/>
                      <w:sz w:val="21"/>
                      <w:szCs w:val="21"/>
                      <w:highlight w:val="none"/>
                    </w:rPr>
                    <w:t>g/m</w:t>
                  </w:r>
                  <w:r>
                    <w:rPr>
                      <w:rFonts w:hint="default"/>
                      <w:color w:val="auto"/>
                      <w:sz w:val="21"/>
                      <w:szCs w:val="21"/>
                      <w:highlight w:val="none"/>
                      <w:vertAlign w:val="superscript"/>
                    </w:rPr>
                    <w:t>3</w:t>
                  </w:r>
                  <w:r>
                    <w:rPr>
                      <w:rFonts w:hint="eastAsia"/>
                      <w:color w:val="auto"/>
                      <w:sz w:val="21"/>
                      <w:szCs w:val="21"/>
                      <w:highlight w:val="none"/>
                      <w:vertAlign w:val="superscript"/>
                      <w:lang w:eastAsia="zh-CN"/>
                    </w:rPr>
                    <w:t>）</w:t>
                  </w:r>
                </w:p>
              </w:tc>
              <w:tc>
                <w:tcPr>
                  <w:tcW w:w="1218" w:type="dxa"/>
                  <w:vMerge w:val="restart"/>
                  <w:vAlign w:val="center"/>
                </w:tcPr>
                <w:p w14:paraId="07898BFE">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最大占标率</w:t>
                  </w:r>
                  <w:r>
                    <w:rPr>
                      <w:rFonts w:hint="default"/>
                      <w:color w:val="auto"/>
                      <w:sz w:val="21"/>
                      <w:szCs w:val="21"/>
                      <w:highlight w:val="none"/>
                    </w:rPr>
                    <w:t>/%</w:t>
                  </w:r>
                </w:p>
              </w:tc>
              <w:tc>
                <w:tcPr>
                  <w:tcW w:w="894" w:type="dxa"/>
                  <w:vMerge w:val="restart"/>
                  <w:vAlign w:val="center"/>
                </w:tcPr>
                <w:p w14:paraId="4636F32C">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超标率</w:t>
                  </w:r>
                  <w:r>
                    <w:rPr>
                      <w:rFonts w:hint="default"/>
                      <w:color w:val="auto"/>
                      <w:sz w:val="21"/>
                      <w:szCs w:val="21"/>
                      <w:highlight w:val="none"/>
                    </w:rPr>
                    <w:t>/%</w:t>
                  </w:r>
                </w:p>
              </w:tc>
              <w:tc>
                <w:tcPr>
                  <w:tcW w:w="975" w:type="dxa"/>
                  <w:vMerge w:val="restart"/>
                  <w:vAlign w:val="center"/>
                </w:tcPr>
                <w:p w14:paraId="01071012">
                  <w:pPr>
                    <w:pStyle w:val="62"/>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达标情况</w:t>
                  </w:r>
                </w:p>
              </w:tc>
            </w:tr>
            <w:tr w14:paraId="18C8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Merge w:val="continue"/>
                  <w:vAlign w:val="center"/>
                </w:tcPr>
                <w:p w14:paraId="06370938">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413" w:type="dxa"/>
                  <w:vMerge w:val="continue"/>
                  <w:vAlign w:val="center"/>
                </w:tcPr>
                <w:p w14:paraId="5C7FF30F">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399" w:type="dxa"/>
                  <w:vMerge w:val="continue"/>
                  <w:vAlign w:val="center"/>
                </w:tcPr>
                <w:p w14:paraId="724D8199">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50" w:type="dxa"/>
                  <w:vMerge w:val="continue"/>
                  <w:vAlign w:val="center"/>
                </w:tcPr>
                <w:p w14:paraId="17D36B88">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327" w:type="dxa"/>
                  <w:vMerge w:val="continue"/>
                  <w:vAlign w:val="center"/>
                </w:tcPr>
                <w:p w14:paraId="5D7FD933">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218" w:type="dxa"/>
                  <w:vMerge w:val="continue"/>
                  <w:vAlign w:val="center"/>
                </w:tcPr>
                <w:p w14:paraId="57D305AF">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894" w:type="dxa"/>
                  <w:vMerge w:val="continue"/>
                  <w:vAlign w:val="center"/>
                </w:tcPr>
                <w:p w14:paraId="05FA7BFF">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975" w:type="dxa"/>
                  <w:vMerge w:val="continue"/>
                  <w:vAlign w:val="center"/>
                </w:tcPr>
                <w:p w14:paraId="334E9395">
                  <w:pPr>
                    <w:pStyle w:val="62"/>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6DB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7" w:type="dxa"/>
                  <w:vAlign w:val="center"/>
                </w:tcPr>
                <w:p w14:paraId="05E37321">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Q2</w:t>
                  </w:r>
                </w:p>
              </w:tc>
              <w:tc>
                <w:tcPr>
                  <w:tcW w:w="1413" w:type="dxa"/>
                  <w:vAlign w:val="center"/>
                </w:tcPr>
                <w:p w14:paraId="0688EB81">
                  <w:pPr>
                    <w:pStyle w:val="62"/>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NMHC</w:t>
                  </w:r>
                </w:p>
              </w:tc>
              <w:tc>
                <w:tcPr>
                  <w:tcW w:w="1399" w:type="dxa"/>
                  <w:vAlign w:val="center"/>
                </w:tcPr>
                <w:p w14:paraId="612380E7">
                  <w:pPr>
                    <w:pStyle w:val="62"/>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1h均值</w:t>
                  </w:r>
                </w:p>
              </w:tc>
              <w:tc>
                <w:tcPr>
                  <w:tcW w:w="1250" w:type="dxa"/>
                  <w:vAlign w:val="center"/>
                </w:tcPr>
                <w:p w14:paraId="506AB314">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0.39~1.62</w:t>
                  </w:r>
                </w:p>
              </w:tc>
              <w:tc>
                <w:tcPr>
                  <w:tcW w:w="1327" w:type="dxa"/>
                  <w:vAlign w:val="center"/>
                </w:tcPr>
                <w:p w14:paraId="1FE5F163">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1218" w:type="dxa"/>
                  <w:vAlign w:val="center"/>
                </w:tcPr>
                <w:p w14:paraId="3F23D761">
                  <w:pPr>
                    <w:pStyle w:val="62"/>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81.0</w:t>
                  </w:r>
                </w:p>
              </w:tc>
              <w:tc>
                <w:tcPr>
                  <w:tcW w:w="894" w:type="dxa"/>
                  <w:vAlign w:val="center"/>
                </w:tcPr>
                <w:p w14:paraId="6B469C35">
                  <w:pPr>
                    <w:pStyle w:val="62"/>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0</w:t>
                  </w:r>
                </w:p>
              </w:tc>
              <w:tc>
                <w:tcPr>
                  <w:tcW w:w="975" w:type="dxa"/>
                  <w:vAlign w:val="center"/>
                </w:tcPr>
                <w:p w14:paraId="50A66BDB">
                  <w:pPr>
                    <w:pStyle w:val="62"/>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达标</w:t>
                  </w:r>
                </w:p>
              </w:tc>
            </w:tr>
          </w:tbl>
          <w:p w14:paraId="6BC880C5">
            <w:pPr>
              <w:keepNext w:val="0"/>
              <w:keepLines w:val="0"/>
              <w:suppressLineNumbers w:val="0"/>
              <w:spacing w:before="0" w:beforeAutospacing="0" w:after="0" w:afterAutospacing="0"/>
              <w:ind w:left="0" w:right="0"/>
              <w:rPr>
                <w:rFonts w:hint="default"/>
                <w:color w:val="auto"/>
                <w:sz w:val="26"/>
                <w:szCs w:val="26"/>
                <w:highlight w:val="none"/>
              </w:rPr>
            </w:pPr>
          </w:p>
          <w:p w14:paraId="7B42B296">
            <w:pPr>
              <w:pStyle w:val="74"/>
              <w:keepNext w:val="0"/>
              <w:keepLines w:val="0"/>
              <w:suppressLineNumbers w:val="0"/>
              <w:spacing w:before="0" w:beforeAutospacing="0" w:after="0" w:afterAutospacing="0"/>
              <w:ind w:left="0" w:right="0" w:firstLine="520"/>
              <w:rPr>
                <w:rFonts w:hint="default"/>
                <w:color w:val="auto"/>
                <w:highlight w:val="none"/>
                <w:lang w:val="da-DK"/>
              </w:rPr>
            </w:pPr>
            <w:r>
              <w:rPr>
                <w:rFonts w:hint="eastAsia"/>
                <w:color w:val="auto"/>
                <w:highlight w:val="none"/>
                <w:lang w:val="en-US"/>
              </w:rPr>
              <w:t>由上表可知，</w:t>
            </w:r>
            <w:r>
              <w:rPr>
                <w:rFonts w:hint="eastAsia"/>
                <w:color w:val="auto"/>
                <w:highlight w:val="none"/>
                <w:lang w:val="en-US" w:eastAsia="zh-CN"/>
              </w:rPr>
              <w:t>区域</w:t>
            </w:r>
            <w:r>
              <w:rPr>
                <w:rFonts w:hint="eastAsia"/>
                <w:color w:val="auto"/>
                <w:highlight w:val="none"/>
                <w:lang w:eastAsia="zh-CN"/>
              </w:rPr>
              <w:t>非甲烷总烃环境质量现状满足</w:t>
            </w:r>
            <w:r>
              <w:rPr>
                <w:rFonts w:hint="eastAsia"/>
                <w:color w:val="auto"/>
                <w:highlight w:val="none"/>
                <w:lang w:val="en-US" w:eastAsia="zh-CN"/>
              </w:rPr>
              <w:t>参照执行的</w:t>
            </w:r>
            <w:r>
              <w:rPr>
                <w:rFonts w:hint="eastAsia"/>
                <w:color w:val="auto"/>
                <w:highlight w:val="none"/>
                <w:lang w:eastAsia="zh-CN"/>
              </w:rPr>
              <w:t>《环境空气质量 非甲烷总烃限值》（DB13/1577-2012）</w:t>
            </w:r>
            <w:r>
              <w:rPr>
                <w:rFonts w:hint="eastAsia"/>
                <w:color w:val="auto"/>
                <w:highlight w:val="none"/>
                <w:lang w:val="en-US" w:eastAsia="zh-CN"/>
              </w:rPr>
              <w:t>二级标准</w:t>
            </w:r>
            <w:r>
              <w:rPr>
                <w:rFonts w:hint="eastAsia"/>
                <w:color w:val="auto"/>
                <w:highlight w:val="none"/>
                <w:lang w:eastAsia="zh-CN"/>
              </w:rPr>
              <w:t>要求</w:t>
            </w:r>
            <w:r>
              <w:rPr>
                <w:rFonts w:hint="eastAsia"/>
                <w:color w:val="auto"/>
                <w:highlight w:val="none"/>
              </w:rPr>
              <w:t>。</w:t>
            </w:r>
          </w:p>
          <w:p w14:paraId="05993A69">
            <w:pPr>
              <w:keepNext w:val="0"/>
              <w:keepLines w:val="0"/>
              <w:suppressLineNumbers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3.1.2地表水环境</w:t>
            </w:r>
          </w:p>
          <w:p w14:paraId="64D4A914">
            <w:pPr>
              <w:pStyle w:val="74"/>
              <w:keepNext w:val="0"/>
              <w:keepLines w:val="0"/>
              <w:suppressLineNumbers w:val="0"/>
              <w:spacing w:before="0" w:beforeAutospacing="0" w:after="0" w:afterAutospacing="0"/>
              <w:ind w:left="0" w:right="0" w:firstLine="520"/>
              <w:rPr>
                <w:rFonts w:hint="default"/>
                <w:color w:val="auto"/>
                <w:highlight w:val="none"/>
              </w:rPr>
            </w:pPr>
            <w:r>
              <w:rPr>
                <w:rFonts w:hint="default"/>
                <w:color w:val="auto"/>
                <w:highlight w:val="none"/>
                <w:lang w:val="en-US"/>
              </w:rPr>
              <w:t>项目</w:t>
            </w:r>
            <w:r>
              <w:rPr>
                <w:rFonts w:hint="eastAsia"/>
                <w:color w:val="auto"/>
                <w:highlight w:val="none"/>
                <w:lang w:val="en-US" w:eastAsia="zh-CN"/>
              </w:rPr>
              <w:t>污废水的受纳水体为綦江河</w:t>
            </w:r>
            <w:r>
              <w:rPr>
                <w:rFonts w:hint="default"/>
                <w:color w:val="auto"/>
                <w:highlight w:val="none"/>
              </w:rPr>
              <w:t>。</w:t>
            </w:r>
            <w:r>
              <w:rPr>
                <w:rFonts w:hint="default"/>
                <w:color w:val="auto"/>
                <w:highlight w:val="none"/>
                <w:lang w:val="en-US"/>
              </w:rPr>
              <w:t>根据《重庆市人民政府批转重庆市地表水环境功能类别调整方案的通知》（渝府发</w:t>
            </w:r>
            <w:r>
              <w:rPr>
                <w:rFonts w:hint="eastAsia"/>
                <w:color w:val="auto"/>
                <w:highlight w:val="none"/>
                <w:lang w:val="en-US" w:eastAsia="zh-CN"/>
              </w:rPr>
              <w:t>〔2012〕4号</w:t>
            </w:r>
            <w:r>
              <w:rPr>
                <w:rFonts w:hint="default"/>
                <w:color w:val="auto"/>
                <w:highlight w:val="none"/>
                <w:lang w:val="en-US"/>
              </w:rPr>
              <w:t>），</w:t>
            </w:r>
            <w:r>
              <w:rPr>
                <w:rFonts w:hint="eastAsia"/>
                <w:color w:val="auto"/>
                <w:highlight w:val="none"/>
                <w:lang w:val="en-US"/>
              </w:rPr>
              <w:t>綦江河</w:t>
            </w:r>
            <w:r>
              <w:rPr>
                <w:rFonts w:hint="default"/>
                <w:color w:val="auto"/>
                <w:highlight w:val="none"/>
                <w:lang w:val="en-US"/>
              </w:rPr>
              <w:t>水域功能为Ⅲ类。</w:t>
            </w:r>
          </w:p>
          <w:p w14:paraId="0FCBF5D6">
            <w:pPr>
              <w:pStyle w:val="74"/>
              <w:keepNext w:val="0"/>
              <w:keepLines w:val="0"/>
              <w:suppressLineNumbers w:val="0"/>
              <w:spacing w:before="0" w:beforeAutospacing="0" w:after="0" w:afterAutospacing="0"/>
              <w:ind w:left="0" w:right="0" w:firstLine="520"/>
              <w:rPr>
                <w:rFonts w:hint="default"/>
                <w:color w:val="auto"/>
                <w:highlight w:val="none"/>
              </w:rPr>
            </w:pPr>
            <w:r>
              <w:rPr>
                <w:rFonts w:hint="default"/>
                <w:color w:val="auto"/>
                <w:highlight w:val="none"/>
              </w:rPr>
              <w:t>根据綦江区生态环境局发布</w:t>
            </w:r>
            <w:r>
              <w:rPr>
                <w:rFonts w:hint="eastAsia"/>
                <w:color w:val="auto"/>
                <w:highlight w:val="none"/>
                <w:lang w:eastAsia="zh-CN"/>
              </w:rPr>
              <w:t>的</w:t>
            </w:r>
            <w:r>
              <w:rPr>
                <w:rFonts w:hint="default"/>
                <w:color w:val="auto"/>
                <w:highlight w:val="none"/>
              </w:rPr>
              <w:t>2025年1月綦江区水环境质量月报[索引号：11500222MB1959811F/2025-00094]，綦江区8个河流地表水断面，水质平均达标率为100%，北渡（綦江河）、石门坎（綦江河）满足《地表水环境质量标准》（GB3838-2002）Ⅲ类水域标准要求，地表水环境质量状况良好。因此，区域地表水环境质量现状满足相应水域标准，不会制约本项目建设。（网址：https</w:t>
            </w:r>
            <w:r>
              <w:rPr>
                <w:rFonts w:hint="eastAsia"/>
                <w:color w:val="auto"/>
                <w:highlight w:val="none"/>
                <w:lang w:eastAsia="zh-CN"/>
              </w:rPr>
              <w:t>:</w:t>
            </w:r>
            <w:r>
              <w:rPr>
                <w:rFonts w:hint="default"/>
                <w:color w:val="auto"/>
                <w:highlight w:val="none"/>
              </w:rPr>
              <w:t>//www.cqqj.gov.cn/bm/qsthjj/zwgk_58420/zfxxgkml/hjgl/shjg1/202503/t20250314_14407173.html）。</w:t>
            </w:r>
          </w:p>
          <w:p w14:paraId="01FA1518">
            <w:pPr>
              <w:keepNext w:val="0"/>
              <w:keepLines w:val="0"/>
              <w:suppressLineNumbers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3.1.</w:t>
            </w:r>
            <w:r>
              <w:rPr>
                <w:rFonts w:hint="eastAsia"/>
                <w:b/>
                <w:color w:val="auto"/>
                <w:sz w:val="26"/>
                <w:szCs w:val="26"/>
                <w:highlight w:val="none"/>
              </w:rPr>
              <w:t>3声环境</w:t>
            </w:r>
          </w:p>
          <w:p w14:paraId="73501EB2">
            <w:pPr>
              <w:keepNext w:val="0"/>
              <w:keepLines w:val="0"/>
              <w:suppressLineNumbers w:val="0"/>
              <w:spacing w:before="0" w:beforeAutospacing="0" w:after="0" w:afterAutospacing="0" w:line="400" w:lineRule="exact"/>
              <w:ind w:left="0" w:right="0" w:firstLine="520" w:firstLineChars="200"/>
              <w:rPr>
                <w:rFonts w:hint="default"/>
                <w:color w:val="auto"/>
                <w:highlight w:val="none"/>
              </w:rPr>
            </w:pPr>
            <w:r>
              <w:rPr>
                <w:rFonts w:hint="eastAsia"/>
                <w:color w:val="auto"/>
                <w:sz w:val="26"/>
                <w:szCs w:val="26"/>
                <w:highlight w:val="none"/>
              </w:rPr>
              <w:t>根据《建设项目环境影响报告表编制技术指南》（污染影响类）（试行），“厂界外周边50米范围内存在声环境保护目标的建设项目，应监测保护目标声环境质量现状并评价达标情况”。本项目厂界外周边5</w:t>
            </w:r>
            <w:r>
              <w:rPr>
                <w:rFonts w:hint="default"/>
                <w:color w:val="auto"/>
                <w:sz w:val="26"/>
                <w:szCs w:val="26"/>
                <w:highlight w:val="none"/>
              </w:rPr>
              <w:t>0m</w:t>
            </w:r>
            <w:r>
              <w:rPr>
                <w:rFonts w:hint="eastAsia"/>
                <w:color w:val="auto"/>
                <w:sz w:val="26"/>
                <w:szCs w:val="26"/>
                <w:highlight w:val="none"/>
              </w:rPr>
              <w:t>范围内无声环境保护目标，本次评价不开展监测。</w:t>
            </w:r>
          </w:p>
          <w:p w14:paraId="1D288B42">
            <w:pPr>
              <w:keepNext w:val="0"/>
              <w:keepLines w:val="0"/>
              <w:suppressLineNumbers w:val="0"/>
              <w:spacing w:before="0" w:beforeAutospacing="0" w:after="0" w:afterAutospacing="0" w:line="400" w:lineRule="exact"/>
              <w:ind w:left="0" w:right="0" w:firstLine="522" w:firstLineChars="200"/>
              <w:rPr>
                <w:rFonts w:hint="default"/>
                <w:b/>
                <w:color w:val="auto"/>
                <w:kern w:val="0"/>
                <w:sz w:val="26"/>
                <w:szCs w:val="26"/>
                <w:highlight w:val="none"/>
                <w:lang w:val="da-DK"/>
              </w:rPr>
            </w:pPr>
            <w:r>
              <w:rPr>
                <w:rFonts w:hint="default"/>
                <w:b/>
                <w:color w:val="auto"/>
                <w:kern w:val="0"/>
                <w:sz w:val="26"/>
                <w:szCs w:val="26"/>
                <w:highlight w:val="none"/>
                <w:lang w:val="da-DK"/>
              </w:rPr>
              <w:t>3.1.4</w:t>
            </w:r>
            <w:r>
              <w:rPr>
                <w:rFonts w:hint="eastAsia"/>
                <w:b/>
                <w:color w:val="auto"/>
                <w:kern w:val="0"/>
                <w:sz w:val="26"/>
                <w:szCs w:val="26"/>
                <w:highlight w:val="none"/>
                <w:lang w:val="da-DK"/>
              </w:rPr>
              <w:t>生态环境</w:t>
            </w:r>
          </w:p>
          <w:p w14:paraId="6E633D6E">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本项目位于</w:t>
            </w:r>
            <w:r>
              <w:rPr>
                <w:rFonts w:hint="eastAsia"/>
                <w:color w:val="auto"/>
                <w:highlight w:val="none"/>
                <w:lang w:val="en-US"/>
              </w:rPr>
              <w:t>工业园区内</w:t>
            </w:r>
            <w:r>
              <w:rPr>
                <w:rFonts w:hint="eastAsia"/>
                <w:color w:val="auto"/>
                <w:highlight w:val="none"/>
              </w:rPr>
              <w:t>，根据《建设项目环境影响报告表编制技术指南》（污染影响类）（试行），“产业园区外建设项目新增用地且用地范围内含有生态环境保护目标时，应进行生态现状调查”，因此，本次评价不开展生态现状调查。</w:t>
            </w:r>
          </w:p>
          <w:p w14:paraId="0D1BED31">
            <w:pPr>
              <w:keepNext w:val="0"/>
              <w:keepLines w:val="0"/>
              <w:suppressLineNumbers w:val="0"/>
              <w:spacing w:before="0" w:beforeAutospacing="0" w:after="0" w:afterAutospacing="0" w:line="400" w:lineRule="exact"/>
              <w:ind w:left="0" w:right="0" w:firstLine="522" w:firstLineChars="200"/>
              <w:rPr>
                <w:rFonts w:hint="default"/>
                <w:b/>
                <w:color w:val="auto"/>
                <w:kern w:val="0"/>
                <w:sz w:val="26"/>
                <w:szCs w:val="26"/>
                <w:highlight w:val="none"/>
                <w:lang w:val="da-DK"/>
              </w:rPr>
            </w:pPr>
            <w:r>
              <w:rPr>
                <w:rFonts w:hint="default"/>
                <w:b/>
                <w:color w:val="auto"/>
                <w:kern w:val="0"/>
                <w:sz w:val="26"/>
                <w:szCs w:val="26"/>
                <w:highlight w:val="none"/>
                <w:lang w:val="da-DK"/>
              </w:rPr>
              <w:t>3.1.5</w:t>
            </w:r>
            <w:r>
              <w:rPr>
                <w:rFonts w:hint="eastAsia"/>
                <w:b/>
                <w:color w:val="auto"/>
                <w:kern w:val="0"/>
                <w:sz w:val="26"/>
                <w:szCs w:val="26"/>
                <w:highlight w:val="none"/>
                <w:lang w:val="da-DK"/>
              </w:rPr>
              <w:t>电磁辐射</w:t>
            </w:r>
          </w:p>
          <w:p w14:paraId="36B5DF16">
            <w:pPr>
              <w:keepNext w:val="0"/>
              <w:keepLines w:val="0"/>
              <w:suppressLineNumbers w:val="0"/>
              <w:adjustRightInd w:val="0"/>
              <w:snapToGrid w:val="0"/>
              <w:spacing w:before="0" w:beforeAutospacing="0" w:after="0" w:afterAutospacing="0" w:line="400" w:lineRule="exact"/>
              <w:ind w:left="0" w:right="0" w:firstLine="435"/>
              <w:rPr>
                <w:rFonts w:hint="default"/>
                <w:color w:val="auto"/>
                <w:kern w:val="0"/>
                <w:sz w:val="26"/>
                <w:szCs w:val="26"/>
                <w:highlight w:val="none"/>
              </w:rPr>
            </w:pPr>
            <w:r>
              <w:rPr>
                <w:rFonts w:hint="eastAsia"/>
                <w:color w:val="auto"/>
                <w:kern w:val="0"/>
                <w:sz w:val="26"/>
                <w:szCs w:val="26"/>
                <w:highlight w:val="none"/>
                <w:lang w:val="en-US" w:eastAsia="zh-CN"/>
              </w:rPr>
              <w:t>本项目不涉及</w:t>
            </w:r>
            <w:r>
              <w:rPr>
                <w:rFonts w:hint="eastAsia"/>
                <w:color w:val="auto"/>
                <w:kern w:val="0"/>
                <w:sz w:val="26"/>
                <w:szCs w:val="26"/>
                <w:highlight w:val="none"/>
              </w:rPr>
              <w:t>。</w:t>
            </w:r>
          </w:p>
          <w:p w14:paraId="46F763DE">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3.1.6</w:t>
            </w:r>
            <w:r>
              <w:rPr>
                <w:rFonts w:hint="eastAsia"/>
                <w:b/>
                <w:color w:val="auto"/>
                <w:kern w:val="0"/>
                <w:sz w:val="26"/>
                <w:szCs w:val="26"/>
                <w:highlight w:val="none"/>
              </w:rPr>
              <w:t>地下水、土壤</w:t>
            </w:r>
          </w:p>
          <w:p w14:paraId="7DF8521B">
            <w:pPr>
              <w:keepNext w:val="0"/>
              <w:keepLines w:val="0"/>
              <w:suppressLineNumbers w:val="0"/>
              <w:snapToGrid w:val="0"/>
              <w:spacing w:before="0" w:beforeAutospacing="0" w:after="0" w:afterAutospacing="0" w:line="400" w:lineRule="exact"/>
              <w:ind w:left="0" w:right="0" w:firstLine="520" w:firstLineChars="200"/>
              <w:rPr>
                <w:rFonts w:hint="default"/>
                <w:color w:val="auto"/>
                <w:szCs w:val="21"/>
                <w:highlight w:val="none"/>
              </w:rPr>
            </w:pPr>
            <w:r>
              <w:rPr>
                <w:rFonts w:hint="eastAsia"/>
                <w:color w:val="auto"/>
                <w:sz w:val="26"/>
                <w:szCs w:val="26"/>
                <w:highlight w:val="none"/>
              </w:rPr>
              <w:t>本项目采取严格的防渗措施，</w:t>
            </w:r>
            <w:r>
              <w:rPr>
                <w:rFonts w:hint="eastAsia"/>
                <w:color w:val="auto"/>
                <w:sz w:val="26"/>
                <w:szCs w:val="26"/>
                <w:highlight w:val="none"/>
                <w:lang w:val="en-US" w:eastAsia="zh-CN"/>
              </w:rPr>
              <w:t>基本</w:t>
            </w:r>
            <w:r>
              <w:rPr>
                <w:rFonts w:hint="eastAsia"/>
                <w:color w:val="auto"/>
                <w:sz w:val="26"/>
                <w:szCs w:val="26"/>
                <w:highlight w:val="none"/>
              </w:rPr>
              <w:t>不存在地下水、土壤污染途径，本次评价不开展地下水、土壤环境质量现状监测。</w:t>
            </w:r>
          </w:p>
        </w:tc>
      </w:tr>
      <w:tr w14:paraId="57F10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Mar>
              <w:left w:w="28" w:type="dxa"/>
              <w:right w:w="28" w:type="dxa"/>
            </w:tcMar>
            <w:vAlign w:val="center"/>
          </w:tcPr>
          <w:p w14:paraId="16E062DD">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环境</w:t>
            </w:r>
          </w:p>
          <w:p w14:paraId="55D972E3">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保护</w:t>
            </w:r>
          </w:p>
          <w:p w14:paraId="1AA65E9C">
            <w:pPr>
              <w:keepNext w:val="0"/>
              <w:keepLines w:val="0"/>
              <w:suppressLineNumbers w:val="0"/>
              <w:adjustRightInd w:val="0"/>
              <w:snapToGrid w:val="0"/>
              <w:spacing w:before="0" w:beforeAutospacing="0" w:after="0" w:afterAutospacing="0"/>
              <w:ind w:left="0" w:leftChars="0" w:right="0" w:rightChars="0"/>
              <w:jc w:val="center"/>
              <w:rPr>
                <w:rFonts w:hint="default"/>
                <w:color w:val="auto"/>
                <w:kern w:val="0"/>
                <w:sz w:val="26"/>
                <w:szCs w:val="26"/>
                <w:highlight w:val="none"/>
              </w:rPr>
            </w:pPr>
            <w:r>
              <w:rPr>
                <w:rFonts w:hint="default"/>
                <w:color w:val="auto"/>
                <w:kern w:val="0"/>
                <w:sz w:val="26"/>
                <w:szCs w:val="26"/>
                <w:highlight w:val="none"/>
              </w:rPr>
              <w:t>目标</w:t>
            </w:r>
          </w:p>
        </w:tc>
        <w:tc>
          <w:tcPr>
            <w:tcW w:w="8978" w:type="dxa"/>
            <w:vAlign w:val="center"/>
          </w:tcPr>
          <w:p w14:paraId="4EA11571">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eastAsia"/>
                <w:b/>
                <w:color w:val="auto"/>
                <w:kern w:val="0"/>
                <w:sz w:val="26"/>
                <w:szCs w:val="26"/>
                <w:highlight w:val="none"/>
              </w:rPr>
              <w:t>3</w:t>
            </w:r>
            <w:r>
              <w:rPr>
                <w:rFonts w:hint="default"/>
                <w:b/>
                <w:color w:val="auto"/>
                <w:kern w:val="0"/>
                <w:sz w:val="26"/>
                <w:szCs w:val="26"/>
                <w:highlight w:val="none"/>
              </w:rPr>
              <w:t>.2</w:t>
            </w:r>
            <w:r>
              <w:rPr>
                <w:rFonts w:hint="eastAsia"/>
                <w:b/>
                <w:color w:val="auto"/>
                <w:kern w:val="0"/>
                <w:sz w:val="26"/>
                <w:szCs w:val="26"/>
                <w:highlight w:val="none"/>
              </w:rPr>
              <w:t>环境保护目标</w:t>
            </w:r>
          </w:p>
          <w:p w14:paraId="48A5F143">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3.2.1</w:t>
            </w:r>
            <w:r>
              <w:rPr>
                <w:rFonts w:hint="eastAsia"/>
                <w:b/>
                <w:color w:val="auto"/>
                <w:kern w:val="0"/>
                <w:sz w:val="26"/>
                <w:szCs w:val="26"/>
                <w:highlight w:val="none"/>
              </w:rPr>
              <w:t>大气环境</w:t>
            </w:r>
          </w:p>
          <w:p w14:paraId="1A936A5A">
            <w:pPr>
              <w:keepNext w:val="0"/>
              <w:keepLines w:val="0"/>
              <w:suppressLineNumbers w:val="0"/>
              <w:adjustRightInd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厂界5</w:t>
            </w:r>
            <w:r>
              <w:rPr>
                <w:rFonts w:hint="default"/>
                <w:color w:val="auto"/>
                <w:sz w:val="26"/>
                <w:szCs w:val="26"/>
                <w:highlight w:val="none"/>
              </w:rPr>
              <w:t>00m</w:t>
            </w:r>
            <w:r>
              <w:rPr>
                <w:rFonts w:hint="eastAsia"/>
                <w:color w:val="auto"/>
                <w:sz w:val="26"/>
                <w:szCs w:val="26"/>
                <w:highlight w:val="none"/>
              </w:rPr>
              <w:t>范围的大气环境保护目标见下表。</w:t>
            </w:r>
          </w:p>
          <w:p w14:paraId="610E2CFA">
            <w:pPr>
              <w:pStyle w:val="65"/>
              <w:keepNext w:val="0"/>
              <w:keepLines w:val="0"/>
              <w:suppressLineNumbers w:val="0"/>
              <w:spacing w:before="0" w:beforeAutospacing="0" w:after="0" w:afterAutospacing="0"/>
              <w:ind w:left="0" w:right="0"/>
              <w:rPr>
                <w:rFonts w:hint="default"/>
                <w:color w:val="auto"/>
                <w:highlight w:val="none"/>
              </w:rPr>
            </w:pPr>
          </w:p>
          <w:p w14:paraId="71398FAB">
            <w:pPr>
              <w:pStyle w:val="81"/>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表3.2-1</w:t>
            </w:r>
            <w:r>
              <w:rPr>
                <w:rFonts w:hint="eastAsia"/>
                <w:color w:val="auto"/>
                <w:sz w:val="26"/>
                <w:szCs w:val="26"/>
                <w:highlight w:val="none"/>
                <w:lang w:val="en-US" w:eastAsia="zh-CN"/>
              </w:rPr>
              <w:t xml:space="preserve">  </w:t>
            </w:r>
            <w:r>
              <w:rPr>
                <w:rFonts w:hint="eastAsia"/>
                <w:color w:val="auto"/>
                <w:sz w:val="26"/>
                <w:szCs w:val="26"/>
                <w:highlight w:val="none"/>
              </w:rPr>
              <w:t>大气环境保护目标</w:t>
            </w:r>
            <w:r>
              <w:rPr>
                <w:rFonts w:hint="default"/>
                <w:color w:val="auto"/>
                <w:sz w:val="26"/>
                <w:szCs w:val="26"/>
                <w:highlight w:val="none"/>
              </w:rPr>
              <w:t>统计表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630"/>
              <w:gridCol w:w="1016"/>
              <w:gridCol w:w="1022"/>
              <w:gridCol w:w="1016"/>
              <w:gridCol w:w="1219"/>
              <w:gridCol w:w="1221"/>
              <w:gridCol w:w="1448"/>
            </w:tblGrid>
            <w:tr w14:paraId="129D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Merge w:val="restart"/>
                  <w:vAlign w:val="center"/>
                </w:tcPr>
                <w:p w14:paraId="557A5CA5">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序号</w:t>
                  </w:r>
                </w:p>
              </w:tc>
              <w:tc>
                <w:tcPr>
                  <w:tcW w:w="885" w:type="pct"/>
                  <w:vMerge w:val="restart"/>
                  <w:vAlign w:val="center"/>
                </w:tcPr>
                <w:p w14:paraId="0A92A945">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环境保护目标</w:t>
                  </w:r>
                </w:p>
              </w:tc>
              <w:tc>
                <w:tcPr>
                  <w:tcW w:w="1107" w:type="pct"/>
                  <w:gridSpan w:val="2"/>
                  <w:vAlign w:val="center"/>
                </w:tcPr>
                <w:p w14:paraId="681B269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坐标/m</w:t>
                  </w:r>
                </w:p>
              </w:tc>
              <w:tc>
                <w:tcPr>
                  <w:tcW w:w="552" w:type="pct"/>
                  <w:vMerge w:val="restart"/>
                  <w:vAlign w:val="center"/>
                </w:tcPr>
                <w:p w14:paraId="72716BDD">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方位</w:t>
                  </w:r>
                </w:p>
              </w:tc>
              <w:tc>
                <w:tcPr>
                  <w:tcW w:w="662" w:type="pct"/>
                  <w:vMerge w:val="restart"/>
                  <w:vAlign w:val="center"/>
                </w:tcPr>
                <w:p w14:paraId="13AFE777">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与厂界距离（m）</w:t>
                  </w:r>
                </w:p>
              </w:tc>
              <w:tc>
                <w:tcPr>
                  <w:tcW w:w="663" w:type="pct"/>
                  <w:vMerge w:val="restart"/>
                  <w:vAlign w:val="center"/>
                </w:tcPr>
                <w:p w14:paraId="7E55967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环境功能区</w:t>
                  </w:r>
                </w:p>
              </w:tc>
              <w:tc>
                <w:tcPr>
                  <w:tcW w:w="786" w:type="pct"/>
                  <w:vMerge w:val="restart"/>
                  <w:vAlign w:val="center"/>
                </w:tcPr>
                <w:p w14:paraId="33FB7E3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备注</w:t>
                  </w:r>
                </w:p>
              </w:tc>
            </w:tr>
            <w:tr w14:paraId="1313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Merge w:val="continue"/>
                  <w:vAlign w:val="center"/>
                </w:tcPr>
                <w:p w14:paraId="3130C423">
                  <w:pPr>
                    <w:pStyle w:val="81"/>
                    <w:keepNext w:val="0"/>
                    <w:keepLines w:val="0"/>
                    <w:suppressLineNumbers w:val="0"/>
                    <w:bidi w:val="0"/>
                    <w:spacing w:before="0" w:beforeAutospacing="0" w:after="0" w:afterAutospacing="0"/>
                    <w:ind w:left="0" w:right="0"/>
                    <w:rPr>
                      <w:rFonts w:hint="default"/>
                      <w:color w:val="auto"/>
                      <w:highlight w:val="none"/>
                    </w:rPr>
                  </w:pPr>
                </w:p>
              </w:tc>
              <w:tc>
                <w:tcPr>
                  <w:tcW w:w="885" w:type="pct"/>
                  <w:vMerge w:val="continue"/>
                  <w:vAlign w:val="center"/>
                </w:tcPr>
                <w:p w14:paraId="6D6A169F">
                  <w:pPr>
                    <w:pStyle w:val="81"/>
                    <w:keepNext w:val="0"/>
                    <w:keepLines w:val="0"/>
                    <w:suppressLineNumbers w:val="0"/>
                    <w:bidi w:val="0"/>
                    <w:spacing w:before="0" w:beforeAutospacing="0" w:after="0" w:afterAutospacing="0"/>
                    <w:ind w:left="0" w:right="0"/>
                    <w:rPr>
                      <w:rFonts w:hint="default"/>
                      <w:color w:val="auto"/>
                      <w:highlight w:val="none"/>
                    </w:rPr>
                  </w:pPr>
                </w:p>
              </w:tc>
              <w:tc>
                <w:tcPr>
                  <w:tcW w:w="552" w:type="pct"/>
                  <w:vAlign w:val="center"/>
                </w:tcPr>
                <w:p w14:paraId="099F3C7D">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X</w:t>
                  </w:r>
                </w:p>
              </w:tc>
              <w:tc>
                <w:tcPr>
                  <w:tcW w:w="554" w:type="pct"/>
                  <w:vAlign w:val="center"/>
                </w:tcPr>
                <w:p w14:paraId="3D7C3603">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Y</w:t>
                  </w:r>
                </w:p>
              </w:tc>
              <w:tc>
                <w:tcPr>
                  <w:tcW w:w="552" w:type="pct"/>
                  <w:vMerge w:val="continue"/>
                  <w:vAlign w:val="center"/>
                </w:tcPr>
                <w:p w14:paraId="29D17E67">
                  <w:pPr>
                    <w:pStyle w:val="81"/>
                    <w:keepNext w:val="0"/>
                    <w:keepLines w:val="0"/>
                    <w:suppressLineNumbers w:val="0"/>
                    <w:bidi w:val="0"/>
                    <w:spacing w:before="0" w:beforeAutospacing="0" w:after="0" w:afterAutospacing="0"/>
                    <w:ind w:left="0" w:right="0"/>
                    <w:rPr>
                      <w:rFonts w:hint="default"/>
                      <w:color w:val="auto"/>
                      <w:highlight w:val="none"/>
                    </w:rPr>
                  </w:pPr>
                </w:p>
              </w:tc>
              <w:tc>
                <w:tcPr>
                  <w:tcW w:w="662" w:type="pct"/>
                  <w:vMerge w:val="continue"/>
                  <w:vAlign w:val="center"/>
                </w:tcPr>
                <w:p w14:paraId="52522161">
                  <w:pPr>
                    <w:pStyle w:val="81"/>
                    <w:keepNext w:val="0"/>
                    <w:keepLines w:val="0"/>
                    <w:suppressLineNumbers w:val="0"/>
                    <w:bidi w:val="0"/>
                    <w:spacing w:before="0" w:beforeAutospacing="0" w:after="0" w:afterAutospacing="0"/>
                    <w:ind w:left="0" w:right="0"/>
                    <w:rPr>
                      <w:rFonts w:hint="default"/>
                      <w:color w:val="auto"/>
                      <w:highlight w:val="none"/>
                    </w:rPr>
                  </w:pPr>
                </w:p>
              </w:tc>
              <w:tc>
                <w:tcPr>
                  <w:tcW w:w="663" w:type="pct"/>
                  <w:vMerge w:val="continue"/>
                  <w:vAlign w:val="center"/>
                </w:tcPr>
                <w:p w14:paraId="39286DC0">
                  <w:pPr>
                    <w:pStyle w:val="81"/>
                    <w:keepNext w:val="0"/>
                    <w:keepLines w:val="0"/>
                    <w:suppressLineNumbers w:val="0"/>
                    <w:bidi w:val="0"/>
                    <w:spacing w:before="0" w:beforeAutospacing="0" w:after="0" w:afterAutospacing="0"/>
                    <w:ind w:left="0" w:right="0"/>
                    <w:rPr>
                      <w:rFonts w:hint="default"/>
                      <w:color w:val="auto"/>
                      <w:highlight w:val="none"/>
                    </w:rPr>
                  </w:pPr>
                </w:p>
              </w:tc>
              <w:tc>
                <w:tcPr>
                  <w:tcW w:w="786" w:type="pct"/>
                  <w:vMerge w:val="continue"/>
                  <w:vAlign w:val="center"/>
                </w:tcPr>
                <w:p w14:paraId="6C4D7581">
                  <w:pPr>
                    <w:pStyle w:val="81"/>
                    <w:keepNext w:val="0"/>
                    <w:keepLines w:val="0"/>
                    <w:suppressLineNumbers w:val="0"/>
                    <w:bidi w:val="0"/>
                    <w:spacing w:before="0" w:beforeAutospacing="0" w:after="0" w:afterAutospacing="0"/>
                    <w:ind w:left="0" w:right="0"/>
                    <w:rPr>
                      <w:rFonts w:hint="default"/>
                      <w:color w:val="auto"/>
                      <w:highlight w:val="none"/>
                    </w:rPr>
                  </w:pPr>
                </w:p>
              </w:tc>
            </w:tr>
            <w:tr w14:paraId="6883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0" w:type="pct"/>
                  <w:vAlign w:val="center"/>
                </w:tcPr>
                <w:p w14:paraId="45EF8241">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p>
              </w:tc>
              <w:tc>
                <w:tcPr>
                  <w:tcW w:w="885" w:type="pct"/>
                  <w:vAlign w:val="center"/>
                </w:tcPr>
                <w:p w14:paraId="36F938E3">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北渡社区</w:t>
                  </w:r>
                </w:p>
              </w:tc>
              <w:tc>
                <w:tcPr>
                  <w:tcW w:w="552" w:type="pct"/>
                  <w:vAlign w:val="center"/>
                </w:tcPr>
                <w:p w14:paraId="0C0669CC">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628</w:t>
                  </w:r>
                </w:p>
              </w:tc>
              <w:tc>
                <w:tcPr>
                  <w:tcW w:w="554" w:type="pct"/>
                  <w:vAlign w:val="center"/>
                </w:tcPr>
                <w:p w14:paraId="7BA6FD93">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-177</w:t>
                  </w:r>
                </w:p>
              </w:tc>
              <w:tc>
                <w:tcPr>
                  <w:tcW w:w="552" w:type="pct"/>
                  <w:vAlign w:val="center"/>
                </w:tcPr>
                <w:p w14:paraId="65F461CA">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SE</w:t>
                  </w:r>
                </w:p>
              </w:tc>
              <w:tc>
                <w:tcPr>
                  <w:tcW w:w="662" w:type="pct"/>
                  <w:vAlign w:val="center"/>
                </w:tcPr>
                <w:p w14:paraId="663AC62B">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420</w:t>
                  </w:r>
                </w:p>
              </w:tc>
              <w:tc>
                <w:tcPr>
                  <w:tcW w:w="663" w:type="pct"/>
                  <w:vMerge w:val="restart"/>
                  <w:vAlign w:val="center"/>
                </w:tcPr>
                <w:p w14:paraId="34F77C75">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大气环境二类功能区</w:t>
                  </w:r>
                </w:p>
              </w:tc>
              <w:tc>
                <w:tcPr>
                  <w:tcW w:w="786" w:type="pct"/>
                  <w:vAlign w:val="center"/>
                </w:tcPr>
                <w:p w14:paraId="55BFB1B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农户</w:t>
                  </w:r>
                  <w:r>
                    <w:rPr>
                      <w:rFonts w:hint="eastAsia"/>
                      <w:color w:val="auto"/>
                      <w:highlight w:val="none"/>
                      <w:lang w:eastAsia="zh-CN"/>
                    </w:rPr>
                    <w:t>，</w:t>
                  </w:r>
                  <w:r>
                    <w:rPr>
                      <w:rFonts w:hint="default"/>
                      <w:color w:val="auto"/>
                      <w:highlight w:val="none"/>
                    </w:rPr>
                    <w:t>60户</w:t>
                  </w:r>
                </w:p>
              </w:tc>
            </w:tr>
            <w:tr w14:paraId="637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6B5F6EA1">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w:t>
                  </w:r>
                </w:p>
              </w:tc>
              <w:tc>
                <w:tcPr>
                  <w:tcW w:w="885" w:type="pct"/>
                  <w:vAlign w:val="center"/>
                </w:tcPr>
                <w:p w14:paraId="170CF500">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白沙岗</w:t>
                  </w:r>
                </w:p>
              </w:tc>
              <w:tc>
                <w:tcPr>
                  <w:tcW w:w="552" w:type="pct"/>
                  <w:vAlign w:val="center"/>
                </w:tcPr>
                <w:p w14:paraId="246BDE09">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175</w:t>
                  </w:r>
                </w:p>
              </w:tc>
              <w:tc>
                <w:tcPr>
                  <w:tcW w:w="554" w:type="pct"/>
                  <w:vAlign w:val="center"/>
                </w:tcPr>
                <w:p w14:paraId="0A24AD76">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-253</w:t>
                  </w:r>
                </w:p>
              </w:tc>
              <w:tc>
                <w:tcPr>
                  <w:tcW w:w="552" w:type="pct"/>
                  <w:vAlign w:val="center"/>
                </w:tcPr>
                <w:p w14:paraId="4CC69636">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S</w:t>
                  </w:r>
                </w:p>
              </w:tc>
              <w:tc>
                <w:tcPr>
                  <w:tcW w:w="662" w:type="pct"/>
                  <w:vAlign w:val="center"/>
                </w:tcPr>
                <w:p w14:paraId="13C536A3">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230</w:t>
                  </w:r>
                </w:p>
              </w:tc>
              <w:tc>
                <w:tcPr>
                  <w:tcW w:w="663" w:type="pct"/>
                  <w:vMerge w:val="continue"/>
                  <w:vAlign w:val="center"/>
                </w:tcPr>
                <w:p w14:paraId="7CD4A99D">
                  <w:pPr>
                    <w:pStyle w:val="81"/>
                    <w:keepNext w:val="0"/>
                    <w:keepLines w:val="0"/>
                    <w:suppressLineNumbers w:val="0"/>
                    <w:bidi w:val="0"/>
                    <w:spacing w:before="0" w:beforeAutospacing="0" w:after="0" w:afterAutospacing="0"/>
                    <w:ind w:left="0" w:right="0"/>
                    <w:rPr>
                      <w:rFonts w:hint="default"/>
                      <w:color w:val="auto"/>
                      <w:highlight w:val="none"/>
                    </w:rPr>
                  </w:pPr>
                </w:p>
              </w:tc>
              <w:tc>
                <w:tcPr>
                  <w:tcW w:w="786" w:type="pct"/>
                  <w:vAlign w:val="center"/>
                </w:tcPr>
                <w:p w14:paraId="69549ED4">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农户</w:t>
                  </w:r>
                  <w:r>
                    <w:rPr>
                      <w:rFonts w:hint="eastAsia"/>
                      <w:color w:val="auto"/>
                      <w:highlight w:val="none"/>
                      <w:lang w:eastAsia="zh-CN"/>
                    </w:rPr>
                    <w:t>，</w:t>
                  </w:r>
                  <w:r>
                    <w:rPr>
                      <w:rFonts w:hint="default"/>
                      <w:color w:val="auto"/>
                      <w:highlight w:val="none"/>
                    </w:rPr>
                    <w:t>30户</w:t>
                  </w:r>
                </w:p>
              </w:tc>
            </w:tr>
          </w:tbl>
          <w:p w14:paraId="6542D9F8">
            <w:pPr>
              <w:keepNext w:val="0"/>
              <w:keepLines w:val="0"/>
              <w:suppressLineNumbers w:val="0"/>
              <w:adjustRightInd w:val="0"/>
              <w:snapToGrid w:val="0"/>
              <w:spacing w:before="0" w:beforeAutospacing="0" w:after="0" w:afterAutospacing="0"/>
              <w:ind w:left="0" w:right="0"/>
              <w:rPr>
                <w:rFonts w:hint="eastAsia" w:eastAsia="宋体"/>
                <w:color w:val="auto"/>
                <w:sz w:val="22"/>
                <w:szCs w:val="22"/>
                <w:highlight w:val="none"/>
                <w:lang w:eastAsia="zh-CN"/>
              </w:rPr>
            </w:pPr>
            <w:r>
              <w:rPr>
                <w:rFonts w:hint="eastAsia"/>
                <w:color w:val="auto"/>
                <w:sz w:val="22"/>
                <w:szCs w:val="22"/>
                <w:highlight w:val="none"/>
              </w:rPr>
              <w:t>备注：以厂界红线西南角的拐点（</w:t>
            </w:r>
            <w:r>
              <w:rPr>
                <w:rFonts w:hint="default"/>
                <w:color w:val="auto"/>
                <w:sz w:val="22"/>
                <w:szCs w:val="22"/>
                <w:highlight w:val="none"/>
              </w:rPr>
              <w:t>106.5737,29.0058</w:t>
            </w:r>
            <w:r>
              <w:rPr>
                <w:rFonts w:hint="eastAsia"/>
                <w:color w:val="auto"/>
                <w:sz w:val="22"/>
                <w:szCs w:val="22"/>
                <w:highlight w:val="none"/>
              </w:rPr>
              <w:t>）为坐标原点建立二维坐标系，X、Y分别以正东、正北方向为坐标轴正方向</w:t>
            </w:r>
            <w:r>
              <w:rPr>
                <w:rFonts w:hint="eastAsia"/>
                <w:color w:val="auto"/>
                <w:sz w:val="22"/>
                <w:szCs w:val="22"/>
                <w:highlight w:val="none"/>
                <w:lang w:eastAsia="zh-CN"/>
              </w:rPr>
              <w:t>。</w:t>
            </w:r>
          </w:p>
          <w:p w14:paraId="5E00A1FF">
            <w:pPr>
              <w:pStyle w:val="65"/>
              <w:keepNext w:val="0"/>
              <w:keepLines w:val="0"/>
              <w:suppressLineNumbers w:val="0"/>
              <w:spacing w:before="0" w:beforeAutospacing="0" w:after="0" w:afterAutospacing="0"/>
              <w:ind w:left="0" w:right="0"/>
              <w:rPr>
                <w:rFonts w:hint="default"/>
                <w:color w:val="auto"/>
                <w:highlight w:val="none"/>
              </w:rPr>
            </w:pPr>
          </w:p>
          <w:p w14:paraId="2E25661C">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3.2.2</w:t>
            </w:r>
            <w:r>
              <w:rPr>
                <w:rFonts w:hint="eastAsia"/>
                <w:b/>
                <w:color w:val="auto"/>
                <w:sz w:val="26"/>
                <w:szCs w:val="26"/>
                <w:highlight w:val="none"/>
              </w:rPr>
              <w:t>声环境</w:t>
            </w:r>
          </w:p>
          <w:p w14:paraId="0DD8A8A3">
            <w:pPr>
              <w:keepNext w:val="0"/>
              <w:keepLines w:val="0"/>
              <w:suppressLineNumbers w:val="0"/>
              <w:adjustRightInd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本项目厂界外50米范围内不存在声环境保护目标。</w:t>
            </w:r>
          </w:p>
          <w:p w14:paraId="28A4C319">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3.2.3</w:t>
            </w:r>
            <w:r>
              <w:rPr>
                <w:rFonts w:hint="eastAsia"/>
                <w:b/>
                <w:color w:val="auto"/>
                <w:kern w:val="0"/>
                <w:sz w:val="26"/>
                <w:szCs w:val="26"/>
                <w:highlight w:val="none"/>
              </w:rPr>
              <w:t>地下水环境</w:t>
            </w:r>
          </w:p>
          <w:p w14:paraId="4FD03BD5">
            <w:pPr>
              <w:keepNext w:val="0"/>
              <w:keepLines w:val="0"/>
              <w:suppressLineNumbers w:val="0"/>
              <w:adjustRightInd w:val="0"/>
              <w:snapToGrid w:val="0"/>
              <w:spacing w:before="0" w:beforeAutospacing="0" w:after="0" w:afterAutospacing="0" w:line="400" w:lineRule="exact"/>
              <w:ind w:left="0" w:right="0" w:firstLine="520" w:firstLineChars="200"/>
              <w:rPr>
                <w:rFonts w:hint="default"/>
                <w:color w:val="auto"/>
                <w:kern w:val="0"/>
                <w:sz w:val="26"/>
                <w:szCs w:val="26"/>
                <w:highlight w:val="none"/>
              </w:rPr>
            </w:pPr>
            <w:r>
              <w:rPr>
                <w:rFonts w:hint="eastAsia"/>
                <w:color w:val="auto"/>
                <w:kern w:val="0"/>
                <w:sz w:val="26"/>
                <w:szCs w:val="26"/>
                <w:highlight w:val="none"/>
              </w:rPr>
              <w:t>本项目厂界外 500 米范围内无地下水集中式饮用水水源和热水、矿泉水、温泉等特殊地下水资源。</w:t>
            </w:r>
          </w:p>
          <w:p w14:paraId="615EEA91">
            <w:pPr>
              <w:keepNext w:val="0"/>
              <w:keepLines w:val="0"/>
              <w:suppressLineNumbers w:val="0"/>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3.2.4</w:t>
            </w:r>
            <w:r>
              <w:rPr>
                <w:rFonts w:hint="eastAsia"/>
                <w:b/>
                <w:color w:val="auto"/>
                <w:kern w:val="0"/>
                <w:sz w:val="26"/>
                <w:szCs w:val="26"/>
                <w:highlight w:val="none"/>
              </w:rPr>
              <w:t>生态环境</w:t>
            </w:r>
          </w:p>
          <w:p w14:paraId="5FEBBDCA">
            <w:pPr>
              <w:keepNext w:val="0"/>
              <w:keepLines w:val="0"/>
              <w:suppressLineNumbers w:val="0"/>
              <w:adjustRightInd w:val="0"/>
              <w:snapToGrid w:val="0"/>
              <w:spacing w:before="0" w:beforeAutospacing="0" w:after="0" w:afterAutospacing="0" w:line="400" w:lineRule="exact"/>
              <w:ind w:left="0" w:leftChars="0" w:right="0" w:rightChars="0" w:firstLine="520" w:firstLineChars="200"/>
              <w:rPr>
                <w:rFonts w:hint="eastAsia"/>
                <w:color w:val="auto"/>
                <w:sz w:val="26"/>
                <w:szCs w:val="26"/>
                <w:highlight w:val="none"/>
              </w:rPr>
            </w:pPr>
            <w:r>
              <w:rPr>
                <w:rFonts w:hint="eastAsia"/>
                <w:color w:val="auto"/>
                <w:kern w:val="0"/>
                <w:sz w:val="26"/>
                <w:szCs w:val="26"/>
                <w:highlight w:val="none"/>
                <w:lang w:val="en-US" w:eastAsia="zh-CN"/>
              </w:rPr>
              <w:t>根据《编制技术指南（污染影响型）》“产业园区外建设项目新增用地且用地范围内含有生态环境保护目标时，应进行生态现状调查”，本项目位于綦江区北渡铝产业园内，用地为工业用地，不属于在产业园区外新增用地情形</w:t>
            </w:r>
            <w:r>
              <w:rPr>
                <w:rFonts w:hint="eastAsia"/>
                <w:color w:val="auto"/>
                <w:kern w:val="0"/>
                <w:sz w:val="26"/>
                <w:szCs w:val="26"/>
                <w:highlight w:val="none"/>
              </w:rPr>
              <w:t>。</w:t>
            </w:r>
          </w:p>
        </w:tc>
      </w:tr>
      <w:tr w14:paraId="39D35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Mar>
              <w:left w:w="28" w:type="dxa"/>
              <w:right w:w="28" w:type="dxa"/>
            </w:tcMar>
            <w:vAlign w:val="center"/>
          </w:tcPr>
          <w:p w14:paraId="4AABCA3E">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污染</w:t>
            </w:r>
          </w:p>
          <w:p w14:paraId="0C02BEA5">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物排</w:t>
            </w:r>
          </w:p>
          <w:p w14:paraId="1024B4F3">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放控</w:t>
            </w:r>
          </w:p>
          <w:p w14:paraId="21968D96">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制标</w:t>
            </w:r>
          </w:p>
          <w:p w14:paraId="2C501086">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准</w:t>
            </w:r>
          </w:p>
        </w:tc>
        <w:tc>
          <w:tcPr>
            <w:tcW w:w="8978" w:type="dxa"/>
            <w:vAlign w:val="center"/>
          </w:tcPr>
          <w:p w14:paraId="00B1618E">
            <w:pPr>
              <w:pStyle w:val="12"/>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b/>
                <w:color w:val="auto"/>
                <w:sz w:val="26"/>
                <w:szCs w:val="26"/>
                <w:highlight w:val="none"/>
              </w:rPr>
            </w:pPr>
            <w:r>
              <w:rPr>
                <w:rFonts w:hint="default" w:ascii="Times New Roman" w:hAnsi="Times New Roman"/>
                <w:b/>
                <w:color w:val="auto"/>
                <w:sz w:val="26"/>
                <w:szCs w:val="26"/>
                <w:highlight w:val="none"/>
              </w:rPr>
              <w:t>3.3</w:t>
            </w:r>
            <w:r>
              <w:rPr>
                <w:rFonts w:hint="eastAsia" w:ascii="Times New Roman" w:hAnsi="Times New Roman"/>
                <w:b/>
                <w:color w:val="auto"/>
                <w:sz w:val="26"/>
                <w:szCs w:val="26"/>
                <w:highlight w:val="none"/>
              </w:rPr>
              <w:t>污染物排放控制标准</w:t>
            </w:r>
          </w:p>
          <w:p w14:paraId="31500A25">
            <w:pPr>
              <w:pStyle w:val="12"/>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b/>
                <w:color w:val="auto"/>
                <w:sz w:val="26"/>
                <w:szCs w:val="26"/>
                <w:highlight w:val="none"/>
              </w:rPr>
            </w:pPr>
            <w:r>
              <w:rPr>
                <w:rFonts w:hint="default" w:ascii="Times New Roman" w:hAnsi="Times New Roman"/>
                <w:b/>
                <w:color w:val="auto"/>
                <w:sz w:val="26"/>
                <w:szCs w:val="26"/>
                <w:highlight w:val="none"/>
              </w:rPr>
              <w:t>3.3.</w:t>
            </w:r>
            <w:r>
              <w:rPr>
                <w:rFonts w:hint="eastAsia" w:ascii="Times New Roman" w:hAnsi="Times New Roman"/>
                <w:b/>
                <w:color w:val="auto"/>
                <w:sz w:val="26"/>
                <w:szCs w:val="26"/>
                <w:highlight w:val="none"/>
              </w:rPr>
              <w:t>1废气污染物</w:t>
            </w:r>
          </w:p>
          <w:p w14:paraId="02BFC091">
            <w:pPr>
              <w:keepNext w:val="0"/>
              <w:keepLines w:val="0"/>
              <w:suppressLineNumbers w:val="0"/>
              <w:spacing w:before="0" w:beforeAutospacing="0" w:after="0" w:afterAutospacing="0" w:line="400" w:lineRule="exact"/>
              <w:ind w:left="0" w:right="0" w:firstLine="520" w:firstLineChars="200"/>
              <w:rPr>
                <w:rFonts w:hint="eastAsia"/>
                <w:color w:val="auto"/>
                <w:sz w:val="26"/>
                <w:szCs w:val="26"/>
                <w:highlight w:val="none"/>
                <w:lang w:val="en-US" w:eastAsia="zh-CN"/>
              </w:rPr>
            </w:pPr>
            <w:r>
              <w:rPr>
                <w:rFonts w:hint="eastAsia"/>
                <w:color w:val="auto"/>
                <w:sz w:val="26"/>
                <w:szCs w:val="26"/>
                <w:highlight w:val="none"/>
                <w:lang w:val="en-US" w:eastAsia="zh-CN"/>
              </w:rPr>
              <w:t>本项目营运期产生废气主要为热熔除渣废气、压铸脱模产生的非甲烷总烃、浸胶产生的乙醇废气（非甲烷总烃计）、热压和固化产生的有机废气（非甲烷总烃计）、抛丸和磨加工产生的粉尘、搅拌和挤压产生的废气（颗粒物、臭气浓度、非甲烷总烃）以及食堂油烟。</w:t>
            </w:r>
          </w:p>
          <w:p w14:paraId="46774B66">
            <w:pPr>
              <w:pStyle w:val="74"/>
              <w:keepNext w:val="0"/>
              <w:keepLines w:val="0"/>
              <w:suppressLineNumbers w:val="0"/>
              <w:bidi w:val="0"/>
              <w:spacing w:before="0" w:beforeAutospacing="0" w:after="0" w:afterAutospacing="0"/>
              <w:ind w:left="0" w:right="0"/>
              <w:rPr>
                <w:rFonts w:hint="default"/>
                <w:color w:val="auto"/>
                <w:sz w:val="26"/>
                <w:szCs w:val="26"/>
                <w:highlight w:val="none"/>
                <w:lang w:val="en-US" w:eastAsia="zh-CN"/>
              </w:rPr>
            </w:pPr>
            <w:r>
              <w:rPr>
                <w:rFonts w:hint="eastAsia"/>
                <w:color w:val="auto"/>
                <w:sz w:val="26"/>
                <w:szCs w:val="26"/>
                <w:highlight w:val="none"/>
                <w:lang w:val="en-US" w:eastAsia="zh-CN"/>
              </w:rPr>
              <w:t>项目热熔烟尘、抛丸颗粒物、磨加工颗粒物有组织废气排放执行《铸造工业大气污染物排放标准》（GB39726-2020）表1标准</w:t>
            </w:r>
            <w:r>
              <w:rPr>
                <w:rFonts w:hint="eastAsia"/>
                <w:color w:val="auto"/>
                <w:lang w:eastAsia="zh-CN"/>
              </w:rPr>
              <w:t>，</w:t>
            </w:r>
            <w:r>
              <w:rPr>
                <w:rFonts w:hint="eastAsia"/>
                <w:color w:val="auto"/>
                <w:lang w:val="en-US" w:eastAsia="zh-CN"/>
              </w:rPr>
              <w:t>热熔的除渣过程产生的氯化氢参照执行《大气污染物综合排放标准》（DB50/418-2016）</w:t>
            </w:r>
            <w:r>
              <w:rPr>
                <w:rFonts w:hint="eastAsia"/>
                <w:color w:val="auto"/>
                <w:sz w:val="26"/>
                <w:szCs w:val="26"/>
                <w:highlight w:val="none"/>
                <w:lang w:val="en-US" w:eastAsia="zh-CN"/>
              </w:rPr>
              <w:t>：压铸脱模产生的非甲烷总烃、浸胶产生的乙醇废气（非甲烷总烃计）、热压和固化产生的有机废气（非甲烷总烃计）排放执行重庆市地方标准《大气污染物综合排放标准》（DB50/418-2016）表1中“其他区域”相关标准限值要求，其中压铸脱模有少量颗粒物产生，颗粒物执行《铸造工业大气污染物排放标准》（GB39726-2020）表1标准；搅拌、挤压过程中产生的非甲烷总烃、颗粒物有组织排放参照执行《橡胶制品工业污染物排放标准》（GB27632-2011）表5“轮胎企业及其他制品企业炼胶装置”的排放限值，恶臭污染物执行《恶臭污染物排放标准》（GB14554-93）二级标准；食堂油烟执行《餐饮业大气污染物排放标准》（DB50/859-2018）。危废贮存库的颗粒物、非甲烷总烃执行重庆市地方标准《大气污染物综合排放标准》（DB50/418-2016）表1中“其他区域”相关标准限值要求。</w:t>
            </w:r>
          </w:p>
          <w:p w14:paraId="735BE3B6">
            <w:pPr>
              <w:keepNext w:val="0"/>
              <w:keepLines w:val="0"/>
              <w:suppressLineNumbers w:val="0"/>
              <w:spacing w:before="0" w:beforeAutospacing="0" w:after="0" w:afterAutospacing="0" w:line="400" w:lineRule="exact"/>
              <w:ind w:left="0" w:right="0" w:firstLine="520" w:firstLineChars="200"/>
              <w:rPr>
                <w:rFonts w:hint="eastAsia"/>
                <w:color w:val="auto"/>
                <w:sz w:val="26"/>
                <w:szCs w:val="26"/>
                <w:highlight w:val="none"/>
                <w:lang w:val="en-US" w:eastAsia="zh-CN"/>
              </w:rPr>
            </w:pPr>
            <w:r>
              <w:rPr>
                <w:rFonts w:hint="eastAsia"/>
                <w:color w:val="auto"/>
                <w:sz w:val="26"/>
                <w:szCs w:val="26"/>
                <w:highlight w:val="none"/>
                <w:lang w:val="en-US" w:eastAsia="zh-CN"/>
              </w:rPr>
              <w:t>项目压铸车间外设置的厂房外无组织监控点的非甲烷总烃、颗粒物执行《铸造工业大气污染物排放标准》（GB39726-2020）表A.1标准；颗粒物、非甲烷总烃、氯化氢厂界无组织排放监控点执行《大气污染物综合排放标准》（DB50/418-2016）中相关无组织排放限值。</w:t>
            </w:r>
          </w:p>
          <w:p w14:paraId="2597F519">
            <w:pPr>
              <w:pStyle w:val="2"/>
              <w:suppressLineNumbers w:val="0"/>
              <w:spacing w:before="0" w:beforeAutospacing="0" w:after="0" w:afterAutospacing="0" w:line="240" w:lineRule="auto"/>
              <w:ind w:left="0" w:right="0"/>
              <w:rPr>
                <w:rFonts w:hint="eastAsia"/>
                <w:color w:val="auto"/>
                <w:highlight w:val="none"/>
                <w:lang w:val="en-US" w:eastAsia="zh-CN"/>
              </w:rPr>
            </w:pPr>
          </w:p>
          <w:p w14:paraId="4DA66D4B">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表3.3-1</w:t>
            </w:r>
            <w:r>
              <w:rPr>
                <w:rFonts w:hint="eastAsia"/>
                <w:color w:val="auto"/>
                <w:sz w:val="26"/>
                <w:szCs w:val="26"/>
                <w:highlight w:val="none"/>
                <w:lang w:val="en-US" w:eastAsia="zh-CN"/>
              </w:rPr>
              <w:t xml:space="preserve">  </w:t>
            </w:r>
            <w:r>
              <w:rPr>
                <w:rFonts w:hint="default"/>
                <w:color w:val="auto"/>
                <w:sz w:val="26"/>
                <w:szCs w:val="26"/>
                <w:highlight w:val="none"/>
              </w:rPr>
              <w:t>《铸造工业大气污染物排放标准》（GB39726-2020）</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1449"/>
              <w:gridCol w:w="1638"/>
              <w:gridCol w:w="1311"/>
              <w:gridCol w:w="2967"/>
            </w:tblGrid>
            <w:tr w14:paraId="7DF0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6" w:type="dxa"/>
                  <w:gridSpan w:val="2"/>
                  <w:vAlign w:val="center"/>
                </w:tcPr>
                <w:p w14:paraId="6463043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生产过程</w:t>
                  </w:r>
                </w:p>
              </w:tc>
              <w:tc>
                <w:tcPr>
                  <w:tcW w:w="1417" w:type="dxa"/>
                  <w:vAlign w:val="center"/>
                </w:tcPr>
                <w:p w14:paraId="769B36C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颗粒物</w:t>
                  </w:r>
                </w:p>
                <w:p w14:paraId="7A42F6BE">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eastAsia="zh-CN"/>
                    </w:rPr>
                    <w:t>(</w:t>
                  </w:r>
                  <w:r>
                    <w:rPr>
                      <w:rFonts w:hint="default"/>
                      <w:color w:val="auto"/>
                      <w:highlight w:val="none"/>
                    </w:rPr>
                    <w:t>mg/m</w:t>
                  </w:r>
                  <w:r>
                    <w:rPr>
                      <w:rFonts w:hint="default"/>
                      <w:color w:val="auto"/>
                      <w:highlight w:val="none"/>
                      <w:vertAlign w:val="superscript"/>
                    </w:rPr>
                    <w:t>3</w:t>
                  </w:r>
                  <w:r>
                    <w:rPr>
                      <w:rFonts w:hint="eastAsia"/>
                      <w:color w:val="auto"/>
                      <w:highlight w:val="none"/>
                      <w:vertAlign w:val="superscript"/>
                      <w:lang w:eastAsia="zh-CN"/>
                    </w:rPr>
                    <w:t>)</w:t>
                  </w:r>
                </w:p>
              </w:tc>
              <w:tc>
                <w:tcPr>
                  <w:tcW w:w="1134" w:type="dxa"/>
                  <w:vAlign w:val="center"/>
                </w:tcPr>
                <w:p w14:paraId="04A82FE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NMHC</w:t>
                  </w:r>
                </w:p>
                <w:p w14:paraId="1B79C03C">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eastAsia="zh-CN"/>
                    </w:rPr>
                    <w:t>(</w:t>
                  </w:r>
                  <w:r>
                    <w:rPr>
                      <w:rFonts w:hint="default"/>
                      <w:color w:val="auto"/>
                      <w:highlight w:val="none"/>
                    </w:rPr>
                    <w:t>mg/m</w:t>
                  </w:r>
                  <w:r>
                    <w:rPr>
                      <w:rFonts w:hint="default"/>
                      <w:color w:val="auto"/>
                      <w:highlight w:val="none"/>
                      <w:vertAlign w:val="superscript"/>
                    </w:rPr>
                    <w:t>3</w:t>
                  </w:r>
                  <w:r>
                    <w:rPr>
                      <w:rFonts w:hint="eastAsia"/>
                      <w:color w:val="auto"/>
                      <w:highlight w:val="none"/>
                      <w:vertAlign w:val="superscript"/>
                      <w:lang w:eastAsia="zh-CN"/>
                    </w:rPr>
                    <w:t>)</w:t>
                  </w:r>
                </w:p>
              </w:tc>
              <w:tc>
                <w:tcPr>
                  <w:tcW w:w="2567" w:type="dxa"/>
                  <w:vAlign w:val="center"/>
                </w:tcPr>
                <w:p w14:paraId="0C6E1C5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污染物排放监测位置</w:t>
                  </w:r>
                </w:p>
              </w:tc>
            </w:tr>
            <w:tr w14:paraId="06A7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2" w:type="dxa"/>
                  <w:vAlign w:val="center"/>
                </w:tcPr>
                <w:p w14:paraId="3BD038E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金属熔炼（化）</w:t>
                  </w:r>
                </w:p>
              </w:tc>
              <w:tc>
                <w:tcPr>
                  <w:tcW w:w="1254" w:type="dxa"/>
                  <w:vAlign w:val="center"/>
                </w:tcPr>
                <w:p w14:paraId="0E83164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感应电炉</w:t>
                  </w:r>
                </w:p>
              </w:tc>
              <w:tc>
                <w:tcPr>
                  <w:tcW w:w="1417" w:type="dxa"/>
                  <w:vAlign w:val="center"/>
                </w:tcPr>
                <w:p w14:paraId="5B674F5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30</w:t>
                  </w:r>
                </w:p>
              </w:tc>
              <w:tc>
                <w:tcPr>
                  <w:tcW w:w="1134" w:type="dxa"/>
                  <w:vAlign w:val="center"/>
                </w:tcPr>
                <w:p w14:paraId="591B6ED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2567" w:type="dxa"/>
                  <w:vMerge w:val="restart"/>
                  <w:vAlign w:val="center"/>
                </w:tcPr>
                <w:p w14:paraId="2D999A0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车间或生产设施排气筒</w:t>
                  </w:r>
                </w:p>
              </w:tc>
            </w:tr>
            <w:tr w14:paraId="4178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2" w:type="dxa"/>
                  <w:vAlign w:val="center"/>
                </w:tcPr>
                <w:p w14:paraId="44357F4B">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浇注</w:t>
                  </w:r>
                </w:p>
              </w:tc>
              <w:tc>
                <w:tcPr>
                  <w:tcW w:w="1254" w:type="dxa"/>
                  <w:vAlign w:val="center"/>
                </w:tcPr>
                <w:p w14:paraId="292C249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浇注区</w:t>
                  </w:r>
                </w:p>
              </w:tc>
              <w:tc>
                <w:tcPr>
                  <w:tcW w:w="1417" w:type="dxa"/>
                  <w:vAlign w:val="center"/>
                </w:tcPr>
                <w:p w14:paraId="66999503">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30</w:t>
                  </w:r>
                </w:p>
              </w:tc>
              <w:tc>
                <w:tcPr>
                  <w:tcW w:w="1134" w:type="dxa"/>
                  <w:vAlign w:val="center"/>
                </w:tcPr>
                <w:p w14:paraId="451625E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2567" w:type="dxa"/>
                  <w:vMerge w:val="continue"/>
                  <w:vAlign w:val="center"/>
                </w:tcPr>
                <w:p w14:paraId="16906041">
                  <w:pPr>
                    <w:pStyle w:val="86"/>
                    <w:keepNext w:val="0"/>
                    <w:keepLines w:val="0"/>
                    <w:suppressLineNumbers w:val="0"/>
                    <w:bidi w:val="0"/>
                    <w:spacing w:before="0" w:beforeAutospacing="0" w:after="0" w:afterAutospacing="0"/>
                    <w:ind w:left="0" w:right="0"/>
                    <w:rPr>
                      <w:rFonts w:hint="default"/>
                      <w:color w:val="auto"/>
                      <w:highlight w:val="none"/>
                    </w:rPr>
                  </w:pPr>
                </w:p>
              </w:tc>
            </w:tr>
            <w:tr w14:paraId="2071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2" w:type="dxa"/>
                  <w:vAlign w:val="center"/>
                </w:tcPr>
                <w:p w14:paraId="462CE6C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落砂、清理</w:t>
                  </w:r>
                </w:p>
              </w:tc>
              <w:tc>
                <w:tcPr>
                  <w:tcW w:w="1254" w:type="dxa"/>
                  <w:vAlign w:val="center"/>
                </w:tcPr>
                <w:p w14:paraId="0DD4CF3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抛丸机</w:t>
                  </w:r>
                </w:p>
              </w:tc>
              <w:tc>
                <w:tcPr>
                  <w:tcW w:w="1417" w:type="dxa"/>
                  <w:vAlign w:val="center"/>
                </w:tcPr>
                <w:p w14:paraId="422B8F7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30</w:t>
                  </w:r>
                </w:p>
              </w:tc>
              <w:tc>
                <w:tcPr>
                  <w:tcW w:w="1134" w:type="dxa"/>
                  <w:vAlign w:val="center"/>
                </w:tcPr>
                <w:p w14:paraId="7221FCD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2567" w:type="dxa"/>
                  <w:vMerge w:val="continue"/>
                  <w:vAlign w:val="center"/>
                </w:tcPr>
                <w:p w14:paraId="1236C3F1">
                  <w:pPr>
                    <w:pStyle w:val="86"/>
                    <w:keepNext w:val="0"/>
                    <w:keepLines w:val="0"/>
                    <w:suppressLineNumbers w:val="0"/>
                    <w:bidi w:val="0"/>
                    <w:spacing w:before="0" w:beforeAutospacing="0" w:after="0" w:afterAutospacing="0"/>
                    <w:ind w:left="0" w:right="0"/>
                    <w:rPr>
                      <w:rFonts w:hint="default"/>
                      <w:color w:val="auto"/>
                      <w:highlight w:val="none"/>
                    </w:rPr>
                  </w:pPr>
                </w:p>
              </w:tc>
            </w:tr>
          </w:tbl>
          <w:p w14:paraId="36C3BB11">
            <w:pPr>
              <w:pStyle w:val="86"/>
              <w:keepNext w:val="0"/>
              <w:keepLines w:val="0"/>
              <w:suppressLineNumbers w:val="0"/>
              <w:bidi w:val="0"/>
              <w:spacing w:before="0" w:beforeAutospacing="0" w:after="0" w:afterAutospacing="0"/>
              <w:ind w:left="0" w:right="0"/>
              <w:rPr>
                <w:rFonts w:hint="default"/>
                <w:color w:val="auto"/>
                <w:highlight w:val="none"/>
              </w:rPr>
            </w:pPr>
          </w:p>
          <w:p w14:paraId="18AD841D">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表3.3-2</w:t>
            </w:r>
            <w:r>
              <w:rPr>
                <w:rFonts w:hint="eastAsia"/>
                <w:color w:val="auto"/>
                <w:sz w:val="26"/>
                <w:szCs w:val="26"/>
                <w:highlight w:val="none"/>
                <w:lang w:val="en-US" w:eastAsia="zh-CN"/>
              </w:rPr>
              <w:t xml:space="preserve"> </w:t>
            </w:r>
            <w:r>
              <w:rPr>
                <w:rFonts w:hint="default"/>
                <w:color w:val="auto"/>
                <w:sz w:val="26"/>
                <w:szCs w:val="26"/>
                <w:highlight w:val="none"/>
              </w:rPr>
              <w:t>《铸造工业大气污染物排放标准》（GB39726-2020）无组织排放限值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639"/>
              <w:gridCol w:w="3276"/>
              <w:gridCol w:w="2475"/>
            </w:tblGrid>
            <w:tr w14:paraId="0C0A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dxa"/>
                  <w:vAlign w:val="center"/>
                </w:tcPr>
                <w:p w14:paraId="510C4B3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污染物项目</w:t>
                  </w:r>
                </w:p>
              </w:tc>
              <w:tc>
                <w:tcPr>
                  <w:tcW w:w="1637" w:type="dxa"/>
                  <w:vAlign w:val="center"/>
                </w:tcPr>
                <w:p w14:paraId="79275D4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排放限值（mg/m</w:t>
                  </w:r>
                  <w:r>
                    <w:rPr>
                      <w:rFonts w:hint="default"/>
                      <w:color w:val="auto"/>
                      <w:highlight w:val="none"/>
                      <w:vertAlign w:val="superscript"/>
                    </w:rPr>
                    <w:t>3</w:t>
                  </w:r>
                  <w:r>
                    <w:rPr>
                      <w:rFonts w:hint="default"/>
                      <w:color w:val="auto"/>
                      <w:highlight w:val="none"/>
                    </w:rPr>
                    <w:t>）</w:t>
                  </w:r>
                </w:p>
              </w:tc>
              <w:tc>
                <w:tcPr>
                  <w:tcW w:w="3272" w:type="dxa"/>
                  <w:vAlign w:val="center"/>
                </w:tcPr>
                <w:p w14:paraId="5CA4F0B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限制含义</w:t>
                  </w:r>
                </w:p>
              </w:tc>
              <w:tc>
                <w:tcPr>
                  <w:tcW w:w="2472" w:type="dxa"/>
                  <w:vAlign w:val="center"/>
                </w:tcPr>
                <w:p w14:paraId="717E86B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无组织排放监控限值</w:t>
                  </w:r>
                </w:p>
              </w:tc>
            </w:tr>
            <w:tr w14:paraId="3B4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dxa"/>
                  <w:vAlign w:val="center"/>
                </w:tcPr>
                <w:p w14:paraId="02737EE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颗粒物</w:t>
                  </w:r>
                </w:p>
              </w:tc>
              <w:tc>
                <w:tcPr>
                  <w:tcW w:w="1637" w:type="dxa"/>
                  <w:vAlign w:val="center"/>
                </w:tcPr>
                <w:p w14:paraId="4E927EA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w:t>
                  </w:r>
                </w:p>
              </w:tc>
              <w:tc>
                <w:tcPr>
                  <w:tcW w:w="3272" w:type="dxa"/>
                  <w:vAlign w:val="center"/>
                </w:tcPr>
                <w:p w14:paraId="225019B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监控点处1h平均浓度值</w:t>
                  </w:r>
                </w:p>
              </w:tc>
              <w:tc>
                <w:tcPr>
                  <w:tcW w:w="2472" w:type="dxa"/>
                  <w:vMerge w:val="restart"/>
                  <w:vAlign w:val="center"/>
                </w:tcPr>
                <w:p w14:paraId="2246137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在厂房外设置监控点</w:t>
                  </w:r>
                </w:p>
              </w:tc>
            </w:tr>
            <w:tr w14:paraId="1032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dxa"/>
                  <w:vMerge w:val="restart"/>
                  <w:vAlign w:val="center"/>
                </w:tcPr>
                <w:p w14:paraId="18C9078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NMHC</w:t>
                  </w:r>
                </w:p>
              </w:tc>
              <w:tc>
                <w:tcPr>
                  <w:tcW w:w="1637" w:type="dxa"/>
                  <w:vAlign w:val="center"/>
                </w:tcPr>
                <w:p w14:paraId="25B0715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10</w:t>
                  </w:r>
                </w:p>
              </w:tc>
              <w:tc>
                <w:tcPr>
                  <w:tcW w:w="3272" w:type="dxa"/>
                  <w:vAlign w:val="center"/>
                </w:tcPr>
                <w:p w14:paraId="5C65065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监控点处1h平均浓度值</w:t>
                  </w:r>
                </w:p>
              </w:tc>
              <w:tc>
                <w:tcPr>
                  <w:tcW w:w="2472" w:type="dxa"/>
                  <w:vMerge w:val="continue"/>
                  <w:vAlign w:val="center"/>
                </w:tcPr>
                <w:p w14:paraId="55A25115">
                  <w:pPr>
                    <w:pStyle w:val="86"/>
                    <w:keepNext w:val="0"/>
                    <w:keepLines w:val="0"/>
                    <w:suppressLineNumbers w:val="0"/>
                    <w:bidi w:val="0"/>
                    <w:spacing w:before="0" w:beforeAutospacing="0" w:after="0" w:afterAutospacing="0"/>
                    <w:ind w:left="0" w:right="0"/>
                    <w:rPr>
                      <w:rFonts w:hint="default"/>
                      <w:color w:val="auto"/>
                      <w:highlight w:val="none"/>
                    </w:rPr>
                  </w:pPr>
                </w:p>
              </w:tc>
            </w:tr>
            <w:tr w14:paraId="2D1D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12" w:type="dxa"/>
                  <w:vMerge w:val="continue"/>
                  <w:vAlign w:val="center"/>
                </w:tcPr>
                <w:p w14:paraId="3300B5F3">
                  <w:pPr>
                    <w:pStyle w:val="86"/>
                    <w:keepNext w:val="0"/>
                    <w:keepLines w:val="0"/>
                    <w:suppressLineNumbers w:val="0"/>
                    <w:bidi w:val="0"/>
                    <w:spacing w:before="0" w:beforeAutospacing="0" w:after="0" w:afterAutospacing="0"/>
                    <w:ind w:left="0" w:right="0"/>
                    <w:rPr>
                      <w:rFonts w:hint="default"/>
                      <w:color w:val="auto"/>
                      <w:highlight w:val="none"/>
                    </w:rPr>
                  </w:pPr>
                </w:p>
              </w:tc>
              <w:tc>
                <w:tcPr>
                  <w:tcW w:w="1637" w:type="dxa"/>
                  <w:vAlign w:val="center"/>
                </w:tcPr>
                <w:p w14:paraId="45570A8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30</w:t>
                  </w:r>
                </w:p>
              </w:tc>
              <w:tc>
                <w:tcPr>
                  <w:tcW w:w="3272" w:type="dxa"/>
                  <w:vAlign w:val="center"/>
                </w:tcPr>
                <w:p w14:paraId="7DBB057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监控点处任意一次浓度值</w:t>
                  </w:r>
                </w:p>
              </w:tc>
              <w:tc>
                <w:tcPr>
                  <w:tcW w:w="2472" w:type="dxa"/>
                  <w:vMerge w:val="continue"/>
                  <w:vAlign w:val="center"/>
                </w:tcPr>
                <w:p w14:paraId="2E90A82F">
                  <w:pPr>
                    <w:pStyle w:val="86"/>
                    <w:keepNext w:val="0"/>
                    <w:keepLines w:val="0"/>
                    <w:suppressLineNumbers w:val="0"/>
                    <w:bidi w:val="0"/>
                    <w:spacing w:before="0" w:beforeAutospacing="0" w:after="0" w:afterAutospacing="0"/>
                    <w:ind w:left="0" w:right="0"/>
                    <w:rPr>
                      <w:rFonts w:hint="default"/>
                      <w:color w:val="auto"/>
                      <w:highlight w:val="none"/>
                    </w:rPr>
                  </w:pPr>
                </w:p>
              </w:tc>
            </w:tr>
          </w:tbl>
          <w:p w14:paraId="10E4CA9B">
            <w:pPr>
              <w:pStyle w:val="86"/>
              <w:keepNext w:val="0"/>
              <w:keepLines w:val="0"/>
              <w:suppressLineNumbers w:val="0"/>
              <w:bidi w:val="0"/>
              <w:spacing w:before="0" w:beforeAutospacing="0" w:after="0" w:afterAutospacing="0"/>
              <w:ind w:left="0" w:right="0"/>
              <w:rPr>
                <w:rFonts w:hint="default"/>
                <w:color w:val="auto"/>
                <w:highlight w:val="none"/>
              </w:rPr>
            </w:pPr>
          </w:p>
          <w:p w14:paraId="065C93B0">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表3.3-3  《大气污染物综合排放标准》（DB 50/418-2016）</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1321"/>
              <w:gridCol w:w="2430"/>
              <w:gridCol w:w="1419"/>
              <w:gridCol w:w="1916"/>
            </w:tblGrid>
            <w:tr w14:paraId="36E4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2" w:type="dxa"/>
                  <w:vMerge w:val="restart"/>
                  <w:vAlign w:val="center"/>
                </w:tcPr>
                <w:p w14:paraId="605F025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污染物</w:t>
                  </w:r>
                </w:p>
              </w:tc>
              <w:tc>
                <w:tcPr>
                  <w:tcW w:w="4436" w:type="dxa"/>
                  <w:gridSpan w:val="3"/>
                  <w:vAlign w:val="center"/>
                </w:tcPr>
                <w:p w14:paraId="4574319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有组织排放监控浓度限值</w:t>
                  </w:r>
                </w:p>
              </w:tc>
              <w:tc>
                <w:tcPr>
                  <w:tcW w:w="1676" w:type="dxa"/>
                  <w:vMerge w:val="restart"/>
                  <w:vAlign w:val="center"/>
                </w:tcPr>
                <w:p w14:paraId="74E121F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无组织排放监控浓度限值浓度（mg/m</w:t>
                  </w:r>
                  <w:r>
                    <w:rPr>
                      <w:rFonts w:hint="default"/>
                      <w:color w:val="auto"/>
                      <w:highlight w:val="none"/>
                      <w:vertAlign w:val="superscript"/>
                    </w:rPr>
                    <w:t>3</w:t>
                  </w:r>
                  <w:r>
                    <w:rPr>
                      <w:rFonts w:hint="default"/>
                      <w:color w:val="auto"/>
                      <w:highlight w:val="none"/>
                    </w:rPr>
                    <w:t>）</w:t>
                  </w:r>
                </w:p>
              </w:tc>
            </w:tr>
            <w:tr w14:paraId="2BE4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2" w:type="dxa"/>
                  <w:vMerge w:val="continue"/>
                  <w:vAlign w:val="center"/>
                </w:tcPr>
                <w:p w14:paraId="03618E0A">
                  <w:pPr>
                    <w:pStyle w:val="86"/>
                    <w:keepNext w:val="0"/>
                    <w:keepLines w:val="0"/>
                    <w:suppressLineNumbers w:val="0"/>
                    <w:bidi w:val="0"/>
                    <w:spacing w:before="0" w:beforeAutospacing="0" w:after="0" w:afterAutospacing="0"/>
                    <w:ind w:left="0" w:right="0"/>
                    <w:rPr>
                      <w:rFonts w:hint="default"/>
                      <w:color w:val="auto"/>
                      <w:highlight w:val="none"/>
                    </w:rPr>
                  </w:pPr>
                </w:p>
              </w:tc>
              <w:tc>
                <w:tcPr>
                  <w:tcW w:w="1155" w:type="dxa"/>
                  <w:vAlign w:val="center"/>
                </w:tcPr>
                <w:p w14:paraId="3F8E641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排气筒高度（m）</w:t>
                  </w:r>
                </w:p>
              </w:tc>
              <w:tc>
                <w:tcPr>
                  <w:tcW w:w="2125" w:type="dxa"/>
                  <w:vAlign w:val="center"/>
                </w:tcPr>
                <w:p w14:paraId="2982A26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最高允许排放速率（kg/h）</w:t>
                  </w:r>
                </w:p>
              </w:tc>
              <w:tc>
                <w:tcPr>
                  <w:tcW w:w="1156" w:type="dxa"/>
                  <w:vAlign w:val="center"/>
                </w:tcPr>
                <w:p w14:paraId="6B19738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浓度（mg/m</w:t>
                  </w:r>
                  <w:r>
                    <w:rPr>
                      <w:rFonts w:hint="default"/>
                      <w:color w:val="auto"/>
                      <w:highlight w:val="none"/>
                      <w:vertAlign w:val="superscript"/>
                    </w:rPr>
                    <w:t>3</w:t>
                  </w:r>
                  <w:r>
                    <w:rPr>
                      <w:rFonts w:hint="default"/>
                      <w:color w:val="auto"/>
                      <w:highlight w:val="none"/>
                    </w:rPr>
                    <w:t>）</w:t>
                  </w:r>
                </w:p>
              </w:tc>
              <w:tc>
                <w:tcPr>
                  <w:tcW w:w="1676" w:type="dxa"/>
                  <w:vMerge w:val="continue"/>
                  <w:vAlign w:val="center"/>
                </w:tcPr>
                <w:p w14:paraId="653B394F">
                  <w:pPr>
                    <w:pStyle w:val="86"/>
                    <w:keepNext w:val="0"/>
                    <w:keepLines w:val="0"/>
                    <w:suppressLineNumbers w:val="0"/>
                    <w:bidi w:val="0"/>
                    <w:spacing w:before="0" w:beforeAutospacing="0" w:after="0" w:afterAutospacing="0"/>
                    <w:ind w:left="0" w:right="0"/>
                    <w:rPr>
                      <w:rFonts w:hint="default"/>
                      <w:color w:val="auto"/>
                      <w:highlight w:val="none"/>
                    </w:rPr>
                  </w:pPr>
                </w:p>
              </w:tc>
            </w:tr>
            <w:tr w14:paraId="47CA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2" w:type="dxa"/>
                  <w:vAlign w:val="center"/>
                </w:tcPr>
                <w:p w14:paraId="30B020EE">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氯化氢</w:t>
                  </w:r>
                </w:p>
              </w:tc>
              <w:tc>
                <w:tcPr>
                  <w:tcW w:w="1155" w:type="dxa"/>
                  <w:vAlign w:val="center"/>
                </w:tcPr>
                <w:p w14:paraId="6E0B7735">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15</w:t>
                  </w:r>
                </w:p>
              </w:tc>
              <w:tc>
                <w:tcPr>
                  <w:tcW w:w="2125" w:type="dxa"/>
                  <w:vAlign w:val="center"/>
                </w:tcPr>
                <w:p w14:paraId="7E5B569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0.26</w:t>
                  </w:r>
                </w:p>
              </w:tc>
              <w:tc>
                <w:tcPr>
                  <w:tcW w:w="1156" w:type="dxa"/>
                  <w:vAlign w:val="center"/>
                </w:tcPr>
                <w:p w14:paraId="7404B3B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100</w:t>
                  </w:r>
                </w:p>
              </w:tc>
              <w:tc>
                <w:tcPr>
                  <w:tcW w:w="1676" w:type="dxa"/>
                  <w:vAlign w:val="center"/>
                </w:tcPr>
                <w:p w14:paraId="0B03CB6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0.2</w:t>
                  </w:r>
                </w:p>
              </w:tc>
            </w:tr>
            <w:tr w14:paraId="485D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2" w:type="dxa"/>
                  <w:vAlign w:val="center"/>
                </w:tcPr>
                <w:p w14:paraId="41299E5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其他颗粒物</w:t>
                  </w:r>
                </w:p>
              </w:tc>
              <w:tc>
                <w:tcPr>
                  <w:tcW w:w="1155" w:type="dxa"/>
                  <w:vAlign w:val="center"/>
                </w:tcPr>
                <w:p w14:paraId="30404E0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15</w:t>
                  </w:r>
                </w:p>
              </w:tc>
              <w:tc>
                <w:tcPr>
                  <w:tcW w:w="2125" w:type="dxa"/>
                  <w:vAlign w:val="center"/>
                </w:tcPr>
                <w:p w14:paraId="5017B87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3.5</w:t>
                  </w:r>
                </w:p>
              </w:tc>
              <w:tc>
                <w:tcPr>
                  <w:tcW w:w="1156" w:type="dxa"/>
                  <w:vAlign w:val="center"/>
                </w:tcPr>
                <w:p w14:paraId="2BC1ED7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120</w:t>
                  </w:r>
                </w:p>
              </w:tc>
              <w:tc>
                <w:tcPr>
                  <w:tcW w:w="1676" w:type="dxa"/>
                  <w:vAlign w:val="center"/>
                </w:tcPr>
                <w:p w14:paraId="7CB0C9D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1.0</w:t>
                  </w:r>
                </w:p>
              </w:tc>
            </w:tr>
            <w:tr w14:paraId="04DF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2" w:type="dxa"/>
                  <w:vAlign w:val="center"/>
                </w:tcPr>
                <w:p w14:paraId="1E3B9D6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非甲烷总烃</w:t>
                  </w:r>
                </w:p>
              </w:tc>
              <w:tc>
                <w:tcPr>
                  <w:tcW w:w="1155" w:type="dxa"/>
                  <w:vAlign w:val="center"/>
                </w:tcPr>
                <w:p w14:paraId="15CD829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15</w:t>
                  </w:r>
                </w:p>
              </w:tc>
              <w:tc>
                <w:tcPr>
                  <w:tcW w:w="2125" w:type="dxa"/>
                  <w:vAlign w:val="center"/>
                </w:tcPr>
                <w:p w14:paraId="6CDE111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10</w:t>
                  </w:r>
                </w:p>
              </w:tc>
              <w:tc>
                <w:tcPr>
                  <w:tcW w:w="1156" w:type="dxa"/>
                  <w:vAlign w:val="center"/>
                </w:tcPr>
                <w:p w14:paraId="6BB1F98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120</w:t>
                  </w:r>
                </w:p>
              </w:tc>
              <w:tc>
                <w:tcPr>
                  <w:tcW w:w="1676" w:type="dxa"/>
                  <w:vAlign w:val="center"/>
                </w:tcPr>
                <w:p w14:paraId="6AB1564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4.0</w:t>
                  </w:r>
                </w:p>
              </w:tc>
            </w:tr>
          </w:tbl>
          <w:p w14:paraId="250AC59B">
            <w:pPr>
              <w:pStyle w:val="86"/>
              <w:keepNext w:val="0"/>
              <w:keepLines w:val="0"/>
              <w:suppressLineNumbers w:val="0"/>
              <w:bidi w:val="0"/>
              <w:spacing w:before="0" w:beforeAutospacing="0" w:after="0" w:afterAutospacing="0"/>
              <w:ind w:left="0" w:right="0"/>
              <w:rPr>
                <w:rFonts w:hint="default"/>
                <w:color w:val="auto"/>
                <w:highlight w:val="none"/>
              </w:rPr>
            </w:pPr>
          </w:p>
          <w:p w14:paraId="332E1D2D">
            <w:pPr>
              <w:pStyle w:val="86"/>
              <w:keepNext w:val="0"/>
              <w:keepLines w:val="0"/>
              <w:suppressLineNumbers w:val="0"/>
              <w:bidi w:val="0"/>
              <w:spacing w:before="0" w:beforeAutospacing="0" w:after="0" w:afterAutospacing="0"/>
              <w:ind w:left="0" w:right="0"/>
              <w:rPr>
                <w:rFonts w:hint="eastAsia"/>
                <w:color w:val="auto"/>
                <w:sz w:val="26"/>
                <w:szCs w:val="26"/>
                <w:highlight w:val="none"/>
                <w:lang w:eastAsia="zh-CN"/>
              </w:rPr>
            </w:pPr>
            <w:r>
              <w:rPr>
                <w:rFonts w:hint="default"/>
                <w:color w:val="auto"/>
                <w:sz w:val="26"/>
                <w:szCs w:val="26"/>
                <w:highlight w:val="none"/>
              </w:rPr>
              <w:t xml:space="preserve">表3.3-4 </w:t>
            </w:r>
            <w:r>
              <w:rPr>
                <w:rFonts w:hint="eastAsia"/>
                <w:color w:val="auto"/>
                <w:sz w:val="26"/>
                <w:szCs w:val="26"/>
                <w:highlight w:val="none"/>
                <w:lang w:val="en-US" w:eastAsia="zh-CN"/>
              </w:rPr>
              <w:t xml:space="preserve">  </w:t>
            </w:r>
            <w:r>
              <w:rPr>
                <w:rFonts w:hint="eastAsia"/>
                <w:color w:val="auto"/>
                <w:sz w:val="26"/>
                <w:szCs w:val="26"/>
                <w:highlight w:val="none"/>
                <w:lang w:eastAsia="zh-CN"/>
              </w:rPr>
              <w:t xml:space="preserve"> 橡胶制品工业大气污染物排放标准</w:t>
            </w:r>
          </w:p>
          <w:tbl>
            <w:tblPr>
              <w:tblStyle w:val="75"/>
              <w:tblW w:w="5000" w:type="pct"/>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00"/>
              <w:gridCol w:w="3243"/>
              <w:gridCol w:w="1347"/>
              <w:gridCol w:w="1212"/>
              <w:gridCol w:w="1607"/>
            </w:tblGrid>
            <w:tr w14:paraId="5904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26" w:type="dxa"/>
                  <w:tcBorders>
                    <w:tl2br w:val="nil"/>
                    <w:tr2bl w:val="nil"/>
                  </w:tcBorders>
                  <w:vAlign w:val="center"/>
                </w:tcPr>
                <w:p w14:paraId="65AD6731">
                  <w:pPr>
                    <w:pStyle w:val="86"/>
                    <w:autoSpaceDE w:val="0"/>
                    <w:autoSpaceDN w:val="0"/>
                    <w:bidi w:val="0"/>
                    <w:rPr>
                      <w:color w:val="auto"/>
                      <w:highlight w:val="none"/>
                    </w:rPr>
                  </w:pPr>
                  <w:r>
                    <w:rPr>
                      <w:color w:val="auto"/>
                      <w:highlight w:val="none"/>
                    </w:rPr>
                    <w:t>污染物</w:t>
                  </w:r>
                </w:p>
              </w:tc>
              <w:tc>
                <w:tcPr>
                  <w:tcW w:w="3109" w:type="dxa"/>
                  <w:tcBorders>
                    <w:tl2br w:val="nil"/>
                    <w:tr2bl w:val="nil"/>
                  </w:tcBorders>
                  <w:vAlign w:val="center"/>
                </w:tcPr>
                <w:p w14:paraId="1D47D853">
                  <w:pPr>
                    <w:pStyle w:val="86"/>
                    <w:autoSpaceDE w:val="0"/>
                    <w:autoSpaceDN w:val="0"/>
                    <w:bidi w:val="0"/>
                    <w:rPr>
                      <w:color w:val="auto"/>
                      <w:highlight w:val="none"/>
                    </w:rPr>
                  </w:pPr>
                  <w:r>
                    <w:rPr>
                      <w:color w:val="auto"/>
                      <w:highlight w:val="none"/>
                    </w:rPr>
                    <w:t>生产工艺或设施</w:t>
                  </w:r>
                </w:p>
              </w:tc>
              <w:tc>
                <w:tcPr>
                  <w:tcW w:w="1291" w:type="dxa"/>
                  <w:tcBorders>
                    <w:tl2br w:val="nil"/>
                    <w:tr2bl w:val="nil"/>
                  </w:tcBorders>
                  <w:vAlign w:val="center"/>
                </w:tcPr>
                <w:p w14:paraId="4B6264C7">
                  <w:pPr>
                    <w:pStyle w:val="86"/>
                    <w:autoSpaceDE w:val="0"/>
                    <w:autoSpaceDN w:val="0"/>
                    <w:bidi w:val="0"/>
                    <w:rPr>
                      <w:color w:val="auto"/>
                      <w:highlight w:val="none"/>
                    </w:rPr>
                  </w:pPr>
                  <w:r>
                    <w:rPr>
                      <w:color w:val="auto"/>
                      <w:highlight w:val="none"/>
                    </w:rPr>
                    <w:t>排放限值</w:t>
                  </w:r>
                </w:p>
                <w:p w14:paraId="726E480C">
                  <w:pPr>
                    <w:pStyle w:val="86"/>
                    <w:autoSpaceDE w:val="0"/>
                    <w:autoSpaceDN w:val="0"/>
                    <w:bidi w:val="0"/>
                    <w:rPr>
                      <w:color w:val="auto"/>
                      <w:highlight w:val="none"/>
                    </w:rPr>
                  </w:pPr>
                  <w:r>
                    <w:rPr>
                      <w:rFonts w:hint="eastAsia"/>
                      <w:color w:val="auto"/>
                      <w:highlight w:val="none"/>
                      <w:lang w:eastAsia="zh-CN"/>
                    </w:rPr>
                    <w:t>(</w:t>
                  </w:r>
                  <w:r>
                    <w:rPr>
                      <w:color w:val="auto"/>
                      <w:highlight w:val="none"/>
                    </w:rPr>
                    <w:t>mg/m</w:t>
                  </w:r>
                  <w:r>
                    <w:rPr>
                      <w:color w:val="auto"/>
                      <w:highlight w:val="none"/>
                      <w:vertAlign w:val="superscript"/>
                    </w:rPr>
                    <w:t>3</w:t>
                  </w:r>
                  <w:r>
                    <w:rPr>
                      <w:rFonts w:hint="eastAsia"/>
                      <w:color w:val="auto"/>
                      <w:highlight w:val="none"/>
                      <w:vertAlign w:val="superscript"/>
                      <w:lang w:eastAsia="zh-CN"/>
                    </w:rPr>
                    <w:t>)</w:t>
                  </w:r>
                </w:p>
              </w:tc>
              <w:tc>
                <w:tcPr>
                  <w:tcW w:w="1162" w:type="dxa"/>
                  <w:tcBorders>
                    <w:tl2br w:val="nil"/>
                    <w:tr2bl w:val="nil"/>
                  </w:tcBorders>
                  <w:vAlign w:val="center"/>
                </w:tcPr>
                <w:p w14:paraId="18FB9C37">
                  <w:pPr>
                    <w:pStyle w:val="86"/>
                    <w:autoSpaceDE w:val="0"/>
                    <w:autoSpaceDN w:val="0"/>
                    <w:bidi w:val="0"/>
                    <w:rPr>
                      <w:color w:val="auto"/>
                      <w:highlight w:val="none"/>
                    </w:rPr>
                  </w:pPr>
                  <w:r>
                    <w:rPr>
                      <w:color w:val="auto"/>
                      <w:highlight w:val="none"/>
                    </w:rPr>
                    <w:t>基准排气量</w:t>
                  </w:r>
                </w:p>
                <w:p w14:paraId="42E23FEF">
                  <w:pPr>
                    <w:pStyle w:val="86"/>
                    <w:autoSpaceDE w:val="0"/>
                    <w:autoSpaceDN w:val="0"/>
                    <w:bidi w:val="0"/>
                    <w:rPr>
                      <w:color w:val="auto"/>
                      <w:highlight w:val="none"/>
                    </w:rPr>
                  </w:pPr>
                  <w:r>
                    <w:rPr>
                      <w:color w:val="auto"/>
                      <w:highlight w:val="none"/>
                    </w:rPr>
                    <w:t>（m</w:t>
                  </w:r>
                  <w:r>
                    <w:rPr>
                      <w:color w:val="auto"/>
                      <w:highlight w:val="none"/>
                      <w:vertAlign w:val="superscript"/>
                    </w:rPr>
                    <w:t>3</w:t>
                  </w:r>
                  <w:r>
                    <w:rPr>
                      <w:color w:val="auto"/>
                      <w:highlight w:val="none"/>
                    </w:rPr>
                    <w:t>/t胶）</w:t>
                  </w:r>
                </w:p>
              </w:tc>
              <w:tc>
                <w:tcPr>
                  <w:tcW w:w="1541" w:type="dxa"/>
                  <w:tcBorders>
                    <w:tl2br w:val="nil"/>
                    <w:tr2bl w:val="nil"/>
                  </w:tcBorders>
                  <w:vAlign w:val="center"/>
                </w:tcPr>
                <w:p w14:paraId="4D00936C">
                  <w:pPr>
                    <w:pStyle w:val="86"/>
                    <w:autoSpaceDE w:val="0"/>
                    <w:autoSpaceDN w:val="0"/>
                    <w:bidi w:val="0"/>
                    <w:rPr>
                      <w:color w:val="auto"/>
                      <w:highlight w:val="none"/>
                    </w:rPr>
                  </w:pPr>
                  <w:r>
                    <w:rPr>
                      <w:color w:val="auto"/>
                      <w:highlight w:val="none"/>
                    </w:rPr>
                    <w:t>污染物排放监控位置</w:t>
                  </w:r>
                </w:p>
              </w:tc>
            </w:tr>
            <w:tr w14:paraId="481F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26" w:type="dxa"/>
                  <w:tcBorders>
                    <w:tl2br w:val="nil"/>
                    <w:tr2bl w:val="nil"/>
                  </w:tcBorders>
                  <w:vAlign w:val="center"/>
                </w:tcPr>
                <w:p w14:paraId="1122B102">
                  <w:pPr>
                    <w:pStyle w:val="86"/>
                    <w:autoSpaceDE w:val="0"/>
                    <w:autoSpaceDN w:val="0"/>
                    <w:bidi w:val="0"/>
                    <w:rPr>
                      <w:color w:val="auto"/>
                      <w:highlight w:val="none"/>
                    </w:rPr>
                  </w:pPr>
                  <w:r>
                    <w:rPr>
                      <w:color w:val="auto"/>
                      <w:highlight w:val="none"/>
                    </w:rPr>
                    <w:t>颗粒物</w:t>
                  </w:r>
                </w:p>
              </w:tc>
              <w:tc>
                <w:tcPr>
                  <w:tcW w:w="3109" w:type="dxa"/>
                  <w:tcBorders>
                    <w:tl2br w:val="nil"/>
                    <w:tr2bl w:val="nil"/>
                  </w:tcBorders>
                  <w:vAlign w:val="center"/>
                </w:tcPr>
                <w:p w14:paraId="71B7106D">
                  <w:pPr>
                    <w:pStyle w:val="86"/>
                    <w:autoSpaceDE w:val="0"/>
                    <w:autoSpaceDN w:val="0"/>
                    <w:bidi w:val="0"/>
                    <w:rPr>
                      <w:color w:val="auto"/>
                      <w:highlight w:val="none"/>
                    </w:rPr>
                  </w:pPr>
                  <w:r>
                    <w:rPr>
                      <w:color w:val="auto"/>
                      <w:highlight w:val="none"/>
                    </w:rPr>
                    <w:t>轮胎企业及其他制品企业炼胶</w:t>
                  </w:r>
                </w:p>
                <w:p w14:paraId="097F6FFE">
                  <w:pPr>
                    <w:pStyle w:val="86"/>
                    <w:autoSpaceDE w:val="0"/>
                    <w:autoSpaceDN w:val="0"/>
                    <w:bidi w:val="0"/>
                    <w:rPr>
                      <w:color w:val="auto"/>
                      <w:highlight w:val="none"/>
                    </w:rPr>
                  </w:pPr>
                  <w:r>
                    <w:rPr>
                      <w:color w:val="auto"/>
                      <w:highlight w:val="none"/>
                    </w:rPr>
                    <w:t>装置</w:t>
                  </w:r>
                </w:p>
              </w:tc>
              <w:tc>
                <w:tcPr>
                  <w:tcW w:w="1291" w:type="dxa"/>
                  <w:tcBorders>
                    <w:tl2br w:val="nil"/>
                    <w:tr2bl w:val="nil"/>
                  </w:tcBorders>
                  <w:vAlign w:val="center"/>
                </w:tcPr>
                <w:p w14:paraId="28D2449B">
                  <w:pPr>
                    <w:pStyle w:val="86"/>
                    <w:autoSpaceDE w:val="0"/>
                    <w:autoSpaceDN w:val="0"/>
                    <w:bidi w:val="0"/>
                    <w:rPr>
                      <w:color w:val="auto"/>
                      <w:highlight w:val="none"/>
                    </w:rPr>
                  </w:pPr>
                  <w:r>
                    <w:rPr>
                      <w:color w:val="auto"/>
                      <w:highlight w:val="none"/>
                    </w:rPr>
                    <w:t>12</w:t>
                  </w:r>
                </w:p>
              </w:tc>
              <w:tc>
                <w:tcPr>
                  <w:tcW w:w="1162" w:type="dxa"/>
                  <w:tcBorders>
                    <w:tl2br w:val="nil"/>
                    <w:tr2bl w:val="nil"/>
                  </w:tcBorders>
                  <w:vAlign w:val="center"/>
                </w:tcPr>
                <w:p w14:paraId="1F93236C">
                  <w:pPr>
                    <w:pStyle w:val="86"/>
                    <w:autoSpaceDE w:val="0"/>
                    <w:autoSpaceDN w:val="0"/>
                    <w:bidi w:val="0"/>
                    <w:rPr>
                      <w:color w:val="auto"/>
                      <w:highlight w:val="none"/>
                    </w:rPr>
                  </w:pPr>
                  <w:r>
                    <w:rPr>
                      <w:color w:val="auto"/>
                      <w:highlight w:val="none"/>
                    </w:rPr>
                    <w:t>2000</w:t>
                  </w:r>
                </w:p>
              </w:tc>
              <w:tc>
                <w:tcPr>
                  <w:tcW w:w="1541" w:type="dxa"/>
                  <w:vMerge w:val="restart"/>
                  <w:tcBorders>
                    <w:tl2br w:val="nil"/>
                    <w:tr2bl w:val="nil"/>
                  </w:tcBorders>
                  <w:vAlign w:val="center"/>
                </w:tcPr>
                <w:p w14:paraId="01EADA59">
                  <w:pPr>
                    <w:pStyle w:val="86"/>
                    <w:autoSpaceDE w:val="0"/>
                    <w:autoSpaceDN w:val="0"/>
                    <w:bidi w:val="0"/>
                    <w:rPr>
                      <w:color w:val="auto"/>
                      <w:highlight w:val="none"/>
                    </w:rPr>
                  </w:pPr>
                  <w:r>
                    <w:rPr>
                      <w:color w:val="auto"/>
                      <w:highlight w:val="none"/>
                    </w:rPr>
                    <w:t>车间或生产设</w:t>
                  </w:r>
                </w:p>
                <w:p w14:paraId="207D4E22">
                  <w:pPr>
                    <w:pStyle w:val="86"/>
                    <w:autoSpaceDE w:val="0"/>
                    <w:autoSpaceDN w:val="0"/>
                    <w:bidi w:val="0"/>
                    <w:rPr>
                      <w:color w:val="auto"/>
                      <w:highlight w:val="none"/>
                    </w:rPr>
                  </w:pPr>
                  <w:r>
                    <w:rPr>
                      <w:color w:val="auto"/>
                      <w:highlight w:val="none"/>
                    </w:rPr>
                    <w:t>施排气筒</w:t>
                  </w:r>
                </w:p>
              </w:tc>
            </w:tr>
            <w:tr w14:paraId="0D64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26" w:type="dxa"/>
                  <w:tcBorders>
                    <w:tl2br w:val="nil"/>
                    <w:tr2bl w:val="nil"/>
                  </w:tcBorders>
                  <w:vAlign w:val="center"/>
                </w:tcPr>
                <w:p w14:paraId="277AC5B8">
                  <w:pPr>
                    <w:pStyle w:val="86"/>
                    <w:autoSpaceDE w:val="0"/>
                    <w:autoSpaceDN w:val="0"/>
                    <w:bidi w:val="0"/>
                    <w:rPr>
                      <w:color w:val="auto"/>
                      <w:highlight w:val="none"/>
                    </w:rPr>
                  </w:pPr>
                  <w:r>
                    <w:rPr>
                      <w:color w:val="auto"/>
                      <w:highlight w:val="none"/>
                    </w:rPr>
                    <w:t>非甲烷总烃</w:t>
                  </w:r>
                </w:p>
              </w:tc>
              <w:tc>
                <w:tcPr>
                  <w:tcW w:w="3109" w:type="dxa"/>
                  <w:tcBorders>
                    <w:tl2br w:val="nil"/>
                    <w:tr2bl w:val="nil"/>
                  </w:tcBorders>
                  <w:vAlign w:val="center"/>
                </w:tcPr>
                <w:p w14:paraId="125DE6E6">
                  <w:pPr>
                    <w:pStyle w:val="86"/>
                    <w:autoSpaceDE w:val="0"/>
                    <w:autoSpaceDN w:val="0"/>
                    <w:bidi w:val="0"/>
                    <w:rPr>
                      <w:color w:val="auto"/>
                      <w:highlight w:val="none"/>
                    </w:rPr>
                  </w:pPr>
                  <w:r>
                    <w:rPr>
                      <w:color w:val="auto"/>
                      <w:highlight w:val="none"/>
                    </w:rPr>
                    <w:t>轮胎企业及其他制品企业炼胶、</w:t>
                  </w:r>
                </w:p>
                <w:p w14:paraId="3CF24B71">
                  <w:pPr>
                    <w:pStyle w:val="86"/>
                    <w:autoSpaceDE w:val="0"/>
                    <w:autoSpaceDN w:val="0"/>
                    <w:bidi w:val="0"/>
                    <w:rPr>
                      <w:color w:val="auto"/>
                      <w:highlight w:val="none"/>
                    </w:rPr>
                  </w:pPr>
                  <w:r>
                    <w:rPr>
                      <w:color w:val="auto"/>
                      <w:highlight w:val="none"/>
                    </w:rPr>
                    <w:t>硫化装置</w:t>
                  </w:r>
                </w:p>
              </w:tc>
              <w:tc>
                <w:tcPr>
                  <w:tcW w:w="1291" w:type="dxa"/>
                  <w:tcBorders>
                    <w:tl2br w:val="nil"/>
                    <w:tr2bl w:val="nil"/>
                  </w:tcBorders>
                  <w:vAlign w:val="center"/>
                </w:tcPr>
                <w:p w14:paraId="0FE719F5">
                  <w:pPr>
                    <w:pStyle w:val="86"/>
                    <w:autoSpaceDE w:val="0"/>
                    <w:autoSpaceDN w:val="0"/>
                    <w:bidi w:val="0"/>
                    <w:rPr>
                      <w:color w:val="auto"/>
                      <w:highlight w:val="none"/>
                    </w:rPr>
                  </w:pPr>
                  <w:r>
                    <w:rPr>
                      <w:color w:val="auto"/>
                      <w:highlight w:val="none"/>
                    </w:rPr>
                    <w:t>10</w:t>
                  </w:r>
                </w:p>
              </w:tc>
              <w:tc>
                <w:tcPr>
                  <w:tcW w:w="1162" w:type="dxa"/>
                  <w:tcBorders>
                    <w:tl2br w:val="nil"/>
                    <w:tr2bl w:val="nil"/>
                  </w:tcBorders>
                  <w:vAlign w:val="center"/>
                </w:tcPr>
                <w:p w14:paraId="66330304">
                  <w:pPr>
                    <w:pStyle w:val="86"/>
                    <w:autoSpaceDE w:val="0"/>
                    <w:autoSpaceDN w:val="0"/>
                    <w:bidi w:val="0"/>
                    <w:rPr>
                      <w:color w:val="auto"/>
                      <w:highlight w:val="none"/>
                    </w:rPr>
                  </w:pPr>
                  <w:r>
                    <w:rPr>
                      <w:color w:val="auto"/>
                      <w:highlight w:val="none"/>
                    </w:rPr>
                    <w:t>2000</w:t>
                  </w:r>
                </w:p>
              </w:tc>
              <w:tc>
                <w:tcPr>
                  <w:tcW w:w="1541" w:type="dxa"/>
                  <w:vMerge w:val="continue"/>
                  <w:tcBorders>
                    <w:tl2br w:val="nil"/>
                    <w:tr2bl w:val="nil"/>
                  </w:tcBorders>
                  <w:vAlign w:val="center"/>
                </w:tcPr>
                <w:p w14:paraId="7DBE1656">
                  <w:pPr>
                    <w:pStyle w:val="86"/>
                    <w:autoSpaceDE w:val="0"/>
                    <w:autoSpaceDN w:val="0"/>
                    <w:bidi w:val="0"/>
                    <w:rPr>
                      <w:color w:val="auto"/>
                      <w:highlight w:val="none"/>
                    </w:rPr>
                  </w:pPr>
                </w:p>
              </w:tc>
            </w:tr>
            <w:tr w14:paraId="3E924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26" w:type="dxa"/>
                  <w:tcBorders>
                    <w:tl2br w:val="nil"/>
                    <w:tr2bl w:val="nil"/>
                  </w:tcBorders>
                  <w:vAlign w:val="center"/>
                </w:tcPr>
                <w:p w14:paraId="2D54B616">
                  <w:pPr>
                    <w:pStyle w:val="86"/>
                    <w:autoSpaceDE w:val="0"/>
                    <w:autoSpaceDN w:val="0"/>
                    <w:bidi w:val="0"/>
                    <w:rPr>
                      <w:color w:val="auto"/>
                      <w:highlight w:val="none"/>
                    </w:rPr>
                  </w:pPr>
                  <w:r>
                    <w:rPr>
                      <w:color w:val="auto"/>
                      <w:highlight w:val="none"/>
                    </w:rPr>
                    <w:t>备注</w:t>
                  </w:r>
                </w:p>
              </w:tc>
              <w:tc>
                <w:tcPr>
                  <w:tcW w:w="7103" w:type="dxa"/>
                  <w:gridSpan w:val="4"/>
                  <w:tcBorders>
                    <w:tl2br w:val="nil"/>
                    <w:tr2bl w:val="nil"/>
                  </w:tcBorders>
                  <w:vAlign w:val="center"/>
                </w:tcPr>
                <w:p w14:paraId="061662EF">
                  <w:pPr>
                    <w:pStyle w:val="86"/>
                    <w:autoSpaceDE w:val="0"/>
                    <w:autoSpaceDN w:val="0"/>
                    <w:bidi w:val="0"/>
                    <w:rPr>
                      <w:color w:val="auto"/>
                      <w:highlight w:val="none"/>
                    </w:rPr>
                  </w:pPr>
                  <w:r>
                    <w:rPr>
                      <w:color w:val="auto"/>
                      <w:highlight w:val="none"/>
                    </w:rPr>
                    <w:t>《橡胶制品工业污染物排放标准》（GB27632-2011）中新建企业大气污染物排放标准限值</w:t>
                  </w:r>
                </w:p>
              </w:tc>
            </w:tr>
          </w:tbl>
          <w:p w14:paraId="7B49432D">
            <w:pPr>
              <w:pStyle w:val="86"/>
              <w:keepNext w:val="0"/>
              <w:keepLines w:val="0"/>
              <w:suppressLineNumbers w:val="0"/>
              <w:bidi w:val="0"/>
              <w:spacing w:before="0" w:beforeAutospacing="0" w:after="0" w:afterAutospacing="0"/>
              <w:ind w:left="0" w:right="0"/>
              <w:rPr>
                <w:rFonts w:hint="eastAsia"/>
                <w:color w:val="auto"/>
                <w:highlight w:val="none"/>
                <w:lang w:eastAsia="zh-CN"/>
              </w:rPr>
            </w:pPr>
          </w:p>
          <w:p w14:paraId="6DD4EBD8">
            <w:pPr>
              <w:pStyle w:val="86"/>
              <w:keepNext w:val="0"/>
              <w:keepLines w:val="0"/>
              <w:suppressLineNumbers w:val="0"/>
              <w:bidi w:val="0"/>
              <w:spacing w:before="0" w:beforeAutospacing="0" w:after="0" w:afterAutospacing="0"/>
              <w:ind w:left="0" w:right="0"/>
              <w:rPr>
                <w:rFonts w:hint="eastAsia"/>
                <w:color w:val="auto"/>
                <w:sz w:val="26"/>
                <w:szCs w:val="26"/>
                <w:highlight w:val="none"/>
                <w:lang w:val="en-US" w:eastAsia="zh-CN"/>
              </w:rPr>
            </w:pPr>
            <w:r>
              <w:rPr>
                <w:rFonts w:hint="default"/>
                <w:color w:val="auto"/>
                <w:sz w:val="26"/>
                <w:szCs w:val="26"/>
                <w:highlight w:val="none"/>
              </w:rPr>
              <w:t>表3.3-</w:t>
            </w:r>
            <w:r>
              <w:rPr>
                <w:rFonts w:hint="eastAsia"/>
                <w:color w:val="auto"/>
                <w:sz w:val="26"/>
                <w:szCs w:val="26"/>
                <w:highlight w:val="none"/>
                <w:lang w:val="en-US" w:eastAsia="zh-CN"/>
              </w:rPr>
              <w:t>5   恶臭污染物排放标准</w:t>
            </w:r>
          </w:p>
          <w:tbl>
            <w:tblPr>
              <w:tblStyle w:val="7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39"/>
              <w:gridCol w:w="2132"/>
              <w:gridCol w:w="2315"/>
              <w:gridCol w:w="2919"/>
            </w:tblGrid>
            <w:tr w14:paraId="1025B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99" w:type="pct"/>
                  <w:tcBorders>
                    <w:tl2br w:val="nil"/>
                    <w:tr2bl w:val="nil"/>
                  </w:tcBorders>
                  <w:vAlign w:val="center"/>
                </w:tcPr>
                <w:p w14:paraId="380A20DB">
                  <w:pPr>
                    <w:pStyle w:val="86"/>
                    <w:autoSpaceDE w:val="0"/>
                    <w:autoSpaceDN w:val="0"/>
                    <w:bidi w:val="0"/>
                    <w:rPr>
                      <w:color w:val="auto"/>
                      <w:highlight w:val="none"/>
                    </w:rPr>
                  </w:pPr>
                  <w:r>
                    <w:rPr>
                      <w:color w:val="auto"/>
                      <w:highlight w:val="none"/>
                    </w:rPr>
                    <w:t>污染物</w:t>
                  </w:r>
                </w:p>
              </w:tc>
              <w:tc>
                <w:tcPr>
                  <w:tcW w:w="1158" w:type="pct"/>
                  <w:tcBorders>
                    <w:tl2br w:val="nil"/>
                    <w:tr2bl w:val="nil"/>
                  </w:tcBorders>
                  <w:vAlign w:val="center"/>
                </w:tcPr>
                <w:p w14:paraId="60743038">
                  <w:pPr>
                    <w:pStyle w:val="86"/>
                    <w:autoSpaceDE w:val="0"/>
                    <w:autoSpaceDN w:val="0"/>
                    <w:bidi w:val="0"/>
                    <w:rPr>
                      <w:color w:val="auto"/>
                      <w:highlight w:val="none"/>
                    </w:rPr>
                  </w:pPr>
                  <w:r>
                    <w:rPr>
                      <w:color w:val="auto"/>
                      <w:highlight w:val="none"/>
                    </w:rPr>
                    <w:t>排气筒高度（m）</w:t>
                  </w:r>
                </w:p>
              </w:tc>
              <w:tc>
                <w:tcPr>
                  <w:tcW w:w="1257" w:type="pct"/>
                  <w:tcBorders>
                    <w:tl2br w:val="nil"/>
                    <w:tr2bl w:val="nil"/>
                  </w:tcBorders>
                  <w:vAlign w:val="center"/>
                </w:tcPr>
                <w:p w14:paraId="4EC1DFCB">
                  <w:pPr>
                    <w:pStyle w:val="86"/>
                    <w:autoSpaceDE w:val="0"/>
                    <w:autoSpaceDN w:val="0"/>
                    <w:bidi w:val="0"/>
                    <w:rPr>
                      <w:color w:val="auto"/>
                      <w:highlight w:val="none"/>
                    </w:rPr>
                  </w:pPr>
                  <w:r>
                    <w:rPr>
                      <w:color w:val="auto"/>
                      <w:highlight w:val="none"/>
                    </w:rPr>
                    <w:t>标准值（kg/h）</w:t>
                  </w:r>
                </w:p>
              </w:tc>
              <w:tc>
                <w:tcPr>
                  <w:tcW w:w="1585" w:type="pct"/>
                  <w:tcBorders>
                    <w:tl2br w:val="nil"/>
                    <w:tr2bl w:val="nil"/>
                  </w:tcBorders>
                  <w:vAlign w:val="center"/>
                </w:tcPr>
                <w:p w14:paraId="3D00A998">
                  <w:pPr>
                    <w:pStyle w:val="86"/>
                    <w:autoSpaceDE w:val="0"/>
                    <w:autoSpaceDN w:val="0"/>
                    <w:bidi w:val="0"/>
                    <w:rPr>
                      <w:color w:val="auto"/>
                      <w:highlight w:val="none"/>
                    </w:rPr>
                  </w:pPr>
                  <w:r>
                    <w:rPr>
                      <w:color w:val="auto"/>
                      <w:highlight w:val="none"/>
                    </w:rPr>
                    <w:t>厂界无组织排放下风向浓度</w:t>
                  </w:r>
                </w:p>
                <w:p w14:paraId="263F93C6">
                  <w:pPr>
                    <w:pStyle w:val="86"/>
                    <w:autoSpaceDE w:val="0"/>
                    <w:autoSpaceDN w:val="0"/>
                    <w:bidi w:val="0"/>
                    <w:rPr>
                      <w:color w:val="auto"/>
                      <w:highlight w:val="none"/>
                    </w:rPr>
                  </w:pPr>
                  <w:r>
                    <w:rPr>
                      <w:color w:val="auto"/>
                      <w:highlight w:val="none"/>
                    </w:rPr>
                    <w:t>限值（mg/m</w:t>
                  </w:r>
                  <w:r>
                    <w:rPr>
                      <w:color w:val="auto"/>
                      <w:highlight w:val="none"/>
                      <w:vertAlign w:val="superscript"/>
                    </w:rPr>
                    <w:t>3</w:t>
                  </w:r>
                  <w:r>
                    <w:rPr>
                      <w:color w:val="auto"/>
                      <w:highlight w:val="none"/>
                    </w:rPr>
                    <w:t>）</w:t>
                  </w:r>
                </w:p>
              </w:tc>
            </w:tr>
            <w:tr w14:paraId="1B0E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99" w:type="pct"/>
                  <w:tcBorders>
                    <w:tl2br w:val="nil"/>
                    <w:tr2bl w:val="nil"/>
                  </w:tcBorders>
                  <w:vAlign w:val="center"/>
                </w:tcPr>
                <w:p w14:paraId="22CB43EC">
                  <w:pPr>
                    <w:pStyle w:val="86"/>
                    <w:autoSpaceDE w:val="0"/>
                    <w:autoSpaceDN w:val="0"/>
                    <w:bidi w:val="0"/>
                    <w:rPr>
                      <w:color w:val="auto"/>
                      <w:highlight w:val="none"/>
                    </w:rPr>
                  </w:pPr>
                  <w:r>
                    <w:rPr>
                      <w:color w:val="auto"/>
                      <w:highlight w:val="none"/>
                    </w:rPr>
                    <w:t>臭气浓度</w:t>
                  </w:r>
                </w:p>
              </w:tc>
              <w:tc>
                <w:tcPr>
                  <w:tcW w:w="1158" w:type="pct"/>
                  <w:tcBorders>
                    <w:tl2br w:val="nil"/>
                    <w:tr2bl w:val="nil"/>
                  </w:tcBorders>
                  <w:vAlign w:val="center"/>
                </w:tcPr>
                <w:p w14:paraId="36906329">
                  <w:pPr>
                    <w:pStyle w:val="86"/>
                    <w:autoSpaceDE w:val="0"/>
                    <w:autoSpaceDN w:val="0"/>
                    <w:bidi w:val="0"/>
                    <w:rPr>
                      <w:color w:val="auto"/>
                      <w:highlight w:val="none"/>
                    </w:rPr>
                  </w:pPr>
                  <w:r>
                    <w:rPr>
                      <w:color w:val="auto"/>
                      <w:highlight w:val="none"/>
                    </w:rPr>
                    <w:t>15</w:t>
                  </w:r>
                </w:p>
              </w:tc>
              <w:tc>
                <w:tcPr>
                  <w:tcW w:w="1257" w:type="pct"/>
                  <w:tcBorders>
                    <w:tl2br w:val="nil"/>
                    <w:tr2bl w:val="nil"/>
                  </w:tcBorders>
                  <w:vAlign w:val="center"/>
                </w:tcPr>
                <w:p w14:paraId="1263D165">
                  <w:pPr>
                    <w:pStyle w:val="86"/>
                    <w:autoSpaceDE w:val="0"/>
                    <w:autoSpaceDN w:val="0"/>
                    <w:bidi w:val="0"/>
                    <w:rPr>
                      <w:color w:val="auto"/>
                      <w:highlight w:val="none"/>
                    </w:rPr>
                  </w:pPr>
                  <w:r>
                    <w:rPr>
                      <w:color w:val="auto"/>
                      <w:highlight w:val="none"/>
                    </w:rPr>
                    <w:t>2000（无量纲）</w:t>
                  </w:r>
                </w:p>
              </w:tc>
              <w:tc>
                <w:tcPr>
                  <w:tcW w:w="1585" w:type="pct"/>
                  <w:tcBorders>
                    <w:tl2br w:val="nil"/>
                    <w:tr2bl w:val="nil"/>
                  </w:tcBorders>
                  <w:vAlign w:val="center"/>
                </w:tcPr>
                <w:p w14:paraId="6A985239">
                  <w:pPr>
                    <w:pStyle w:val="86"/>
                    <w:autoSpaceDE w:val="0"/>
                    <w:autoSpaceDN w:val="0"/>
                    <w:bidi w:val="0"/>
                    <w:rPr>
                      <w:color w:val="auto"/>
                      <w:highlight w:val="none"/>
                    </w:rPr>
                  </w:pPr>
                  <w:r>
                    <w:rPr>
                      <w:color w:val="auto"/>
                      <w:highlight w:val="none"/>
                    </w:rPr>
                    <w:t>20 （无量纲）</w:t>
                  </w:r>
                </w:p>
              </w:tc>
            </w:tr>
            <w:tr w14:paraId="6FEA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99" w:type="pct"/>
                  <w:tcBorders>
                    <w:tl2br w:val="nil"/>
                    <w:tr2bl w:val="nil"/>
                  </w:tcBorders>
                  <w:vAlign w:val="center"/>
                </w:tcPr>
                <w:p w14:paraId="59A673F6">
                  <w:pPr>
                    <w:pStyle w:val="86"/>
                    <w:autoSpaceDE w:val="0"/>
                    <w:autoSpaceDN w:val="0"/>
                    <w:bidi w:val="0"/>
                    <w:rPr>
                      <w:color w:val="auto"/>
                      <w:highlight w:val="none"/>
                    </w:rPr>
                  </w:pPr>
                  <w:r>
                    <w:rPr>
                      <w:color w:val="auto"/>
                      <w:highlight w:val="none"/>
                    </w:rPr>
                    <w:t>备注</w:t>
                  </w:r>
                </w:p>
              </w:tc>
              <w:tc>
                <w:tcPr>
                  <w:tcW w:w="4000" w:type="pct"/>
                  <w:gridSpan w:val="3"/>
                  <w:tcBorders>
                    <w:tl2br w:val="nil"/>
                    <w:tr2bl w:val="nil"/>
                  </w:tcBorders>
                  <w:vAlign w:val="center"/>
                </w:tcPr>
                <w:p w14:paraId="056E8109">
                  <w:pPr>
                    <w:pStyle w:val="86"/>
                    <w:autoSpaceDE w:val="0"/>
                    <w:autoSpaceDN w:val="0"/>
                    <w:bidi w:val="0"/>
                    <w:rPr>
                      <w:color w:val="auto"/>
                      <w:highlight w:val="none"/>
                    </w:rPr>
                  </w:pPr>
                  <w:r>
                    <w:rPr>
                      <w:color w:val="auto"/>
                      <w:highlight w:val="none"/>
                    </w:rPr>
                    <w:t>《恶臭污染物排放标准》（GB14554-93）二级标准</w:t>
                  </w:r>
                </w:p>
              </w:tc>
            </w:tr>
          </w:tbl>
          <w:p w14:paraId="1DD035DE">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p>
          <w:p w14:paraId="388B7AE0">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表3.3-</w:t>
            </w:r>
            <w:r>
              <w:rPr>
                <w:rFonts w:hint="eastAsia"/>
                <w:color w:val="auto"/>
                <w:sz w:val="26"/>
                <w:szCs w:val="26"/>
                <w:highlight w:val="none"/>
                <w:lang w:val="en-US" w:eastAsia="zh-CN"/>
              </w:rPr>
              <w:t xml:space="preserve">6   </w:t>
            </w:r>
            <w:r>
              <w:rPr>
                <w:rFonts w:hint="eastAsia"/>
                <w:color w:val="auto"/>
                <w:sz w:val="26"/>
                <w:szCs w:val="26"/>
                <w:highlight w:val="none"/>
              </w:rPr>
              <w:t>餐饮业大气污染物排放标准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6"/>
              <w:gridCol w:w="1796"/>
              <w:gridCol w:w="1934"/>
              <w:gridCol w:w="1774"/>
            </w:tblGrid>
            <w:tr w14:paraId="7C99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59F5BD9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规模</w:t>
                  </w:r>
                </w:p>
              </w:tc>
              <w:tc>
                <w:tcPr>
                  <w:tcW w:w="976" w:type="pct"/>
                  <w:vAlign w:val="center"/>
                </w:tcPr>
                <w:p w14:paraId="4377180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小  型</w:t>
                  </w:r>
                </w:p>
              </w:tc>
              <w:tc>
                <w:tcPr>
                  <w:tcW w:w="1051" w:type="pct"/>
                  <w:vAlign w:val="center"/>
                </w:tcPr>
                <w:p w14:paraId="4AE0C98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中  型</w:t>
                  </w:r>
                </w:p>
              </w:tc>
              <w:tc>
                <w:tcPr>
                  <w:tcW w:w="963" w:type="pct"/>
                  <w:vAlign w:val="center"/>
                </w:tcPr>
                <w:p w14:paraId="2C9F76B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大  型</w:t>
                  </w:r>
                </w:p>
              </w:tc>
            </w:tr>
            <w:tr w14:paraId="03A8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1931D37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基准灶头数</w:t>
                  </w:r>
                </w:p>
              </w:tc>
              <w:tc>
                <w:tcPr>
                  <w:tcW w:w="976" w:type="pct"/>
                  <w:vAlign w:val="center"/>
                </w:tcPr>
                <w:p w14:paraId="2789F37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r>
                    <w:rPr>
                      <w:rFonts w:hint="eastAsia"/>
                      <w:color w:val="auto"/>
                      <w:highlight w:val="none"/>
                      <w:lang w:eastAsia="zh-CN"/>
                    </w:rPr>
                    <w:t>,</w:t>
                  </w:r>
                  <w:r>
                    <w:rPr>
                      <w:rFonts w:hint="default"/>
                      <w:color w:val="auto"/>
                      <w:highlight w:val="none"/>
                    </w:rPr>
                    <w:t>&lt;3</w:t>
                  </w:r>
                </w:p>
              </w:tc>
              <w:tc>
                <w:tcPr>
                  <w:tcW w:w="1051" w:type="pct"/>
                  <w:vAlign w:val="center"/>
                </w:tcPr>
                <w:p w14:paraId="724DEC6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w:t>
                  </w:r>
                  <w:r>
                    <w:rPr>
                      <w:rFonts w:hint="eastAsia"/>
                      <w:color w:val="auto"/>
                      <w:highlight w:val="none"/>
                      <w:lang w:eastAsia="zh-CN"/>
                    </w:rPr>
                    <w:t>,</w:t>
                  </w:r>
                  <w:r>
                    <w:rPr>
                      <w:rFonts w:hint="default"/>
                      <w:color w:val="auto"/>
                      <w:highlight w:val="none"/>
                    </w:rPr>
                    <w:t>&lt;6</w:t>
                  </w:r>
                </w:p>
              </w:tc>
              <w:tc>
                <w:tcPr>
                  <w:tcW w:w="963" w:type="pct"/>
                  <w:vAlign w:val="center"/>
                </w:tcPr>
                <w:p w14:paraId="327312E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≥6</w:t>
                  </w:r>
                </w:p>
              </w:tc>
            </w:tr>
            <w:tr w14:paraId="180B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79558FA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对应灶头总功率</w:t>
                  </w:r>
                  <w:r>
                    <w:rPr>
                      <w:rFonts w:hint="eastAsia"/>
                      <w:color w:val="auto"/>
                      <w:highlight w:val="none"/>
                      <w:lang w:eastAsia="zh-CN"/>
                    </w:rPr>
                    <w:t>（</w:t>
                  </w:r>
                  <w:r>
                    <w:rPr>
                      <w:rFonts w:hint="default"/>
                      <w:color w:val="auto"/>
                      <w:highlight w:val="none"/>
                    </w:rPr>
                    <w:t>108J/h</w:t>
                  </w:r>
                  <w:r>
                    <w:rPr>
                      <w:rFonts w:hint="eastAsia"/>
                      <w:color w:val="auto"/>
                      <w:highlight w:val="none"/>
                      <w:lang w:eastAsia="zh-CN"/>
                    </w:rPr>
                    <w:t>）</w:t>
                  </w:r>
                </w:p>
              </w:tc>
              <w:tc>
                <w:tcPr>
                  <w:tcW w:w="976" w:type="pct"/>
                  <w:vAlign w:val="center"/>
                </w:tcPr>
                <w:p w14:paraId="627554A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≥1.67</w:t>
                  </w:r>
                  <w:r>
                    <w:rPr>
                      <w:rFonts w:hint="eastAsia"/>
                      <w:color w:val="auto"/>
                      <w:highlight w:val="none"/>
                      <w:lang w:eastAsia="zh-CN"/>
                    </w:rPr>
                    <w:t>,</w:t>
                  </w:r>
                  <w:r>
                    <w:rPr>
                      <w:rFonts w:hint="default"/>
                      <w:color w:val="auto"/>
                      <w:highlight w:val="none"/>
                    </w:rPr>
                    <w:t>&lt;5.00</w:t>
                  </w:r>
                </w:p>
              </w:tc>
              <w:tc>
                <w:tcPr>
                  <w:tcW w:w="1051" w:type="pct"/>
                  <w:vAlign w:val="center"/>
                </w:tcPr>
                <w:p w14:paraId="4A3E950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≥5.00</w:t>
                  </w:r>
                  <w:r>
                    <w:rPr>
                      <w:rFonts w:hint="eastAsia"/>
                      <w:color w:val="auto"/>
                      <w:highlight w:val="none"/>
                      <w:lang w:eastAsia="zh-CN"/>
                    </w:rPr>
                    <w:t>,</w:t>
                  </w:r>
                  <w:r>
                    <w:rPr>
                      <w:rFonts w:hint="default"/>
                      <w:color w:val="auto"/>
                      <w:highlight w:val="none"/>
                    </w:rPr>
                    <w:t>&lt;10</w:t>
                  </w:r>
                </w:p>
              </w:tc>
              <w:tc>
                <w:tcPr>
                  <w:tcW w:w="963" w:type="pct"/>
                  <w:vAlign w:val="center"/>
                </w:tcPr>
                <w:p w14:paraId="5DE7935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≥10</w:t>
                  </w:r>
                </w:p>
              </w:tc>
            </w:tr>
            <w:tr w14:paraId="0ED6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0A84FA2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对应排气罩面总投影面积</w:t>
                  </w:r>
                  <w:r>
                    <w:rPr>
                      <w:rFonts w:hint="eastAsia"/>
                      <w:color w:val="auto"/>
                      <w:highlight w:val="none"/>
                      <w:lang w:eastAsia="zh-CN"/>
                    </w:rPr>
                    <w:t>（</w:t>
                  </w:r>
                  <w:r>
                    <w:rPr>
                      <w:rFonts w:hint="default"/>
                      <w:color w:val="auto"/>
                      <w:highlight w:val="none"/>
                    </w:rPr>
                    <w:t>m²</w:t>
                  </w:r>
                  <w:r>
                    <w:rPr>
                      <w:rFonts w:hint="eastAsia"/>
                      <w:color w:val="auto"/>
                      <w:highlight w:val="none"/>
                      <w:lang w:eastAsia="zh-CN"/>
                    </w:rPr>
                    <w:t>）</w:t>
                  </w:r>
                </w:p>
              </w:tc>
              <w:tc>
                <w:tcPr>
                  <w:tcW w:w="976" w:type="pct"/>
                  <w:vAlign w:val="center"/>
                </w:tcPr>
                <w:p w14:paraId="2A7EA66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≥1.1</w:t>
                  </w:r>
                  <w:r>
                    <w:rPr>
                      <w:rFonts w:hint="eastAsia"/>
                      <w:color w:val="auto"/>
                      <w:highlight w:val="none"/>
                      <w:lang w:eastAsia="zh-CN"/>
                    </w:rPr>
                    <w:t>,</w:t>
                  </w:r>
                  <w:r>
                    <w:rPr>
                      <w:rFonts w:hint="default"/>
                      <w:color w:val="auto"/>
                      <w:highlight w:val="none"/>
                    </w:rPr>
                    <w:t>&lt;3.3</w:t>
                  </w:r>
                </w:p>
              </w:tc>
              <w:tc>
                <w:tcPr>
                  <w:tcW w:w="1051" w:type="pct"/>
                  <w:vAlign w:val="center"/>
                </w:tcPr>
                <w:p w14:paraId="57C39D2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≥3.3</w:t>
                  </w:r>
                  <w:r>
                    <w:rPr>
                      <w:rFonts w:hint="eastAsia"/>
                      <w:color w:val="auto"/>
                      <w:highlight w:val="none"/>
                      <w:lang w:eastAsia="zh-CN"/>
                    </w:rPr>
                    <w:t>,</w:t>
                  </w:r>
                  <w:r>
                    <w:rPr>
                      <w:rFonts w:hint="default"/>
                      <w:color w:val="auto"/>
                      <w:highlight w:val="none"/>
                    </w:rPr>
                    <w:t>&lt;6.6</w:t>
                  </w:r>
                </w:p>
              </w:tc>
              <w:tc>
                <w:tcPr>
                  <w:tcW w:w="963" w:type="pct"/>
                  <w:vAlign w:val="center"/>
                </w:tcPr>
                <w:p w14:paraId="066FECA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≥6.6</w:t>
                  </w:r>
                </w:p>
              </w:tc>
            </w:tr>
            <w:tr w14:paraId="0F9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5D66B48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经营场所使用面积</w:t>
                  </w:r>
                  <w:r>
                    <w:rPr>
                      <w:rFonts w:hint="eastAsia"/>
                      <w:color w:val="auto"/>
                      <w:highlight w:val="none"/>
                      <w:lang w:eastAsia="zh-CN"/>
                    </w:rPr>
                    <w:t>（</w:t>
                  </w:r>
                  <w:r>
                    <w:rPr>
                      <w:rFonts w:hint="default"/>
                      <w:color w:val="auto"/>
                      <w:highlight w:val="none"/>
                    </w:rPr>
                    <w:t>m²</w:t>
                  </w:r>
                  <w:r>
                    <w:rPr>
                      <w:rFonts w:hint="eastAsia"/>
                      <w:color w:val="auto"/>
                      <w:highlight w:val="none"/>
                      <w:lang w:eastAsia="zh-CN"/>
                    </w:rPr>
                    <w:t>）</w:t>
                  </w:r>
                </w:p>
              </w:tc>
              <w:tc>
                <w:tcPr>
                  <w:tcW w:w="976" w:type="pct"/>
                  <w:vAlign w:val="center"/>
                </w:tcPr>
                <w:p w14:paraId="4829A43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&lt;150</w:t>
                  </w:r>
                </w:p>
              </w:tc>
              <w:tc>
                <w:tcPr>
                  <w:tcW w:w="1051" w:type="pct"/>
                  <w:vAlign w:val="center"/>
                </w:tcPr>
                <w:p w14:paraId="008DE31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≥150</w:t>
                  </w:r>
                  <w:r>
                    <w:rPr>
                      <w:rFonts w:hint="eastAsia"/>
                      <w:color w:val="auto"/>
                      <w:highlight w:val="none"/>
                      <w:lang w:eastAsia="zh-CN"/>
                    </w:rPr>
                    <w:t>,</w:t>
                  </w:r>
                  <w:r>
                    <w:rPr>
                      <w:rFonts w:hint="default"/>
                      <w:color w:val="auto"/>
                      <w:highlight w:val="none"/>
                    </w:rPr>
                    <w:t>&lt;500</w:t>
                  </w:r>
                </w:p>
              </w:tc>
              <w:tc>
                <w:tcPr>
                  <w:tcW w:w="963" w:type="pct"/>
                  <w:vAlign w:val="center"/>
                </w:tcPr>
                <w:p w14:paraId="5E4EC98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≥500</w:t>
                  </w:r>
                </w:p>
              </w:tc>
            </w:tr>
            <w:tr w14:paraId="5E73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7F42E7C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就座餐位数</w:t>
                  </w:r>
                </w:p>
              </w:tc>
              <w:tc>
                <w:tcPr>
                  <w:tcW w:w="976" w:type="pct"/>
                  <w:vAlign w:val="center"/>
                </w:tcPr>
                <w:p w14:paraId="44C3BDA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&lt;75</w:t>
                  </w:r>
                </w:p>
              </w:tc>
              <w:tc>
                <w:tcPr>
                  <w:tcW w:w="1051" w:type="pct"/>
                  <w:vAlign w:val="center"/>
                </w:tcPr>
                <w:p w14:paraId="245068C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≥75</w:t>
                  </w:r>
                  <w:r>
                    <w:rPr>
                      <w:rFonts w:hint="eastAsia"/>
                      <w:color w:val="auto"/>
                      <w:highlight w:val="none"/>
                      <w:lang w:eastAsia="zh-CN"/>
                    </w:rPr>
                    <w:t>,</w:t>
                  </w:r>
                  <w:r>
                    <w:rPr>
                      <w:rFonts w:hint="default"/>
                      <w:color w:val="auto"/>
                      <w:highlight w:val="none"/>
                    </w:rPr>
                    <w:t>&lt;150</w:t>
                  </w:r>
                </w:p>
              </w:tc>
              <w:tc>
                <w:tcPr>
                  <w:tcW w:w="963" w:type="pct"/>
                  <w:vAlign w:val="center"/>
                </w:tcPr>
                <w:p w14:paraId="3BD1108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≥150</w:t>
                  </w:r>
                </w:p>
              </w:tc>
            </w:tr>
            <w:tr w14:paraId="3717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01A4176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规    模</w:t>
                  </w:r>
                </w:p>
              </w:tc>
              <w:tc>
                <w:tcPr>
                  <w:tcW w:w="976" w:type="pct"/>
                  <w:vAlign w:val="center"/>
                </w:tcPr>
                <w:p w14:paraId="0F21E77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小  型</w:t>
                  </w:r>
                </w:p>
              </w:tc>
              <w:tc>
                <w:tcPr>
                  <w:tcW w:w="1051" w:type="pct"/>
                  <w:vAlign w:val="center"/>
                </w:tcPr>
                <w:p w14:paraId="22B88F8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中  型</w:t>
                  </w:r>
                </w:p>
              </w:tc>
              <w:tc>
                <w:tcPr>
                  <w:tcW w:w="963" w:type="pct"/>
                  <w:vAlign w:val="center"/>
                </w:tcPr>
                <w:p w14:paraId="1D67EDB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大  型</w:t>
                  </w:r>
                </w:p>
              </w:tc>
            </w:tr>
            <w:tr w14:paraId="1F23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24E36AE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油烟最高允许排放浓度</w:t>
                  </w:r>
                  <w:r>
                    <w:rPr>
                      <w:rFonts w:hint="eastAsia"/>
                      <w:color w:val="auto"/>
                      <w:highlight w:val="none"/>
                      <w:lang w:eastAsia="zh-CN"/>
                    </w:rPr>
                    <w:t>（</w:t>
                  </w:r>
                  <w:r>
                    <w:rPr>
                      <w:rFonts w:hint="default"/>
                      <w:color w:val="auto"/>
                      <w:highlight w:val="none"/>
                    </w:rPr>
                    <w:t>mg/m</w:t>
                  </w:r>
                  <w:r>
                    <w:rPr>
                      <w:rFonts w:hint="default"/>
                      <w:color w:val="auto"/>
                      <w:highlight w:val="none"/>
                      <w:vertAlign w:val="superscript"/>
                    </w:rPr>
                    <w:t>3</w:t>
                  </w:r>
                  <w:r>
                    <w:rPr>
                      <w:rFonts w:hint="eastAsia"/>
                      <w:color w:val="auto"/>
                      <w:highlight w:val="none"/>
                      <w:vertAlign w:val="superscript"/>
                      <w:lang w:eastAsia="zh-CN"/>
                    </w:rPr>
                    <w:t>）</w:t>
                  </w:r>
                </w:p>
              </w:tc>
              <w:tc>
                <w:tcPr>
                  <w:tcW w:w="2991" w:type="pct"/>
                  <w:gridSpan w:val="3"/>
                  <w:vAlign w:val="center"/>
                </w:tcPr>
                <w:p w14:paraId="4389F90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1.0</w:t>
                  </w:r>
                </w:p>
              </w:tc>
            </w:tr>
            <w:tr w14:paraId="7214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399E21A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油烟净化设施最低去除效率</w:t>
                  </w:r>
                  <w:r>
                    <w:rPr>
                      <w:rFonts w:hint="eastAsia"/>
                      <w:color w:val="auto"/>
                      <w:highlight w:val="none"/>
                      <w:lang w:eastAsia="zh-CN"/>
                    </w:rPr>
                    <w:t>（</w:t>
                  </w:r>
                  <w:r>
                    <w:rPr>
                      <w:rFonts w:hint="default"/>
                      <w:color w:val="auto"/>
                      <w:highlight w:val="none"/>
                    </w:rPr>
                    <w:t>%</w:t>
                  </w:r>
                  <w:r>
                    <w:rPr>
                      <w:rFonts w:hint="eastAsia"/>
                      <w:color w:val="auto"/>
                      <w:highlight w:val="none"/>
                      <w:lang w:eastAsia="zh-CN"/>
                    </w:rPr>
                    <w:t>）</w:t>
                  </w:r>
                </w:p>
              </w:tc>
              <w:tc>
                <w:tcPr>
                  <w:tcW w:w="976" w:type="pct"/>
                  <w:vAlign w:val="center"/>
                </w:tcPr>
                <w:p w14:paraId="027F0F3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≥90</w:t>
                  </w:r>
                </w:p>
              </w:tc>
              <w:tc>
                <w:tcPr>
                  <w:tcW w:w="1051" w:type="pct"/>
                  <w:vAlign w:val="center"/>
                </w:tcPr>
                <w:p w14:paraId="5F77863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≥90</w:t>
                  </w:r>
                </w:p>
              </w:tc>
              <w:tc>
                <w:tcPr>
                  <w:tcW w:w="963" w:type="pct"/>
                  <w:vAlign w:val="center"/>
                </w:tcPr>
                <w:p w14:paraId="076613D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≥95</w:t>
                  </w:r>
                </w:p>
              </w:tc>
            </w:tr>
            <w:tr w14:paraId="69E1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15505DA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非甲烷最高允许排放浓度</w:t>
                  </w:r>
                  <w:r>
                    <w:rPr>
                      <w:rFonts w:hint="eastAsia"/>
                      <w:color w:val="auto"/>
                      <w:highlight w:val="none"/>
                      <w:lang w:eastAsia="zh-CN"/>
                    </w:rPr>
                    <w:t>（</w:t>
                  </w:r>
                  <w:r>
                    <w:rPr>
                      <w:rFonts w:hint="default"/>
                      <w:color w:val="auto"/>
                      <w:highlight w:val="none"/>
                    </w:rPr>
                    <w:t>mg/m</w:t>
                  </w:r>
                  <w:r>
                    <w:rPr>
                      <w:rFonts w:hint="default"/>
                      <w:color w:val="auto"/>
                      <w:highlight w:val="none"/>
                      <w:vertAlign w:val="superscript"/>
                    </w:rPr>
                    <w:t>3</w:t>
                  </w:r>
                  <w:r>
                    <w:rPr>
                      <w:rFonts w:hint="eastAsia"/>
                      <w:color w:val="auto"/>
                      <w:highlight w:val="none"/>
                      <w:vertAlign w:val="superscript"/>
                      <w:lang w:eastAsia="zh-CN"/>
                    </w:rPr>
                    <w:t>）</w:t>
                  </w:r>
                </w:p>
              </w:tc>
              <w:tc>
                <w:tcPr>
                  <w:tcW w:w="2991" w:type="pct"/>
                  <w:gridSpan w:val="3"/>
                  <w:vAlign w:val="center"/>
                </w:tcPr>
                <w:p w14:paraId="4724CD3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10</w:t>
                  </w:r>
                </w:p>
              </w:tc>
            </w:tr>
            <w:tr w14:paraId="5E75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08" w:type="pct"/>
                  <w:vAlign w:val="center"/>
                </w:tcPr>
                <w:p w14:paraId="11E1876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油烟净化设施最低去除效率</w:t>
                  </w:r>
                  <w:r>
                    <w:rPr>
                      <w:rFonts w:hint="eastAsia"/>
                      <w:color w:val="auto"/>
                      <w:highlight w:val="none"/>
                      <w:lang w:eastAsia="zh-CN"/>
                    </w:rPr>
                    <w:t>（</w:t>
                  </w:r>
                  <w:r>
                    <w:rPr>
                      <w:rFonts w:hint="default"/>
                      <w:color w:val="auto"/>
                      <w:highlight w:val="none"/>
                    </w:rPr>
                    <w:t>%</w:t>
                  </w:r>
                  <w:r>
                    <w:rPr>
                      <w:rFonts w:hint="eastAsia"/>
                      <w:color w:val="auto"/>
                      <w:highlight w:val="none"/>
                      <w:lang w:eastAsia="zh-CN"/>
                    </w:rPr>
                    <w:t>）</w:t>
                  </w:r>
                </w:p>
              </w:tc>
              <w:tc>
                <w:tcPr>
                  <w:tcW w:w="976" w:type="pct"/>
                  <w:vAlign w:val="center"/>
                </w:tcPr>
                <w:p w14:paraId="1414070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≥65</w:t>
                  </w:r>
                </w:p>
              </w:tc>
              <w:tc>
                <w:tcPr>
                  <w:tcW w:w="1051" w:type="pct"/>
                  <w:vAlign w:val="center"/>
                </w:tcPr>
                <w:p w14:paraId="5F5D9EF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≥75</w:t>
                  </w:r>
                </w:p>
              </w:tc>
              <w:tc>
                <w:tcPr>
                  <w:tcW w:w="963" w:type="pct"/>
                  <w:vAlign w:val="center"/>
                </w:tcPr>
                <w:p w14:paraId="25A8F96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≥85</w:t>
                  </w:r>
                </w:p>
              </w:tc>
            </w:tr>
          </w:tbl>
          <w:p w14:paraId="31D279BF">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right="0" w:firstLine="0" w:firstLineChars="0"/>
              <w:jc w:val="center"/>
              <w:textAlignment w:val="auto"/>
              <w:rPr>
                <w:rFonts w:hint="default"/>
                <w:color w:val="auto"/>
                <w:sz w:val="26"/>
                <w:szCs w:val="26"/>
                <w:highlight w:val="none"/>
                <w:lang w:val="en-US" w:eastAsia="zh-CN"/>
              </w:rPr>
            </w:pPr>
          </w:p>
          <w:p w14:paraId="49510C18">
            <w:pPr>
              <w:keepNext w:val="0"/>
              <w:keepLines w:val="0"/>
              <w:suppressLineNumbers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3.3.2</w:t>
            </w:r>
            <w:r>
              <w:rPr>
                <w:rFonts w:hint="eastAsia"/>
                <w:b/>
                <w:color w:val="auto"/>
                <w:sz w:val="26"/>
                <w:szCs w:val="26"/>
                <w:highlight w:val="none"/>
              </w:rPr>
              <w:t>水污染物</w:t>
            </w:r>
          </w:p>
          <w:p w14:paraId="72FC08DE">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本项目营运期废水主要来自离合器清洗废水、员工办公生活污水、地面清洁废水、餐饮废水、乙醇喷淋废水、空压机含油冷凝水、冷却废水、脱模废气治理除湿产生冷凝水。</w:t>
            </w:r>
          </w:p>
          <w:p w14:paraId="1172DB65">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根据《关于橡胶（轮胎）行业执行标准问题的复函》（环函〔2014〕244 号）要求：企业外排的废水量包括与生产有直接或间接关系的各种外排废水（包括厂区生活污水、</w:t>
            </w:r>
            <w:r>
              <w:rPr>
                <w:rFonts w:hint="eastAsia"/>
                <w:b w:val="0"/>
                <w:bCs w:val="0"/>
                <w:color w:val="auto"/>
                <w:highlight w:val="none"/>
                <w:lang w:val="en-US" w:eastAsia="zh-CN"/>
              </w:rPr>
              <w:t>冷却废水</w:t>
            </w:r>
            <w:r>
              <w:rPr>
                <w:rFonts w:hint="eastAsia"/>
                <w:color w:val="auto"/>
                <w:highlight w:val="none"/>
                <w:lang w:val="en-US" w:eastAsia="zh-CN"/>
              </w:rPr>
              <w:t>、厂区锅炉和电站排水等）。因此，本项目水污染物的间接排放执行《橡胶制品工业污染物排放标准》（GB27632-2011）的间接排放标准。其中，该标准无的“动植物油”执行《污水综合排放标准》（GB8978-1996）三级标准。</w:t>
            </w:r>
          </w:p>
          <w:p w14:paraId="50F099CC">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园区污水处理厂已建成，预计2026年1月正式投运</w:t>
            </w:r>
            <w:r>
              <w:rPr>
                <w:rFonts w:hint="eastAsia"/>
                <w:color w:val="auto"/>
                <w:highlight w:val="none"/>
              </w:rPr>
              <w:t>，</w:t>
            </w:r>
            <w:r>
              <w:rPr>
                <w:rFonts w:hint="eastAsia"/>
                <w:color w:val="auto"/>
                <w:highlight w:val="none"/>
                <w:lang w:val="en-US" w:eastAsia="zh-CN"/>
              </w:rPr>
              <w:t>近期，喷淋废水经一套生产废水处理设施（收集池+混凝沉淀+厌氧+好氧+MBR+紫外消毒）预处理，其他生产废水经酸碱中和+隔油预处理，而后一起由重庆宁态环保科技有限公司拉运并处置；近期的食堂餐饮废水进入隔油池预处理后餐饮废水与员工生活污水、综合楼地面清洁废水一同进入生化池处理达《橡胶制品工业污染物排放标准》（GB27632-2011）的间接排放标准后（“动植物油”执行《污水综合排放标准》（GB8978-1996）三级标准），接入旗能电铝污水处理站（接纳证明详见附件11）处理达标后回用，不外排。</w:t>
            </w:r>
          </w:p>
          <w:p w14:paraId="4D27FF8B">
            <w:pPr>
              <w:pStyle w:val="74"/>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远期，园区污水处理厂正式投运后，喷淋废水经一套生产废水处理设施（收集池+混凝沉淀+厌氧+好氧+MBR+紫外消毒）预处理，其他生产废水经酸碱中和+隔油预处理，而后一起经生产废水排放口排入园区污水处理厂；食堂含油废水一同隔油池处理后，而后同生活污水、综合楼地面清洁废水经生化池处理达参照执行的《橡胶制品工业污染物排放标准》（GB27632-2011）的间接排放标准（“动植物油”执行《污水综合排放标准》（GB8978-1996）三级标准）后，通过园区污水管网排入园区污水处理厂进一步</w:t>
            </w:r>
            <w:r>
              <w:rPr>
                <w:rFonts w:hint="eastAsia"/>
                <w:color w:val="auto"/>
                <w:highlight w:val="none"/>
              </w:rPr>
              <w:t>处理达《城镇污水处理厂污染物排放标准》（GB18918-2002）一级B标后排入綦江河。</w:t>
            </w:r>
          </w:p>
          <w:p w14:paraId="60274906">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标准值详见下表。</w:t>
            </w:r>
          </w:p>
          <w:p w14:paraId="1ECB350D">
            <w:pPr>
              <w:pStyle w:val="65"/>
              <w:keepNext w:val="0"/>
              <w:keepLines w:val="0"/>
              <w:suppressLineNumbers w:val="0"/>
              <w:spacing w:before="0" w:beforeAutospacing="0" w:after="0" w:afterAutospacing="0"/>
              <w:ind w:left="0" w:right="0"/>
              <w:rPr>
                <w:rFonts w:hint="default"/>
                <w:color w:val="auto"/>
                <w:highlight w:val="none"/>
              </w:rPr>
            </w:pPr>
          </w:p>
          <w:p w14:paraId="7D94E45E">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表3.3-</w:t>
            </w:r>
            <w:r>
              <w:rPr>
                <w:rFonts w:hint="eastAsia"/>
                <w:color w:val="auto"/>
                <w:sz w:val="26"/>
                <w:szCs w:val="26"/>
                <w:highlight w:val="none"/>
                <w:lang w:val="en-US" w:eastAsia="zh-CN"/>
              </w:rPr>
              <w:t>7</w:t>
            </w:r>
            <w:r>
              <w:rPr>
                <w:rFonts w:hint="default"/>
                <w:color w:val="auto"/>
                <w:sz w:val="26"/>
                <w:szCs w:val="26"/>
                <w:highlight w:val="none"/>
              </w:rPr>
              <w:t xml:space="preserve">     污水排放标准   单位：除pH外均为mg/L</w:t>
            </w:r>
          </w:p>
          <w:tbl>
            <w:tblPr>
              <w:tblStyle w:val="2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2280"/>
              <w:gridCol w:w="1272"/>
              <w:gridCol w:w="916"/>
              <w:gridCol w:w="918"/>
              <w:gridCol w:w="918"/>
              <w:gridCol w:w="918"/>
              <w:gridCol w:w="986"/>
              <w:gridCol w:w="987"/>
            </w:tblGrid>
            <w:tr w14:paraId="2F14D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239" w:type="pct"/>
                  <w:tcBorders>
                    <w:top w:val="single" w:color="auto" w:sz="6" w:space="0"/>
                    <w:left w:val="single" w:color="auto" w:sz="6" w:space="0"/>
                    <w:bottom w:val="single" w:color="auto" w:sz="6" w:space="0"/>
                    <w:right w:val="single" w:color="auto" w:sz="6" w:space="0"/>
                  </w:tcBorders>
                  <w:shd w:val="clear" w:color="auto" w:fill="auto"/>
                  <w:vAlign w:val="center"/>
                </w:tcPr>
                <w:p w14:paraId="23C05D39">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污染物</w:t>
                  </w:r>
                </w:p>
              </w:tc>
              <w:tc>
                <w:tcPr>
                  <w:tcW w:w="691" w:type="pct"/>
                  <w:tcBorders>
                    <w:top w:val="single" w:color="auto" w:sz="6" w:space="0"/>
                    <w:left w:val="single" w:color="auto" w:sz="6" w:space="0"/>
                    <w:bottom w:val="single" w:color="auto" w:sz="6" w:space="0"/>
                    <w:right w:val="single" w:color="auto" w:sz="6" w:space="0"/>
                  </w:tcBorders>
                  <w:shd w:val="clear" w:color="auto" w:fill="auto"/>
                  <w:vAlign w:val="center"/>
                </w:tcPr>
                <w:p w14:paraId="3829908D">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pH</w:t>
                  </w:r>
                </w:p>
                <w:p w14:paraId="4E04990D">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（无量纲）</w:t>
                  </w:r>
                </w:p>
              </w:tc>
              <w:tc>
                <w:tcPr>
                  <w:tcW w:w="498" w:type="pct"/>
                  <w:tcBorders>
                    <w:top w:val="single" w:color="auto" w:sz="6" w:space="0"/>
                    <w:left w:val="single" w:color="auto" w:sz="6" w:space="0"/>
                    <w:bottom w:val="single" w:color="auto" w:sz="6" w:space="0"/>
                    <w:right w:val="single" w:color="auto" w:sz="6" w:space="0"/>
                  </w:tcBorders>
                  <w:shd w:val="clear" w:color="auto" w:fill="auto"/>
                  <w:vAlign w:val="center"/>
                </w:tcPr>
                <w:p w14:paraId="4F47722E">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COD</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7D171828">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BOD</w:t>
                  </w:r>
                  <w:r>
                    <w:rPr>
                      <w:rFonts w:hint="default"/>
                      <w:color w:val="auto"/>
                      <w:sz w:val="21"/>
                      <w:szCs w:val="21"/>
                      <w:highlight w:val="none"/>
                      <w:vertAlign w:val="subscript"/>
                    </w:rPr>
                    <w:t>5</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3C432039">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SS</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136DFDDC">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default"/>
                      <w:color w:val="auto"/>
                      <w:sz w:val="21"/>
                      <w:szCs w:val="21"/>
                      <w:highlight w:val="none"/>
                    </w:rPr>
                    <w:t>NH</w:t>
                  </w:r>
                  <w:r>
                    <w:rPr>
                      <w:rFonts w:hint="default"/>
                      <w:color w:val="auto"/>
                      <w:sz w:val="21"/>
                      <w:szCs w:val="21"/>
                      <w:highlight w:val="none"/>
                      <w:vertAlign w:val="subscript"/>
                    </w:rPr>
                    <w:t>3</w:t>
                  </w:r>
                  <w:r>
                    <w:rPr>
                      <w:rFonts w:hint="default"/>
                      <w:color w:val="auto"/>
                      <w:sz w:val="21"/>
                      <w:szCs w:val="21"/>
                      <w:highlight w:val="none"/>
                    </w:rPr>
                    <w:t>-N</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368A4A01">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eastAsia"/>
                      <w:color w:val="auto"/>
                      <w:sz w:val="21"/>
                      <w:szCs w:val="21"/>
                      <w:highlight w:val="none"/>
                    </w:rPr>
                    <w:t>动植物油</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1CC6F28F">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石油类</w:t>
                  </w:r>
                </w:p>
              </w:tc>
            </w:tr>
            <w:tr w14:paraId="3EC12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239" w:type="pct"/>
                  <w:tcBorders>
                    <w:top w:val="single" w:color="auto" w:sz="6" w:space="0"/>
                    <w:left w:val="single" w:color="auto" w:sz="6" w:space="0"/>
                    <w:bottom w:val="single" w:color="auto" w:sz="6" w:space="0"/>
                    <w:right w:val="single" w:color="auto" w:sz="6" w:space="0"/>
                  </w:tcBorders>
                  <w:shd w:val="clear" w:color="auto" w:fill="auto"/>
                  <w:vAlign w:val="center"/>
                </w:tcPr>
                <w:p w14:paraId="1891902E">
                  <w:pPr>
                    <w:pStyle w:val="81"/>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GB27632-2011</w:t>
                  </w:r>
                </w:p>
                <w:p w14:paraId="47B87E33">
                  <w:pPr>
                    <w:pStyle w:val="81"/>
                    <w:keepNext w:val="0"/>
                    <w:keepLines w:val="0"/>
                    <w:suppressLineNumbers w:val="0"/>
                    <w:spacing w:before="0" w:beforeAutospacing="0" w:after="0" w:afterAutospacing="0"/>
                    <w:ind w:left="0" w:right="0"/>
                    <w:rPr>
                      <w:rFonts w:hint="eastAsia"/>
                      <w:color w:val="auto"/>
                      <w:sz w:val="21"/>
                      <w:szCs w:val="21"/>
                      <w:highlight w:val="none"/>
                    </w:rPr>
                  </w:pPr>
                  <w:r>
                    <w:rPr>
                      <w:rFonts w:hint="eastAsia"/>
                      <w:color w:val="auto"/>
                      <w:sz w:val="21"/>
                      <w:szCs w:val="21"/>
                      <w:highlight w:val="none"/>
                    </w:rPr>
                    <w:t>间接排放限值</w:t>
                  </w:r>
                </w:p>
              </w:tc>
              <w:tc>
                <w:tcPr>
                  <w:tcW w:w="691" w:type="pct"/>
                  <w:tcBorders>
                    <w:top w:val="single" w:color="auto" w:sz="6" w:space="0"/>
                    <w:left w:val="single" w:color="auto" w:sz="6" w:space="0"/>
                    <w:bottom w:val="single" w:color="auto" w:sz="6" w:space="0"/>
                    <w:right w:val="single" w:color="auto" w:sz="6" w:space="0"/>
                  </w:tcBorders>
                  <w:shd w:val="clear" w:color="auto" w:fill="auto"/>
                  <w:vAlign w:val="center"/>
                </w:tcPr>
                <w:p w14:paraId="7625B3D8">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6</w:t>
                  </w:r>
                  <w:r>
                    <w:rPr>
                      <w:rFonts w:hint="eastAsia"/>
                      <w:color w:val="auto"/>
                      <w:sz w:val="21"/>
                      <w:szCs w:val="21"/>
                      <w:highlight w:val="none"/>
                    </w:rPr>
                    <w:t>～</w:t>
                  </w:r>
                  <w:r>
                    <w:rPr>
                      <w:rFonts w:hint="default"/>
                      <w:color w:val="auto"/>
                      <w:sz w:val="21"/>
                      <w:szCs w:val="21"/>
                      <w:highlight w:val="none"/>
                    </w:rPr>
                    <w:t>9</w:t>
                  </w:r>
                </w:p>
              </w:tc>
              <w:tc>
                <w:tcPr>
                  <w:tcW w:w="498" w:type="pct"/>
                  <w:tcBorders>
                    <w:top w:val="single" w:color="auto" w:sz="6" w:space="0"/>
                    <w:left w:val="single" w:color="auto" w:sz="6" w:space="0"/>
                    <w:bottom w:val="single" w:color="auto" w:sz="6" w:space="0"/>
                    <w:right w:val="single" w:color="auto" w:sz="6" w:space="0"/>
                  </w:tcBorders>
                  <w:shd w:val="clear" w:color="auto" w:fill="auto"/>
                  <w:vAlign w:val="center"/>
                </w:tcPr>
                <w:p w14:paraId="3997688B">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300</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37B1D327">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80</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4CE90A24">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150</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4EA8B46F">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30</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5FC95AF9">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100</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1D0AC19A">
                  <w:pPr>
                    <w:pStyle w:val="81"/>
                    <w:keepNext w:val="0"/>
                    <w:keepLines w:val="0"/>
                    <w:suppressLineNumbers w:val="0"/>
                    <w:spacing w:before="0" w:beforeAutospacing="0" w:after="0" w:afterAutospacing="0"/>
                    <w:ind w:left="0" w:right="0"/>
                    <w:rPr>
                      <w:rFonts w:hint="default"/>
                      <w:color w:val="auto"/>
                      <w:sz w:val="21"/>
                      <w:szCs w:val="21"/>
                      <w:highlight w:val="none"/>
                      <w:lang w:val="en-US" w:eastAsia="zh-CN"/>
                    </w:rPr>
                  </w:pPr>
                  <w:r>
                    <w:rPr>
                      <w:rFonts w:hint="eastAsia"/>
                      <w:color w:val="auto"/>
                      <w:sz w:val="21"/>
                      <w:szCs w:val="21"/>
                      <w:highlight w:val="none"/>
                      <w:lang w:val="en-US" w:eastAsia="zh-CN"/>
                    </w:rPr>
                    <w:t>10</w:t>
                  </w:r>
                </w:p>
              </w:tc>
            </w:tr>
            <w:tr w14:paraId="7BB67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239" w:type="pct"/>
                  <w:tcBorders>
                    <w:top w:val="single" w:color="auto" w:sz="6" w:space="0"/>
                    <w:left w:val="single" w:color="auto" w:sz="6" w:space="0"/>
                    <w:bottom w:val="single" w:color="auto" w:sz="6" w:space="0"/>
                    <w:right w:val="single" w:color="auto" w:sz="6" w:space="0"/>
                  </w:tcBorders>
                  <w:shd w:val="clear" w:color="auto" w:fill="auto"/>
                  <w:vAlign w:val="center"/>
                </w:tcPr>
                <w:p w14:paraId="6A14F579">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rPr>
                    <w:t>GB 8978-1996</w:t>
                  </w:r>
                  <w:r>
                    <w:rPr>
                      <w:rFonts w:hint="eastAsia"/>
                      <w:color w:val="auto"/>
                      <w:sz w:val="21"/>
                      <w:szCs w:val="21"/>
                      <w:highlight w:val="none"/>
                      <w:lang w:val="en-US" w:eastAsia="zh-CN"/>
                    </w:rPr>
                    <w:t>三级标准</w:t>
                  </w:r>
                </w:p>
              </w:tc>
              <w:tc>
                <w:tcPr>
                  <w:tcW w:w="691" w:type="pct"/>
                  <w:tcBorders>
                    <w:top w:val="single" w:color="auto" w:sz="6" w:space="0"/>
                    <w:left w:val="single" w:color="auto" w:sz="6" w:space="0"/>
                    <w:bottom w:val="single" w:color="auto" w:sz="6" w:space="0"/>
                    <w:right w:val="single" w:color="auto" w:sz="6" w:space="0"/>
                  </w:tcBorders>
                  <w:shd w:val="clear" w:color="auto" w:fill="auto"/>
                  <w:vAlign w:val="center"/>
                </w:tcPr>
                <w:p w14:paraId="05EB28ED">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498" w:type="pct"/>
                  <w:tcBorders>
                    <w:top w:val="single" w:color="auto" w:sz="6" w:space="0"/>
                    <w:left w:val="single" w:color="auto" w:sz="6" w:space="0"/>
                    <w:bottom w:val="single" w:color="auto" w:sz="6" w:space="0"/>
                    <w:right w:val="single" w:color="auto" w:sz="6" w:space="0"/>
                  </w:tcBorders>
                  <w:shd w:val="clear" w:color="auto" w:fill="auto"/>
                  <w:vAlign w:val="center"/>
                </w:tcPr>
                <w:p w14:paraId="77734CD0">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002B9D12">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14968C4C">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31A18351">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2017296E">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100</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7BA5DE24">
                  <w:pPr>
                    <w:pStyle w:val="81"/>
                    <w:keepNext w:val="0"/>
                    <w:keepLines w:val="0"/>
                    <w:suppressLineNumbers w:val="0"/>
                    <w:spacing w:before="0" w:beforeAutospacing="0" w:after="0" w:afterAutospacing="0"/>
                    <w:ind w:left="0" w:right="0"/>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r>
            <w:tr w14:paraId="4FC6C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1239" w:type="pct"/>
                  <w:tcBorders>
                    <w:top w:val="single" w:color="auto" w:sz="6" w:space="0"/>
                    <w:left w:val="single" w:color="auto" w:sz="6" w:space="0"/>
                    <w:bottom w:val="single" w:color="auto" w:sz="6" w:space="0"/>
                    <w:right w:val="single" w:color="auto" w:sz="6" w:space="0"/>
                  </w:tcBorders>
                  <w:shd w:val="clear" w:color="auto" w:fill="auto"/>
                  <w:vAlign w:val="center"/>
                </w:tcPr>
                <w:p w14:paraId="1F45585B">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rPr>
                    <w:t>GB 18918-2002</w:t>
                  </w:r>
                  <w:r>
                    <w:rPr>
                      <w:rFonts w:hint="eastAsia"/>
                      <w:color w:val="auto"/>
                      <w:sz w:val="21"/>
                      <w:szCs w:val="21"/>
                      <w:highlight w:val="none"/>
                      <w:lang w:val="en-US" w:eastAsia="zh-CN"/>
                    </w:rPr>
                    <w:t>一级B标</w:t>
                  </w:r>
                </w:p>
              </w:tc>
              <w:tc>
                <w:tcPr>
                  <w:tcW w:w="691" w:type="pct"/>
                  <w:tcBorders>
                    <w:top w:val="single" w:color="auto" w:sz="6" w:space="0"/>
                    <w:left w:val="single" w:color="auto" w:sz="6" w:space="0"/>
                    <w:bottom w:val="single" w:color="auto" w:sz="6" w:space="0"/>
                    <w:right w:val="single" w:color="auto" w:sz="6" w:space="0"/>
                  </w:tcBorders>
                  <w:shd w:val="clear" w:color="auto" w:fill="auto"/>
                  <w:vAlign w:val="center"/>
                </w:tcPr>
                <w:p w14:paraId="44FB7685">
                  <w:pPr>
                    <w:pStyle w:val="81"/>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6</w:t>
                  </w:r>
                  <w:r>
                    <w:rPr>
                      <w:rFonts w:hint="eastAsia"/>
                      <w:color w:val="auto"/>
                      <w:sz w:val="21"/>
                      <w:szCs w:val="21"/>
                      <w:highlight w:val="none"/>
                    </w:rPr>
                    <w:t>～</w:t>
                  </w:r>
                  <w:r>
                    <w:rPr>
                      <w:rFonts w:hint="default"/>
                      <w:color w:val="auto"/>
                      <w:sz w:val="21"/>
                      <w:szCs w:val="21"/>
                      <w:highlight w:val="none"/>
                    </w:rPr>
                    <w:t>9</w:t>
                  </w:r>
                </w:p>
              </w:tc>
              <w:tc>
                <w:tcPr>
                  <w:tcW w:w="498" w:type="pct"/>
                  <w:tcBorders>
                    <w:top w:val="single" w:color="auto" w:sz="6" w:space="0"/>
                    <w:left w:val="single" w:color="auto" w:sz="6" w:space="0"/>
                    <w:bottom w:val="single" w:color="auto" w:sz="6" w:space="0"/>
                    <w:right w:val="single" w:color="auto" w:sz="6" w:space="0"/>
                  </w:tcBorders>
                  <w:shd w:val="clear" w:color="auto" w:fill="auto"/>
                  <w:vAlign w:val="center"/>
                </w:tcPr>
                <w:p w14:paraId="3C5702AB">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60</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69C76C30">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04EC0B30">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499" w:type="pct"/>
                  <w:tcBorders>
                    <w:top w:val="single" w:color="auto" w:sz="6" w:space="0"/>
                    <w:left w:val="single" w:color="auto" w:sz="6" w:space="0"/>
                    <w:bottom w:val="single" w:color="auto" w:sz="6" w:space="0"/>
                    <w:right w:val="single" w:color="auto" w:sz="6" w:space="0"/>
                  </w:tcBorders>
                  <w:shd w:val="clear" w:color="auto" w:fill="auto"/>
                  <w:vAlign w:val="center"/>
                </w:tcPr>
                <w:p w14:paraId="37C07561">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8（15）</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67A3C44B">
                  <w:pPr>
                    <w:pStyle w:val="81"/>
                    <w:keepNext w:val="0"/>
                    <w:keepLines w:val="0"/>
                    <w:suppressLineNumbers w:val="0"/>
                    <w:spacing w:before="0" w:beforeAutospacing="0" w:after="0" w:afterAutospacing="0"/>
                    <w:ind w:left="0" w:right="0"/>
                    <w:rPr>
                      <w:rFonts w:hint="default" w:eastAsia="宋体"/>
                      <w:color w:val="auto"/>
                      <w:sz w:val="21"/>
                      <w:szCs w:val="21"/>
                      <w:highlight w:val="none"/>
                      <w:lang w:val="en-US" w:eastAsia="zh-CN"/>
                    </w:rPr>
                  </w:pPr>
                  <w:r>
                    <w:rPr>
                      <w:rFonts w:hint="eastAsia"/>
                      <w:color w:val="auto"/>
                      <w:sz w:val="21"/>
                      <w:szCs w:val="21"/>
                      <w:highlight w:val="none"/>
                      <w:lang w:val="en-US" w:eastAsia="zh-CN"/>
                    </w:rPr>
                    <w:t>3</w:t>
                  </w:r>
                </w:p>
              </w:tc>
              <w:tc>
                <w:tcPr>
                  <w:tcW w:w="536" w:type="pct"/>
                  <w:tcBorders>
                    <w:top w:val="single" w:color="auto" w:sz="6" w:space="0"/>
                    <w:left w:val="single" w:color="auto" w:sz="4" w:space="0"/>
                    <w:bottom w:val="single" w:color="auto" w:sz="6" w:space="0"/>
                    <w:right w:val="single" w:color="auto" w:sz="6" w:space="0"/>
                  </w:tcBorders>
                  <w:shd w:val="clear" w:color="auto" w:fill="auto"/>
                  <w:vAlign w:val="center"/>
                </w:tcPr>
                <w:p w14:paraId="12498E1C">
                  <w:pPr>
                    <w:pStyle w:val="81"/>
                    <w:keepNext w:val="0"/>
                    <w:keepLines w:val="0"/>
                    <w:suppressLineNumbers w:val="0"/>
                    <w:spacing w:before="0" w:beforeAutospacing="0" w:after="0" w:afterAutospacing="0"/>
                    <w:ind w:left="0" w:right="0"/>
                    <w:rPr>
                      <w:rFonts w:hint="default"/>
                      <w:color w:val="auto"/>
                      <w:sz w:val="21"/>
                      <w:szCs w:val="21"/>
                      <w:highlight w:val="none"/>
                      <w:lang w:val="en-US" w:eastAsia="zh-CN"/>
                    </w:rPr>
                  </w:pPr>
                  <w:r>
                    <w:rPr>
                      <w:rFonts w:hint="eastAsia"/>
                      <w:color w:val="auto"/>
                      <w:sz w:val="21"/>
                      <w:szCs w:val="21"/>
                      <w:highlight w:val="none"/>
                      <w:lang w:val="en-US" w:eastAsia="zh-CN"/>
                    </w:rPr>
                    <w:t>3</w:t>
                  </w:r>
                </w:p>
              </w:tc>
            </w:tr>
          </w:tbl>
          <w:p w14:paraId="35696CCF">
            <w:pPr>
              <w:pStyle w:val="81"/>
              <w:keepNext w:val="0"/>
              <w:keepLines w:val="0"/>
              <w:suppressLineNumbers w:val="0"/>
              <w:spacing w:before="0" w:beforeAutospacing="0" w:after="0" w:afterAutospacing="0"/>
              <w:ind w:left="0" w:right="0"/>
              <w:jc w:val="both"/>
              <w:rPr>
                <w:rFonts w:hint="default"/>
                <w:color w:val="auto"/>
                <w:sz w:val="21"/>
                <w:szCs w:val="21"/>
                <w:highlight w:val="none"/>
              </w:rPr>
            </w:pPr>
            <w:r>
              <w:rPr>
                <w:rFonts w:hint="eastAsia"/>
                <w:color w:val="auto"/>
                <w:sz w:val="21"/>
                <w:szCs w:val="21"/>
                <w:highlight w:val="none"/>
              </w:rPr>
              <w:t>注：</w:t>
            </w:r>
            <w:r>
              <w:rPr>
                <w:rFonts w:hint="default"/>
                <w:color w:val="auto"/>
                <w:sz w:val="21"/>
                <w:szCs w:val="21"/>
                <w:highlight w:val="none"/>
              </w:rPr>
              <w:t>括号外数值为水温&gt;12℃数时的控制指标，括号内数值为水温≤12℃的控制时的控制指标。基准排水量7m</w:t>
            </w:r>
            <w:r>
              <w:rPr>
                <w:rFonts w:hint="default"/>
                <w:color w:val="auto"/>
                <w:sz w:val="21"/>
                <w:szCs w:val="21"/>
                <w:highlight w:val="none"/>
                <w:vertAlign w:val="superscript"/>
              </w:rPr>
              <w:t>3</w:t>
            </w:r>
            <w:r>
              <w:rPr>
                <w:rFonts w:hint="default"/>
                <w:color w:val="auto"/>
                <w:sz w:val="21"/>
                <w:szCs w:val="21"/>
                <w:highlight w:val="none"/>
              </w:rPr>
              <w:t>/t胶。</w:t>
            </w:r>
          </w:p>
          <w:p w14:paraId="48E042E4">
            <w:pPr>
              <w:pStyle w:val="65"/>
              <w:keepNext w:val="0"/>
              <w:keepLines w:val="0"/>
              <w:suppressLineNumbers w:val="0"/>
              <w:spacing w:before="0" w:beforeAutospacing="0" w:after="0" w:afterAutospacing="0"/>
              <w:ind w:left="0" w:right="0"/>
              <w:rPr>
                <w:rFonts w:hint="default"/>
                <w:color w:val="auto"/>
                <w:sz w:val="21"/>
                <w:szCs w:val="21"/>
                <w:highlight w:val="none"/>
              </w:rPr>
            </w:pPr>
          </w:p>
          <w:p w14:paraId="084A3F6D">
            <w:pPr>
              <w:keepNext w:val="0"/>
              <w:keepLines w:val="0"/>
              <w:suppressLineNumbers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3.3.3噪声</w:t>
            </w:r>
          </w:p>
          <w:p w14:paraId="002FE909">
            <w:pPr>
              <w:pStyle w:val="12"/>
              <w:keepNext w:val="0"/>
              <w:keepLines w:val="0"/>
              <w:suppressLineNumbers w:val="0"/>
              <w:snapToGrid w:val="0"/>
              <w:spacing w:before="0" w:beforeAutospacing="0" w:after="0" w:afterAutospacing="0" w:line="400" w:lineRule="exact"/>
              <w:ind w:left="0" w:right="0" w:firstLine="520" w:firstLineChars="200"/>
              <w:rPr>
                <w:rFonts w:hint="default" w:ascii="Times New Roman" w:hAnsi="Times New Roman"/>
                <w:color w:val="auto"/>
                <w:sz w:val="26"/>
                <w:szCs w:val="26"/>
                <w:highlight w:val="none"/>
              </w:rPr>
            </w:pPr>
            <w:r>
              <w:rPr>
                <w:rFonts w:hint="eastAsia" w:ascii="Times New Roman" w:hAnsi="Times New Roman"/>
                <w:color w:val="auto"/>
                <w:sz w:val="26"/>
                <w:szCs w:val="26"/>
                <w:highlight w:val="none"/>
                <w:lang w:val="en-US" w:eastAsia="zh-CN"/>
              </w:rPr>
              <w:t>项目</w:t>
            </w:r>
            <w:r>
              <w:rPr>
                <w:rFonts w:hint="default" w:ascii="Times New Roman" w:hAnsi="Times New Roman"/>
                <w:color w:val="auto"/>
                <w:sz w:val="26"/>
                <w:szCs w:val="26"/>
                <w:highlight w:val="none"/>
              </w:rPr>
              <w:t>施工期执行《建筑施工场界环境噪声排放标准》（GB12523-2011）</w:t>
            </w:r>
            <w:r>
              <w:rPr>
                <w:rFonts w:hint="eastAsia" w:ascii="Times New Roman" w:hAnsi="Times New Roman"/>
                <w:color w:val="auto"/>
                <w:sz w:val="26"/>
                <w:szCs w:val="26"/>
                <w:highlight w:val="none"/>
              </w:rPr>
              <w:t>；</w:t>
            </w:r>
            <w:r>
              <w:rPr>
                <w:rFonts w:hint="eastAsia" w:ascii="Times New Roman" w:hAnsi="Times New Roman"/>
                <w:color w:val="auto"/>
                <w:sz w:val="26"/>
                <w:szCs w:val="26"/>
                <w:highlight w:val="none"/>
                <w:lang w:val="en-US" w:eastAsia="zh-CN"/>
              </w:rPr>
              <w:t>项目</w:t>
            </w:r>
            <w:r>
              <w:rPr>
                <w:rFonts w:hint="eastAsia" w:ascii="Times New Roman" w:hAnsi="Times New Roman"/>
                <w:color w:val="auto"/>
                <w:sz w:val="26"/>
                <w:szCs w:val="26"/>
                <w:highlight w:val="none"/>
              </w:rPr>
              <w:t>厂界执行</w:t>
            </w:r>
            <w:r>
              <w:rPr>
                <w:rFonts w:hint="default" w:ascii="Times New Roman" w:hAnsi="Times New Roman"/>
                <w:color w:val="auto"/>
                <w:sz w:val="26"/>
                <w:szCs w:val="26"/>
                <w:highlight w:val="none"/>
              </w:rPr>
              <w:t>《工业企业厂界环境噪声排放标准》（GB12348-2008）</w:t>
            </w:r>
            <w:r>
              <w:rPr>
                <w:rFonts w:hint="eastAsia" w:ascii="Times New Roman" w:hAnsi="Times New Roman"/>
                <w:color w:val="auto"/>
                <w:sz w:val="26"/>
                <w:szCs w:val="26"/>
                <w:highlight w:val="none"/>
              </w:rPr>
              <w:t>3类标准。</w:t>
            </w:r>
          </w:p>
          <w:p w14:paraId="71588E67">
            <w:pPr>
              <w:keepNext w:val="0"/>
              <w:keepLines w:val="0"/>
              <w:suppressLineNumbers w:val="0"/>
              <w:spacing w:before="0" w:beforeAutospacing="0" w:after="0" w:afterAutospacing="0"/>
              <w:ind w:left="0" w:right="0"/>
              <w:jc w:val="center"/>
              <w:rPr>
                <w:rFonts w:hint="default"/>
                <w:color w:val="auto"/>
                <w:sz w:val="26"/>
                <w:szCs w:val="26"/>
                <w:highlight w:val="none"/>
              </w:rPr>
            </w:pPr>
          </w:p>
          <w:p w14:paraId="1A1CA23A">
            <w:pPr>
              <w:keepNext w:val="0"/>
              <w:keepLines w:val="0"/>
              <w:suppressLineNumbers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表3.3-</w:t>
            </w:r>
            <w:r>
              <w:rPr>
                <w:rFonts w:hint="eastAsia"/>
                <w:color w:val="auto"/>
                <w:sz w:val="26"/>
                <w:szCs w:val="26"/>
                <w:highlight w:val="none"/>
                <w:lang w:val="en-US" w:eastAsia="zh-CN"/>
              </w:rPr>
              <w:t xml:space="preserve">8  </w:t>
            </w:r>
            <w:r>
              <w:rPr>
                <w:rFonts w:hint="default"/>
                <w:color w:val="auto"/>
                <w:sz w:val="26"/>
                <w:szCs w:val="26"/>
                <w:highlight w:val="none"/>
              </w:rPr>
              <w:t xml:space="preserve"> 建筑施工场界环境噪声排放标准    单位：dB(A)</w:t>
            </w:r>
          </w:p>
          <w:tbl>
            <w:tblPr>
              <w:tblStyle w:val="25"/>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2"/>
              <w:gridCol w:w="4466"/>
            </w:tblGrid>
            <w:tr w14:paraId="09BB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2" w:type="dxa"/>
                  <w:vAlign w:val="center"/>
                </w:tcPr>
                <w:p w14:paraId="42FA287F">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昼  间</w:t>
                  </w:r>
                </w:p>
              </w:tc>
              <w:tc>
                <w:tcPr>
                  <w:tcW w:w="4405" w:type="dxa"/>
                  <w:vAlign w:val="center"/>
                </w:tcPr>
                <w:p w14:paraId="3AB9AF1E">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夜  间</w:t>
                  </w:r>
                </w:p>
              </w:tc>
            </w:tr>
            <w:tr w14:paraId="69D6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2" w:type="dxa"/>
                  <w:vAlign w:val="center"/>
                </w:tcPr>
                <w:p w14:paraId="052D1878">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70</w:t>
                  </w:r>
                </w:p>
              </w:tc>
              <w:tc>
                <w:tcPr>
                  <w:tcW w:w="4405" w:type="dxa"/>
                  <w:vAlign w:val="center"/>
                </w:tcPr>
                <w:p w14:paraId="639CF248">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55</w:t>
                  </w:r>
                </w:p>
              </w:tc>
            </w:tr>
          </w:tbl>
          <w:p w14:paraId="76B2EE43">
            <w:pPr>
              <w:pStyle w:val="86"/>
              <w:keepNext w:val="0"/>
              <w:keepLines w:val="0"/>
              <w:suppressLineNumbers w:val="0"/>
              <w:bidi w:val="0"/>
              <w:spacing w:before="0" w:beforeAutospacing="0" w:after="0" w:afterAutospacing="0"/>
              <w:ind w:left="0" w:right="0"/>
              <w:rPr>
                <w:rFonts w:hint="default"/>
                <w:color w:val="auto"/>
                <w:highlight w:val="none"/>
              </w:rPr>
            </w:pPr>
          </w:p>
          <w:p w14:paraId="2EC48B7C">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表3.3-</w:t>
            </w:r>
            <w:r>
              <w:rPr>
                <w:rFonts w:hint="eastAsia"/>
                <w:color w:val="auto"/>
                <w:sz w:val="26"/>
                <w:szCs w:val="26"/>
                <w:highlight w:val="none"/>
                <w:lang w:val="en-US" w:eastAsia="zh-CN"/>
              </w:rPr>
              <w:t xml:space="preserve">9 </w:t>
            </w:r>
            <w:r>
              <w:rPr>
                <w:rFonts w:hint="default"/>
                <w:color w:val="auto"/>
                <w:sz w:val="26"/>
                <w:szCs w:val="26"/>
                <w:highlight w:val="none"/>
              </w:rPr>
              <w:t xml:space="preserve"> 工业企业厂界环境噪声排放标准   单位：dB(A)</w:t>
            </w:r>
          </w:p>
          <w:tbl>
            <w:tblPr>
              <w:tblStyle w:val="25"/>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3253"/>
              <w:gridCol w:w="3256"/>
            </w:tblGrid>
            <w:tr w14:paraId="4139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9" w:type="dxa"/>
                  <w:vMerge w:val="restart"/>
                  <w:vAlign w:val="center"/>
                </w:tcPr>
                <w:p w14:paraId="2EA37091">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类别</w:t>
                  </w:r>
                </w:p>
              </w:tc>
              <w:tc>
                <w:tcPr>
                  <w:tcW w:w="6190" w:type="dxa"/>
                  <w:gridSpan w:val="2"/>
                  <w:vAlign w:val="center"/>
                </w:tcPr>
                <w:p w14:paraId="6B372747">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评价标准</w:t>
                  </w:r>
                </w:p>
              </w:tc>
            </w:tr>
            <w:tr w14:paraId="774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9" w:type="dxa"/>
                  <w:vMerge w:val="continue"/>
                  <w:vAlign w:val="center"/>
                </w:tcPr>
                <w:p w14:paraId="07FD8591">
                  <w:pPr>
                    <w:pStyle w:val="61"/>
                    <w:keepNext w:val="0"/>
                    <w:keepLines w:val="0"/>
                    <w:suppressLineNumbers w:val="0"/>
                    <w:spacing w:beforeAutospacing="0" w:afterAutospacing="0"/>
                    <w:ind w:left="0"/>
                    <w:rPr>
                      <w:rFonts w:hint="default" w:ascii="Times New Roman" w:hAnsi="Times New Roman"/>
                      <w:color w:val="auto"/>
                      <w:szCs w:val="22"/>
                      <w:highlight w:val="none"/>
                    </w:rPr>
                  </w:pPr>
                </w:p>
              </w:tc>
              <w:tc>
                <w:tcPr>
                  <w:tcW w:w="3094" w:type="dxa"/>
                  <w:vAlign w:val="center"/>
                </w:tcPr>
                <w:p w14:paraId="59ECBEB3">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昼间</w:t>
                  </w:r>
                </w:p>
              </w:tc>
              <w:tc>
                <w:tcPr>
                  <w:tcW w:w="3096" w:type="dxa"/>
                  <w:vAlign w:val="center"/>
                </w:tcPr>
                <w:p w14:paraId="0C94CEF1">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夜间</w:t>
                  </w:r>
                </w:p>
              </w:tc>
            </w:tr>
            <w:tr w14:paraId="6839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99" w:type="dxa"/>
                  <w:vAlign w:val="center"/>
                </w:tcPr>
                <w:p w14:paraId="2E56E55D">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3类</w:t>
                  </w:r>
                </w:p>
              </w:tc>
              <w:tc>
                <w:tcPr>
                  <w:tcW w:w="3094" w:type="dxa"/>
                  <w:vAlign w:val="center"/>
                </w:tcPr>
                <w:p w14:paraId="1E19FCB5">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65</w:t>
                  </w:r>
                </w:p>
              </w:tc>
              <w:tc>
                <w:tcPr>
                  <w:tcW w:w="3096" w:type="dxa"/>
                  <w:vAlign w:val="center"/>
                </w:tcPr>
                <w:p w14:paraId="70B2FFD3">
                  <w:pPr>
                    <w:pStyle w:val="61"/>
                    <w:keepNext w:val="0"/>
                    <w:keepLines w:val="0"/>
                    <w:suppressLineNumbers w:val="0"/>
                    <w:spacing w:beforeAutospacing="0" w:afterAutospacing="0"/>
                    <w:ind w:left="0"/>
                    <w:rPr>
                      <w:rFonts w:hint="default" w:ascii="Times New Roman" w:hAnsi="Times New Roman"/>
                      <w:color w:val="auto"/>
                      <w:szCs w:val="22"/>
                      <w:highlight w:val="none"/>
                    </w:rPr>
                  </w:pPr>
                  <w:r>
                    <w:rPr>
                      <w:rFonts w:hint="default" w:ascii="Times New Roman" w:hAnsi="Times New Roman"/>
                      <w:color w:val="auto"/>
                      <w:szCs w:val="22"/>
                      <w:highlight w:val="none"/>
                    </w:rPr>
                    <w:t>55</w:t>
                  </w:r>
                </w:p>
              </w:tc>
            </w:tr>
          </w:tbl>
          <w:p w14:paraId="4A470A30">
            <w:pPr>
              <w:keepNext w:val="0"/>
              <w:keepLines w:val="0"/>
              <w:suppressLineNumbers w:val="0"/>
              <w:snapToGrid w:val="0"/>
              <w:spacing w:before="0" w:beforeAutospacing="0" w:after="0" w:afterAutospacing="0"/>
              <w:ind w:left="0" w:right="0"/>
              <w:rPr>
                <w:rFonts w:hint="default"/>
                <w:b/>
                <w:color w:val="auto"/>
                <w:sz w:val="18"/>
                <w:szCs w:val="18"/>
                <w:highlight w:val="none"/>
              </w:rPr>
            </w:pPr>
          </w:p>
          <w:p w14:paraId="335FE83F">
            <w:pPr>
              <w:keepNext w:val="0"/>
              <w:keepLines w:val="0"/>
              <w:suppressLineNumbers w:val="0"/>
              <w:snapToGrid w:val="0"/>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3.</w:t>
            </w:r>
            <w:r>
              <w:rPr>
                <w:rFonts w:hint="eastAsia"/>
                <w:b/>
                <w:color w:val="auto"/>
                <w:sz w:val="26"/>
                <w:szCs w:val="26"/>
                <w:highlight w:val="none"/>
                <w:lang w:val="en-US" w:eastAsia="zh-CN"/>
              </w:rPr>
              <w:t>3.</w:t>
            </w:r>
            <w:r>
              <w:rPr>
                <w:rFonts w:hint="default"/>
                <w:b/>
                <w:color w:val="auto"/>
                <w:sz w:val="26"/>
                <w:szCs w:val="26"/>
                <w:highlight w:val="none"/>
              </w:rPr>
              <w:t>4固体废弃物</w:t>
            </w:r>
          </w:p>
          <w:p w14:paraId="7C85E897">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厂区内一般工业固废的贮存应满足相应防渗漏、防雨淋、防扬尘等环境保护要求，委托第三方运输、利用、处置工业固体废物时，应当对受托方的主体资格和技术能力进行核实。</w:t>
            </w:r>
          </w:p>
          <w:p w14:paraId="00B09266">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列入《国家危险废物名录（202</w:t>
            </w:r>
            <w:r>
              <w:rPr>
                <w:rFonts w:hint="eastAsia"/>
                <w:color w:val="auto"/>
                <w:sz w:val="26"/>
                <w:szCs w:val="26"/>
                <w:highlight w:val="none"/>
                <w:lang w:val="en-US" w:eastAsia="zh-CN"/>
              </w:rPr>
              <w:t>5</w:t>
            </w:r>
            <w:r>
              <w:rPr>
                <w:rFonts w:hint="eastAsia"/>
                <w:color w:val="auto"/>
                <w:sz w:val="26"/>
                <w:szCs w:val="26"/>
                <w:highlight w:val="none"/>
              </w:rPr>
              <w:t>年版）》中的危险废物贮存执行《危险废物贮存污染控制标准》（GB</w:t>
            </w:r>
            <w:r>
              <w:rPr>
                <w:rFonts w:hint="default"/>
                <w:color w:val="auto"/>
                <w:sz w:val="26"/>
                <w:szCs w:val="26"/>
                <w:highlight w:val="none"/>
              </w:rPr>
              <w:t>18597-2023</w:t>
            </w:r>
            <w:r>
              <w:rPr>
                <w:rFonts w:hint="eastAsia"/>
                <w:color w:val="auto"/>
                <w:sz w:val="26"/>
                <w:szCs w:val="26"/>
                <w:highlight w:val="none"/>
              </w:rPr>
              <w:t>）的要求。</w:t>
            </w:r>
          </w:p>
        </w:tc>
      </w:tr>
      <w:tr w14:paraId="0B8452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424BAF33">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总量</w:t>
            </w:r>
          </w:p>
          <w:p w14:paraId="66BB2021">
            <w:pPr>
              <w:keepNext w:val="0"/>
              <w:keepLines w:val="0"/>
              <w:suppressLineNumbers w:val="0"/>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控制</w:t>
            </w:r>
          </w:p>
          <w:p w14:paraId="763C2087">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none"/>
              </w:rPr>
            </w:pPr>
            <w:r>
              <w:rPr>
                <w:rFonts w:hint="default"/>
                <w:color w:val="auto"/>
                <w:kern w:val="0"/>
                <w:sz w:val="26"/>
                <w:szCs w:val="26"/>
                <w:highlight w:val="none"/>
              </w:rPr>
              <w:t>指标</w:t>
            </w:r>
          </w:p>
        </w:tc>
        <w:tc>
          <w:tcPr>
            <w:tcW w:w="8978" w:type="dxa"/>
          </w:tcPr>
          <w:p w14:paraId="14A84786">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lang w:val="en-US" w:eastAsia="zh-CN"/>
              </w:rPr>
              <w:t>污染物排放总量情况详</w:t>
            </w:r>
            <w:r>
              <w:rPr>
                <w:rFonts w:hint="eastAsia"/>
                <w:color w:val="auto"/>
                <w:sz w:val="26"/>
                <w:szCs w:val="26"/>
                <w:highlight w:val="none"/>
              </w:rPr>
              <w:t>见下表。</w:t>
            </w:r>
          </w:p>
          <w:p w14:paraId="42BB2E1C">
            <w:pPr>
              <w:keepNext w:val="0"/>
              <w:keepLines w:val="0"/>
              <w:suppressLineNumbers w:val="0"/>
              <w:snapToGrid w:val="0"/>
              <w:spacing w:before="0" w:beforeAutospacing="0" w:after="0" w:afterAutospacing="0"/>
              <w:ind w:left="0" w:right="0" w:firstLine="420" w:firstLineChars="200"/>
              <w:rPr>
                <w:rFonts w:hint="default"/>
                <w:color w:val="auto"/>
                <w:highlight w:val="none"/>
              </w:rPr>
            </w:pPr>
          </w:p>
          <w:p w14:paraId="2183E6C5">
            <w:pPr>
              <w:keepNext w:val="0"/>
              <w:keepLines w:val="0"/>
              <w:suppressLineNumbers w:val="0"/>
              <w:snapToGrid w:val="0"/>
              <w:spacing w:before="0" w:beforeAutospacing="0" w:after="0" w:afterAutospacing="0"/>
              <w:ind w:left="0" w:right="0"/>
              <w:jc w:val="center"/>
              <w:rPr>
                <w:rFonts w:hint="default"/>
                <w:color w:val="auto"/>
                <w:sz w:val="26"/>
                <w:szCs w:val="26"/>
                <w:highlight w:val="none"/>
              </w:rPr>
            </w:pPr>
            <w:r>
              <w:rPr>
                <w:rFonts w:hint="eastAsia"/>
                <w:color w:val="auto"/>
                <w:sz w:val="26"/>
                <w:szCs w:val="26"/>
                <w:highlight w:val="none"/>
              </w:rPr>
              <w:t>表3</w:t>
            </w:r>
            <w:r>
              <w:rPr>
                <w:rFonts w:hint="default"/>
                <w:color w:val="auto"/>
                <w:sz w:val="26"/>
                <w:szCs w:val="26"/>
                <w:highlight w:val="none"/>
              </w:rPr>
              <w:t xml:space="preserve">.5-1  </w:t>
            </w:r>
            <w:r>
              <w:rPr>
                <w:rFonts w:hint="eastAsia"/>
                <w:color w:val="auto"/>
                <w:sz w:val="26"/>
                <w:szCs w:val="26"/>
                <w:highlight w:val="none"/>
                <w:lang w:val="en-US" w:eastAsia="zh-CN"/>
              </w:rPr>
              <w:t>项目</w:t>
            </w:r>
            <w:r>
              <w:rPr>
                <w:rFonts w:hint="eastAsia"/>
                <w:color w:val="auto"/>
                <w:sz w:val="26"/>
                <w:szCs w:val="26"/>
                <w:highlight w:val="none"/>
              </w:rPr>
              <w:t>污染物排放总量</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158"/>
              <w:gridCol w:w="1451"/>
              <w:gridCol w:w="4284"/>
            </w:tblGrid>
            <w:tr w14:paraId="3447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pct"/>
                  <w:vAlign w:val="center"/>
                </w:tcPr>
                <w:p w14:paraId="40821CCC">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类别</w:t>
                  </w:r>
                </w:p>
              </w:tc>
              <w:tc>
                <w:tcPr>
                  <w:tcW w:w="1962" w:type="pct"/>
                  <w:gridSpan w:val="2"/>
                  <w:vAlign w:val="center"/>
                </w:tcPr>
                <w:p w14:paraId="3E86F29E">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污染物</w:t>
                  </w:r>
                </w:p>
              </w:tc>
              <w:tc>
                <w:tcPr>
                  <w:tcW w:w="2327" w:type="pct"/>
                  <w:vAlign w:val="center"/>
                </w:tcPr>
                <w:p w14:paraId="6EA9B13F">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污染物排放量</w:t>
                  </w:r>
                  <w:r>
                    <w:rPr>
                      <w:rFonts w:hint="eastAsia"/>
                      <w:color w:val="auto"/>
                      <w:sz w:val="22"/>
                      <w:szCs w:val="22"/>
                      <w:highlight w:val="none"/>
                    </w:rPr>
                    <w:t>t</w:t>
                  </w:r>
                  <w:r>
                    <w:rPr>
                      <w:rFonts w:hint="default"/>
                      <w:color w:val="auto"/>
                      <w:sz w:val="22"/>
                      <w:szCs w:val="22"/>
                      <w:highlight w:val="none"/>
                    </w:rPr>
                    <w:t>/a</w:t>
                  </w:r>
                </w:p>
              </w:tc>
            </w:tr>
            <w:tr w14:paraId="1EE7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restart"/>
                  <w:vAlign w:val="center"/>
                </w:tcPr>
                <w:p w14:paraId="79B6C1D4">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废气</w:t>
                  </w:r>
                </w:p>
              </w:tc>
              <w:tc>
                <w:tcPr>
                  <w:tcW w:w="1173" w:type="pct"/>
                  <w:vMerge w:val="restart"/>
                  <w:vAlign w:val="center"/>
                </w:tcPr>
                <w:p w14:paraId="33712772">
                  <w:pPr>
                    <w:keepNext w:val="0"/>
                    <w:keepLines w:val="0"/>
                    <w:suppressLineNumbers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颗粒物</w:t>
                  </w:r>
                </w:p>
              </w:tc>
              <w:tc>
                <w:tcPr>
                  <w:tcW w:w="789" w:type="pct"/>
                  <w:vAlign w:val="center"/>
                </w:tcPr>
                <w:p w14:paraId="2E2A2564">
                  <w:pPr>
                    <w:keepNext w:val="0"/>
                    <w:keepLines w:val="0"/>
                    <w:suppressLineNumbers w:val="0"/>
                    <w:snapToGrid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有组织</w:t>
                  </w:r>
                </w:p>
              </w:tc>
              <w:tc>
                <w:tcPr>
                  <w:tcW w:w="2327" w:type="pct"/>
                  <w:vAlign w:val="center"/>
                </w:tcPr>
                <w:p w14:paraId="1F06A627">
                  <w:pPr>
                    <w:pStyle w:val="86"/>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0.1309</w:t>
                  </w:r>
                </w:p>
              </w:tc>
            </w:tr>
            <w:tr w14:paraId="3931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709" w:type="pct"/>
                  <w:vMerge w:val="continue"/>
                  <w:vAlign w:val="center"/>
                </w:tcPr>
                <w:p w14:paraId="12C9877D">
                  <w:pPr>
                    <w:keepNext w:val="0"/>
                    <w:keepLines w:val="0"/>
                    <w:suppressLineNumbers w:val="0"/>
                    <w:snapToGrid w:val="0"/>
                    <w:spacing w:before="0" w:beforeAutospacing="0" w:after="0" w:afterAutospacing="0"/>
                    <w:ind w:left="0" w:right="0"/>
                    <w:jc w:val="center"/>
                    <w:rPr>
                      <w:rFonts w:hint="eastAsia"/>
                      <w:color w:val="auto"/>
                      <w:sz w:val="22"/>
                      <w:szCs w:val="22"/>
                      <w:highlight w:val="none"/>
                    </w:rPr>
                  </w:pPr>
                </w:p>
              </w:tc>
              <w:tc>
                <w:tcPr>
                  <w:tcW w:w="1173" w:type="pct"/>
                  <w:vMerge w:val="continue"/>
                  <w:vAlign w:val="center"/>
                </w:tcPr>
                <w:p w14:paraId="77A6537D">
                  <w:pPr>
                    <w:keepNext w:val="0"/>
                    <w:keepLines w:val="0"/>
                    <w:suppressLineNumbers w:val="0"/>
                    <w:snapToGrid w:val="0"/>
                    <w:spacing w:before="0" w:beforeAutospacing="0" w:after="0" w:afterAutospacing="0"/>
                    <w:ind w:left="0" w:right="0"/>
                    <w:jc w:val="center"/>
                    <w:rPr>
                      <w:rFonts w:hint="eastAsia"/>
                      <w:color w:val="auto"/>
                      <w:sz w:val="22"/>
                      <w:szCs w:val="22"/>
                      <w:highlight w:val="none"/>
                      <w:lang w:val="en-US" w:eastAsia="zh-CN"/>
                    </w:rPr>
                  </w:pPr>
                </w:p>
              </w:tc>
              <w:tc>
                <w:tcPr>
                  <w:tcW w:w="789" w:type="pct"/>
                  <w:vAlign w:val="center"/>
                </w:tcPr>
                <w:p w14:paraId="4C747F28">
                  <w:pPr>
                    <w:keepNext w:val="0"/>
                    <w:keepLines w:val="0"/>
                    <w:suppressLineNumbers w:val="0"/>
                    <w:snapToGrid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无组织</w:t>
                  </w:r>
                </w:p>
              </w:tc>
              <w:tc>
                <w:tcPr>
                  <w:tcW w:w="2327" w:type="pct"/>
                  <w:vAlign w:val="center"/>
                </w:tcPr>
                <w:p w14:paraId="3C4E9103">
                  <w:pPr>
                    <w:pStyle w:val="86"/>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0.668</w:t>
                  </w:r>
                </w:p>
              </w:tc>
            </w:tr>
            <w:tr w14:paraId="254A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09" w:type="pct"/>
                  <w:vMerge w:val="continue"/>
                  <w:vAlign w:val="center"/>
                </w:tcPr>
                <w:p w14:paraId="49792212">
                  <w:pPr>
                    <w:keepNext w:val="0"/>
                    <w:keepLines w:val="0"/>
                    <w:suppressLineNumbers w:val="0"/>
                    <w:snapToGrid w:val="0"/>
                    <w:spacing w:before="0" w:beforeAutospacing="0" w:after="0" w:afterAutospacing="0"/>
                    <w:ind w:left="0" w:right="0"/>
                    <w:jc w:val="center"/>
                    <w:rPr>
                      <w:rFonts w:hint="eastAsia"/>
                      <w:color w:val="auto"/>
                      <w:sz w:val="22"/>
                      <w:szCs w:val="22"/>
                      <w:highlight w:val="none"/>
                    </w:rPr>
                  </w:pPr>
                </w:p>
              </w:tc>
              <w:tc>
                <w:tcPr>
                  <w:tcW w:w="1173" w:type="pct"/>
                  <w:vMerge w:val="continue"/>
                  <w:vAlign w:val="center"/>
                </w:tcPr>
                <w:p w14:paraId="400E30F8">
                  <w:pPr>
                    <w:keepNext w:val="0"/>
                    <w:keepLines w:val="0"/>
                    <w:suppressLineNumbers w:val="0"/>
                    <w:snapToGrid w:val="0"/>
                    <w:spacing w:before="0" w:beforeAutospacing="0" w:after="0" w:afterAutospacing="0"/>
                    <w:ind w:left="0" w:right="0"/>
                    <w:jc w:val="center"/>
                    <w:rPr>
                      <w:rFonts w:hint="eastAsia"/>
                      <w:color w:val="auto"/>
                      <w:sz w:val="22"/>
                      <w:szCs w:val="22"/>
                      <w:highlight w:val="none"/>
                      <w:lang w:val="en-US" w:eastAsia="zh-CN"/>
                    </w:rPr>
                  </w:pPr>
                </w:p>
              </w:tc>
              <w:tc>
                <w:tcPr>
                  <w:tcW w:w="789" w:type="pct"/>
                  <w:vAlign w:val="center"/>
                </w:tcPr>
                <w:p w14:paraId="69633BD3">
                  <w:pPr>
                    <w:keepNext w:val="0"/>
                    <w:keepLines w:val="0"/>
                    <w:suppressLineNumbers w:val="0"/>
                    <w:snapToGrid w:val="0"/>
                    <w:spacing w:before="0" w:beforeAutospacing="0" w:after="0" w:afterAutospacing="0"/>
                    <w:ind w:left="0" w:right="0"/>
                    <w:jc w:val="center"/>
                    <w:rPr>
                      <w:rFonts w:hint="default"/>
                      <w:color w:val="auto"/>
                      <w:sz w:val="22"/>
                      <w:szCs w:val="22"/>
                      <w:highlight w:val="none"/>
                      <w:lang w:val="en-US" w:eastAsia="zh-CN"/>
                    </w:rPr>
                  </w:pPr>
                  <w:r>
                    <w:rPr>
                      <w:rFonts w:hint="eastAsia"/>
                      <w:color w:val="auto"/>
                      <w:sz w:val="22"/>
                      <w:szCs w:val="22"/>
                      <w:highlight w:val="none"/>
                      <w:lang w:val="en-US" w:eastAsia="zh-CN"/>
                    </w:rPr>
                    <w:t>合计</w:t>
                  </w:r>
                </w:p>
              </w:tc>
              <w:tc>
                <w:tcPr>
                  <w:tcW w:w="2327" w:type="pct"/>
                  <w:vAlign w:val="center"/>
                </w:tcPr>
                <w:p w14:paraId="1E101F46">
                  <w:pPr>
                    <w:pStyle w:val="86"/>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0.7985</w:t>
                  </w:r>
                </w:p>
              </w:tc>
            </w:tr>
            <w:tr w14:paraId="65AF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9" w:type="pct"/>
                  <w:vMerge w:val="continue"/>
                  <w:vAlign w:val="center"/>
                </w:tcPr>
                <w:p w14:paraId="2430C244">
                  <w:pPr>
                    <w:keepNext w:val="0"/>
                    <w:keepLines w:val="0"/>
                    <w:suppressLineNumbers w:val="0"/>
                    <w:snapToGrid w:val="0"/>
                    <w:spacing w:before="0" w:beforeAutospacing="0" w:after="0" w:afterAutospacing="0"/>
                    <w:ind w:left="0" w:right="0"/>
                    <w:jc w:val="center"/>
                    <w:rPr>
                      <w:rFonts w:hint="eastAsia"/>
                      <w:color w:val="auto"/>
                      <w:sz w:val="22"/>
                      <w:szCs w:val="22"/>
                      <w:highlight w:val="none"/>
                    </w:rPr>
                  </w:pPr>
                </w:p>
              </w:tc>
              <w:tc>
                <w:tcPr>
                  <w:tcW w:w="1173" w:type="pct"/>
                  <w:vMerge w:val="restart"/>
                  <w:vAlign w:val="center"/>
                </w:tcPr>
                <w:p w14:paraId="25FEDAAE">
                  <w:pPr>
                    <w:keepNext w:val="0"/>
                    <w:keepLines w:val="0"/>
                    <w:suppressLineNumbers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NMHC</w:t>
                  </w:r>
                </w:p>
              </w:tc>
              <w:tc>
                <w:tcPr>
                  <w:tcW w:w="1450" w:type="dxa"/>
                  <w:vAlign w:val="center"/>
                </w:tcPr>
                <w:p w14:paraId="021EEB50">
                  <w:pPr>
                    <w:keepNext w:val="0"/>
                    <w:keepLines w:val="0"/>
                    <w:suppressLineNumbers w:val="0"/>
                    <w:snapToGrid w:val="0"/>
                    <w:spacing w:before="0" w:beforeAutospacing="0" w:after="0" w:afterAutospacing="0"/>
                    <w:ind w:left="0" w:leftChars="0" w:right="0" w:rightChars="0"/>
                    <w:jc w:val="center"/>
                    <w:rPr>
                      <w:rFonts w:hint="eastAsia"/>
                      <w:color w:val="auto"/>
                      <w:sz w:val="22"/>
                      <w:szCs w:val="22"/>
                      <w:highlight w:val="none"/>
                      <w:lang w:val="en-US" w:eastAsia="zh-CN"/>
                    </w:rPr>
                  </w:pPr>
                  <w:r>
                    <w:rPr>
                      <w:rFonts w:hint="eastAsia"/>
                      <w:color w:val="auto"/>
                      <w:sz w:val="22"/>
                      <w:szCs w:val="22"/>
                      <w:highlight w:val="none"/>
                      <w:lang w:val="en-US" w:eastAsia="zh-CN"/>
                    </w:rPr>
                    <w:t>有组织</w:t>
                  </w:r>
                </w:p>
              </w:tc>
              <w:tc>
                <w:tcPr>
                  <w:tcW w:w="2327" w:type="pct"/>
                  <w:vAlign w:val="center"/>
                </w:tcPr>
                <w:p w14:paraId="1337FAFF">
                  <w:pPr>
                    <w:pStyle w:val="86"/>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1.4038</w:t>
                  </w:r>
                </w:p>
              </w:tc>
            </w:tr>
            <w:tr w14:paraId="5F44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09" w:type="pct"/>
                  <w:vMerge w:val="continue"/>
                  <w:vAlign w:val="center"/>
                </w:tcPr>
                <w:p w14:paraId="077345AB">
                  <w:pPr>
                    <w:keepNext w:val="0"/>
                    <w:keepLines w:val="0"/>
                    <w:suppressLineNumbers w:val="0"/>
                    <w:snapToGrid w:val="0"/>
                    <w:spacing w:before="0" w:beforeAutospacing="0" w:after="0" w:afterAutospacing="0"/>
                    <w:ind w:left="0" w:right="0"/>
                    <w:jc w:val="center"/>
                    <w:rPr>
                      <w:rFonts w:hint="eastAsia"/>
                      <w:color w:val="auto"/>
                      <w:sz w:val="22"/>
                      <w:szCs w:val="22"/>
                      <w:highlight w:val="none"/>
                    </w:rPr>
                  </w:pPr>
                </w:p>
              </w:tc>
              <w:tc>
                <w:tcPr>
                  <w:tcW w:w="1173" w:type="pct"/>
                  <w:vMerge w:val="continue"/>
                  <w:vAlign w:val="center"/>
                </w:tcPr>
                <w:p w14:paraId="4C38599E">
                  <w:pPr>
                    <w:keepNext w:val="0"/>
                    <w:keepLines w:val="0"/>
                    <w:suppressLineNumbers w:val="0"/>
                    <w:snapToGrid w:val="0"/>
                    <w:spacing w:before="0" w:beforeAutospacing="0" w:after="0" w:afterAutospacing="0"/>
                    <w:ind w:left="0" w:right="0"/>
                    <w:jc w:val="center"/>
                    <w:rPr>
                      <w:rFonts w:hint="eastAsia"/>
                      <w:color w:val="auto"/>
                      <w:sz w:val="22"/>
                      <w:szCs w:val="22"/>
                      <w:highlight w:val="none"/>
                      <w:lang w:val="en-US" w:eastAsia="zh-CN"/>
                    </w:rPr>
                  </w:pPr>
                </w:p>
              </w:tc>
              <w:tc>
                <w:tcPr>
                  <w:tcW w:w="1450" w:type="dxa"/>
                  <w:vAlign w:val="center"/>
                </w:tcPr>
                <w:p w14:paraId="2FD77A7D">
                  <w:pPr>
                    <w:keepNext w:val="0"/>
                    <w:keepLines w:val="0"/>
                    <w:suppressLineNumbers w:val="0"/>
                    <w:snapToGrid w:val="0"/>
                    <w:spacing w:before="0" w:beforeAutospacing="0" w:after="0" w:afterAutospacing="0"/>
                    <w:ind w:left="0" w:leftChars="0" w:right="0" w:rightChars="0"/>
                    <w:jc w:val="center"/>
                    <w:rPr>
                      <w:rFonts w:hint="eastAsia"/>
                      <w:color w:val="auto"/>
                      <w:sz w:val="22"/>
                      <w:szCs w:val="22"/>
                      <w:highlight w:val="none"/>
                      <w:lang w:val="en-US" w:eastAsia="zh-CN"/>
                    </w:rPr>
                  </w:pPr>
                  <w:r>
                    <w:rPr>
                      <w:rFonts w:hint="eastAsia"/>
                      <w:color w:val="auto"/>
                      <w:sz w:val="22"/>
                      <w:szCs w:val="22"/>
                      <w:highlight w:val="none"/>
                      <w:lang w:val="en-US" w:eastAsia="zh-CN"/>
                    </w:rPr>
                    <w:t>无组织</w:t>
                  </w:r>
                </w:p>
              </w:tc>
              <w:tc>
                <w:tcPr>
                  <w:tcW w:w="2327" w:type="pct"/>
                  <w:vAlign w:val="center"/>
                </w:tcPr>
                <w:p w14:paraId="7C2007F6">
                  <w:pPr>
                    <w:pStyle w:val="86"/>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3.076</w:t>
                  </w:r>
                </w:p>
              </w:tc>
            </w:tr>
            <w:tr w14:paraId="3F04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pct"/>
                  <w:vMerge w:val="continue"/>
                  <w:vAlign w:val="center"/>
                </w:tcPr>
                <w:p w14:paraId="7E846E7E">
                  <w:pPr>
                    <w:keepNext w:val="0"/>
                    <w:keepLines w:val="0"/>
                    <w:suppressLineNumbers w:val="0"/>
                    <w:snapToGrid w:val="0"/>
                    <w:spacing w:before="0" w:beforeAutospacing="0" w:after="0" w:afterAutospacing="0"/>
                    <w:ind w:left="0" w:right="0"/>
                    <w:jc w:val="center"/>
                    <w:rPr>
                      <w:rFonts w:hint="eastAsia"/>
                      <w:color w:val="auto"/>
                      <w:sz w:val="22"/>
                      <w:szCs w:val="22"/>
                      <w:highlight w:val="none"/>
                    </w:rPr>
                  </w:pPr>
                </w:p>
              </w:tc>
              <w:tc>
                <w:tcPr>
                  <w:tcW w:w="1173" w:type="pct"/>
                  <w:vMerge w:val="continue"/>
                  <w:vAlign w:val="center"/>
                </w:tcPr>
                <w:p w14:paraId="6F03429D">
                  <w:pPr>
                    <w:keepNext w:val="0"/>
                    <w:keepLines w:val="0"/>
                    <w:suppressLineNumbers w:val="0"/>
                    <w:snapToGrid w:val="0"/>
                    <w:spacing w:before="0" w:beforeAutospacing="0" w:after="0" w:afterAutospacing="0"/>
                    <w:ind w:left="0" w:right="0"/>
                    <w:jc w:val="center"/>
                    <w:rPr>
                      <w:rFonts w:hint="eastAsia"/>
                      <w:color w:val="auto"/>
                      <w:sz w:val="22"/>
                      <w:szCs w:val="22"/>
                      <w:highlight w:val="none"/>
                      <w:lang w:val="en-US" w:eastAsia="zh-CN"/>
                    </w:rPr>
                  </w:pPr>
                </w:p>
              </w:tc>
              <w:tc>
                <w:tcPr>
                  <w:tcW w:w="1450" w:type="dxa"/>
                  <w:vAlign w:val="center"/>
                </w:tcPr>
                <w:p w14:paraId="511D8CD8">
                  <w:pPr>
                    <w:keepNext w:val="0"/>
                    <w:keepLines w:val="0"/>
                    <w:suppressLineNumbers w:val="0"/>
                    <w:snapToGrid w:val="0"/>
                    <w:spacing w:before="0" w:beforeAutospacing="0" w:after="0" w:afterAutospacing="0"/>
                    <w:ind w:left="0" w:leftChars="0" w:right="0" w:rightChars="0"/>
                    <w:jc w:val="center"/>
                    <w:rPr>
                      <w:rFonts w:hint="eastAsia"/>
                      <w:color w:val="auto"/>
                      <w:sz w:val="22"/>
                      <w:szCs w:val="22"/>
                      <w:highlight w:val="none"/>
                      <w:lang w:val="en-US" w:eastAsia="zh-CN"/>
                    </w:rPr>
                  </w:pPr>
                  <w:r>
                    <w:rPr>
                      <w:rFonts w:hint="eastAsia"/>
                      <w:color w:val="auto"/>
                      <w:sz w:val="22"/>
                      <w:szCs w:val="22"/>
                      <w:highlight w:val="none"/>
                      <w:lang w:val="en-US" w:eastAsia="zh-CN"/>
                    </w:rPr>
                    <w:t>合计</w:t>
                  </w:r>
                </w:p>
              </w:tc>
              <w:tc>
                <w:tcPr>
                  <w:tcW w:w="2327" w:type="pct"/>
                  <w:vAlign w:val="center"/>
                </w:tcPr>
                <w:p w14:paraId="5D206FB4">
                  <w:pPr>
                    <w:pStyle w:val="86"/>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4.4797</w:t>
                  </w:r>
                </w:p>
              </w:tc>
            </w:tr>
            <w:tr w14:paraId="5A36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9" w:type="pct"/>
                  <w:vMerge w:val="restart"/>
                  <w:vAlign w:val="center"/>
                </w:tcPr>
                <w:p w14:paraId="6E05F87D">
                  <w:pPr>
                    <w:keepNext w:val="0"/>
                    <w:keepLines w:val="0"/>
                    <w:suppressLineNumbers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污废水</w:t>
                  </w:r>
                </w:p>
              </w:tc>
              <w:tc>
                <w:tcPr>
                  <w:tcW w:w="1962" w:type="pct"/>
                  <w:gridSpan w:val="2"/>
                  <w:vAlign w:val="center"/>
                </w:tcPr>
                <w:p w14:paraId="1FB572A7">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COD</w:t>
                  </w:r>
                </w:p>
              </w:tc>
              <w:tc>
                <w:tcPr>
                  <w:tcW w:w="2327" w:type="pct"/>
                  <w:vAlign w:val="center"/>
                </w:tcPr>
                <w:p w14:paraId="08754BAC">
                  <w:pPr>
                    <w:pStyle w:val="86"/>
                    <w:keepNext w:val="0"/>
                    <w:keepLines w:val="0"/>
                    <w:suppressLineNumbers w:val="0"/>
                    <w:bidi w:val="0"/>
                    <w:spacing w:before="0" w:beforeAutospacing="0" w:after="0" w:afterAutospacing="0"/>
                    <w:ind w:left="0" w:leftChars="0" w:right="0" w:rightChars="0" w:firstLine="0" w:firstLineChars="0"/>
                    <w:rPr>
                      <w:rFonts w:hint="default" w:eastAsia="宋体"/>
                      <w:color w:val="auto"/>
                      <w:sz w:val="22"/>
                      <w:szCs w:val="22"/>
                      <w:highlight w:val="none"/>
                      <w:lang w:val="en-US" w:eastAsia="zh-CN"/>
                    </w:rPr>
                  </w:pPr>
                  <w:r>
                    <w:rPr>
                      <w:rFonts w:hint="eastAsia"/>
                      <w:color w:val="auto"/>
                      <w:highlight w:val="none"/>
                      <w:lang w:val="en-US" w:eastAsia="zh-CN"/>
                    </w:rPr>
                    <w:t>0.1856</w:t>
                  </w:r>
                </w:p>
              </w:tc>
            </w:tr>
            <w:tr w14:paraId="7621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pct"/>
                  <w:vMerge w:val="continue"/>
                  <w:vAlign w:val="center"/>
                </w:tcPr>
                <w:p w14:paraId="78F75FEA">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p>
              </w:tc>
              <w:tc>
                <w:tcPr>
                  <w:tcW w:w="1962" w:type="pct"/>
                  <w:gridSpan w:val="2"/>
                  <w:vAlign w:val="center"/>
                </w:tcPr>
                <w:p w14:paraId="3B5C11DF">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NH</w:t>
                  </w:r>
                  <w:r>
                    <w:rPr>
                      <w:rFonts w:hint="default"/>
                      <w:color w:val="auto"/>
                      <w:sz w:val="22"/>
                      <w:szCs w:val="22"/>
                      <w:highlight w:val="none"/>
                      <w:vertAlign w:val="subscript"/>
                    </w:rPr>
                    <w:t>3</w:t>
                  </w:r>
                  <w:r>
                    <w:rPr>
                      <w:rFonts w:hint="default"/>
                      <w:color w:val="auto"/>
                      <w:sz w:val="22"/>
                      <w:szCs w:val="22"/>
                      <w:highlight w:val="none"/>
                    </w:rPr>
                    <w:t>-</w:t>
                  </w:r>
                  <w:r>
                    <w:rPr>
                      <w:rFonts w:hint="eastAsia"/>
                      <w:color w:val="auto"/>
                      <w:sz w:val="22"/>
                      <w:szCs w:val="22"/>
                      <w:highlight w:val="none"/>
                    </w:rPr>
                    <w:t>N</w:t>
                  </w:r>
                </w:p>
              </w:tc>
              <w:tc>
                <w:tcPr>
                  <w:tcW w:w="2327" w:type="pct"/>
                  <w:vAlign w:val="center"/>
                </w:tcPr>
                <w:p w14:paraId="26114AAC">
                  <w:pPr>
                    <w:pStyle w:val="86"/>
                    <w:keepNext w:val="0"/>
                    <w:keepLines w:val="0"/>
                    <w:suppressLineNumbers w:val="0"/>
                    <w:bidi w:val="0"/>
                    <w:spacing w:before="0" w:beforeAutospacing="0" w:after="0" w:afterAutospacing="0"/>
                    <w:ind w:left="0" w:leftChars="0" w:right="0" w:rightChars="0" w:firstLine="0" w:firstLineChars="0"/>
                    <w:rPr>
                      <w:rFonts w:hint="default" w:eastAsia="宋体"/>
                      <w:color w:val="auto"/>
                      <w:sz w:val="22"/>
                      <w:szCs w:val="22"/>
                      <w:highlight w:val="none"/>
                      <w:lang w:val="en-US" w:eastAsia="zh-CN"/>
                    </w:rPr>
                  </w:pPr>
                  <w:r>
                    <w:rPr>
                      <w:rFonts w:hint="eastAsia"/>
                      <w:color w:val="auto"/>
                      <w:highlight w:val="none"/>
                      <w:lang w:val="en-US" w:eastAsia="zh-CN"/>
                    </w:rPr>
                    <w:t>0.0238</w:t>
                  </w:r>
                </w:p>
              </w:tc>
            </w:tr>
            <w:tr w14:paraId="36AA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vAlign w:val="center"/>
                </w:tcPr>
                <w:p w14:paraId="13001318">
                  <w:pPr>
                    <w:pStyle w:val="86"/>
                    <w:keepNext w:val="0"/>
                    <w:keepLines w:val="0"/>
                    <w:suppressLineNumbers w:val="0"/>
                    <w:bidi w:val="0"/>
                    <w:spacing w:before="0" w:beforeAutospacing="0" w:after="0" w:afterAutospacing="0"/>
                    <w:ind w:left="0" w:leftChars="0" w:right="0" w:rightChars="0" w:firstLine="0" w:firstLineChars="0"/>
                    <w:jc w:val="both"/>
                    <w:rPr>
                      <w:rFonts w:hint="default"/>
                      <w:color w:val="auto"/>
                      <w:highlight w:val="none"/>
                      <w:lang w:val="en-US" w:eastAsia="zh-CN"/>
                    </w:rPr>
                  </w:pPr>
                  <w:r>
                    <w:rPr>
                      <w:rFonts w:hint="eastAsia"/>
                      <w:color w:val="auto"/>
                      <w:highlight w:val="none"/>
                      <w:lang w:val="en-US" w:eastAsia="zh-CN"/>
                    </w:rPr>
                    <w:t>注：上表为远期园区污水处理厂投运后，废水污染物经园区污水处理厂深度处理后排入外环境的总量。</w:t>
                  </w:r>
                </w:p>
              </w:tc>
            </w:tr>
          </w:tbl>
          <w:p w14:paraId="004F94D1">
            <w:pPr>
              <w:keepNext w:val="0"/>
              <w:keepLines w:val="0"/>
              <w:suppressLineNumbers w:val="0"/>
              <w:snapToGrid w:val="0"/>
              <w:spacing w:before="0" w:beforeAutospacing="0" w:after="0" w:afterAutospacing="0" w:line="320" w:lineRule="exact"/>
              <w:ind w:left="0" w:right="0"/>
              <w:rPr>
                <w:rFonts w:hint="default"/>
                <w:color w:val="auto"/>
                <w:sz w:val="18"/>
                <w:szCs w:val="18"/>
                <w:highlight w:val="none"/>
              </w:rPr>
            </w:pPr>
          </w:p>
        </w:tc>
      </w:tr>
    </w:tbl>
    <w:p w14:paraId="02EE90D0">
      <w:pPr>
        <w:pStyle w:val="23"/>
        <w:rPr>
          <w:snapToGrid w:val="0"/>
          <w:color w:val="auto"/>
          <w:highlight w:val="none"/>
        </w:rPr>
      </w:pPr>
      <w:r>
        <w:rPr>
          <w:snapToGrid w:val="0"/>
          <w:color w:val="auto"/>
          <w:szCs w:val="21"/>
          <w:highlight w:val="none"/>
        </w:rPr>
        <w:br w:type="page"/>
      </w:r>
      <w:r>
        <w:rPr>
          <w:snapToGrid w:val="0"/>
          <w:color w:val="auto"/>
          <w:highlight w:val="none"/>
        </w:rPr>
        <w:t>四、主要环境影响和保护措施</w:t>
      </w:r>
    </w:p>
    <w:tbl>
      <w:tblPr>
        <w:tblStyle w:val="25"/>
        <w:tblW w:w="48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134"/>
      </w:tblGrid>
      <w:tr w14:paraId="3646E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3" w:type="dxa"/>
            <w:tcMar>
              <w:left w:w="28" w:type="dxa"/>
              <w:right w:w="28" w:type="dxa"/>
            </w:tcMar>
            <w:vAlign w:val="center"/>
          </w:tcPr>
          <w:p w14:paraId="269A227F">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2"/>
                <w:sz w:val="26"/>
                <w:szCs w:val="26"/>
                <w:highlight w:val="none"/>
              </w:rPr>
            </w:pPr>
            <w:r>
              <w:rPr>
                <w:rFonts w:hint="default" w:ascii="Times New Roman" w:hAnsi="Times New Roman"/>
                <w:color w:val="auto"/>
                <w:kern w:val="2"/>
                <w:sz w:val="26"/>
                <w:szCs w:val="26"/>
                <w:highlight w:val="none"/>
              </w:rPr>
              <w:t>施工</w:t>
            </w:r>
          </w:p>
          <w:p w14:paraId="7C8488F6">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2"/>
                <w:sz w:val="26"/>
                <w:szCs w:val="26"/>
                <w:highlight w:val="none"/>
              </w:rPr>
            </w:pPr>
            <w:r>
              <w:rPr>
                <w:rFonts w:hint="default" w:ascii="Times New Roman" w:hAnsi="Times New Roman"/>
                <w:color w:val="auto"/>
                <w:kern w:val="2"/>
                <w:sz w:val="26"/>
                <w:szCs w:val="26"/>
                <w:highlight w:val="none"/>
              </w:rPr>
              <w:t>期环</w:t>
            </w:r>
          </w:p>
          <w:p w14:paraId="2B3475D9">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2"/>
                <w:sz w:val="26"/>
                <w:szCs w:val="26"/>
                <w:highlight w:val="none"/>
              </w:rPr>
            </w:pPr>
            <w:r>
              <w:rPr>
                <w:rFonts w:hint="default" w:ascii="Times New Roman" w:hAnsi="Times New Roman"/>
                <w:color w:val="auto"/>
                <w:kern w:val="2"/>
                <w:sz w:val="26"/>
                <w:szCs w:val="26"/>
                <w:highlight w:val="none"/>
              </w:rPr>
              <w:t>境保</w:t>
            </w:r>
          </w:p>
          <w:p w14:paraId="70D2D24C">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2"/>
                <w:sz w:val="26"/>
                <w:szCs w:val="26"/>
                <w:highlight w:val="none"/>
              </w:rPr>
            </w:pPr>
            <w:r>
              <w:rPr>
                <w:rFonts w:hint="default" w:ascii="Times New Roman" w:hAnsi="Times New Roman"/>
                <w:color w:val="auto"/>
                <w:kern w:val="2"/>
                <w:sz w:val="26"/>
                <w:szCs w:val="26"/>
                <w:highlight w:val="none"/>
              </w:rPr>
              <w:t>护措</w:t>
            </w:r>
          </w:p>
          <w:p w14:paraId="59B4F26E">
            <w:pPr>
              <w:pStyle w:val="22"/>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2"/>
                <w:sz w:val="21"/>
                <w:szCs w:val="21"/>
                <w:highlight w:val="none"/>
              </w:rPr>
            </w:pPr>
            <w:r>
              <w:rPr>
                <w:rFonts w:hint="default" w:ascii="Times New Roman" w:hAnsi="Times New Roman"/>
                <w:color w:val="auto"/>
                <w:kern w:val="2"/>
                <w:sz w:val="26"/>
                <w:szCs w:val="26"/>
                <w:highlight w:val="none"/>
              </w:rPr>
              <w:t>施</w:t>
            </w:r>
          </w:p>
        </w:tc>
        <w:tc>
          <w:tcPr>
            <w:tcW w:w="9059" w:type="dxa"/>
            <w:vAlign w:val="center"/>
          </w:tcPr>
          <w:p w14:paraId="6E2DA820">
            <w:pPr>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cs="Times New Roman"/>
                <w:b/>
                <w:bCs/>
                <w:color w:val="auto"/>
                <w:sz w:val="26"/>
                <w:szCs w:val="26"/>
                <w:highlight w:val="none"/>
              </w:rPr>
            </w:pPr>
            <w:r>
              <w:rPr>
                <w:rFonts w:hint="eastAsia" w:ascii="Times New Roman" w:hAnsi="Times New Roman" w:cs="Times New Roman"/>
                <w:b/>
                <w:bCs/>
                <w:color w:val="auto"/>
                <w:sz w:val="26"/>
                <w:szCs w:val="26"/>
                <w:highlight w:val="none"/>
              </w:rPr>
              <w:t>4</w:t>
            </w:r>
            <w:r>
              <w:rPr>
                <w:rFonts w:hint="default" w:ascii="Times New Roman" w:hAnsi="Times New Roman" w:cs="Times New Roman"/>
                <w:b/>
                <w:bCs/>
                <w:color w:val="auto"/>
                <w:sz w:val="26"/>
                <w:szCs w:val="26"/>
                <w:highlight w:val="none"/>
              </w:rPr>
              <w:t>.1</w:t>
            </w:r>
            <w:r>
              <w:rPr>
                <w:rFonts w:hint="eastAsia" w:ascii="Times New Roman" w:hAnsi="Times New Roman" w:cs="Times New Roman"/>
                <w:b/>
                <w:bCs/>
                <w:color w:val="auto"/>
                <w:sz w:val="26"/>
                <w:szCs w:val="26"/>
                <w:highlight w:val="none"/>
              </w:rPr>
              <w:t>施工期环境保护措施</w:t>
            </w:r>
          </w:p>
          <w:p w14:paraId="0FF9346B">
            <w:pPr>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rPr>
              <w:t>4.1.1</w:t>
            </w:r>
            <w:r>
              <w:rPr>
                <w:rFonts w:hint="eastAsia" w:ascii="Times New Roman" w:hAnsi="Times New Roman" w:cs="Times New Roman"/>
                <w:b/>
                <w:bCs/>
                <w:color w:val="auto"/>
                <w:sz w:val="26"/>
                <w:szCs w:val="26"/>
                <w:highlight w:val="none"/>
              </w:rPr>
              <w:t>废水</w:t>
            </w:r>
          </w:p>
          <w:p w14:paraId="2D42107E">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（1）</w:t>
            </w:r>
            <w:r>
              <w:rPr>
                <w:rFonts w:hint="eastAsia" w:ascii="Times New Roman" w:hAnsi="Times New Roman" w:cs="Times New Roman"/>
                <w:color w:val="auto"/>
                <w:sz w:val="26"/>
                <w:szCs w:val="26"/>
                <w:highlight w:val="none"/>
                <w:lang w:val="en-US" w:eastAsia="zh-CN"/>
              </w:rPr>
              <w:t>项目</w:t>
            </w:r>
            <w:r>
              <w:rPr>
                <w:rFonts w:hint="eastAsia" w:cs="Times New Roman"/>
                <w:color w:val="auto"/>
                <w:sz w:val="26"/>
                <w:szCs w:val="26"/>
                <w:highlight w:val="none"/>
                <w:lang w:val="en-US" w:eastAsia="zh-CN"/>
              </w:rPr>
              <w:t>现阶段已建成生化池，施工期生活污水依托已建生化池处理，本项目施工期北渡园区污水处理厂已建成、但未投运，经市政污水管网排入旗能电铝污水处理站处理后回用，不外排</w:t>
            </w:r>
            <w:r>
              <w:rPr>
                <w:rFonts w:hint="eastAsia" w:ascii="Times New Roman" w:hAnsi="Times New Roman" w:cs="Times New Roman"/>
                <w:color w:val="auto"/>
                <w:sz w:val="26"/>
                <w:szCs w:val="26"/>
                <w:highlight w:val="none"/>
              </w:rPr>
              <w:t>。</w:t>
            </w:r>
          </w:p>
          <w:p w14:paraId="2D1D4545">
            <w:pPr>
              <w:keepNext w:val="0"/>
              <w:keepLines w:val="0"/>
              <w:suppressLineNumbers w:val="0"/>
              <w:adjustRightInd w:val="0"/>
              <w:snapToGrid w:val="0"/>
              <w:spacing w:before="0" w:beforeAutospacing="0" w:after="0" w:afterAutospacing="0" w:line="400" w:lineRule="exact"/>
              <w:ind w:left="0" w:right="0" w:firstLine="520" w:firstLineChars="200"/>
              <w:rPr>
                <w:rFonts w:hint="eastAsia"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2）施工区周边设挡土墙、排水沟。施工场地出口设置车辆冲洗装置及污水隔油、沉砂池，对驶出施工场地的施工机械或车辆进行冲洗。冲洗废水经隔油、沉淀处理后，回用于施工机械及运输车辆的冲洗，不外排。</w:t>
            </w:r>
          </w:p>
          <w:p w14:paraId="002A8B84">
            <w:pPr>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cs="Times New Roman"/>
                <w:b/>
                <w:bCs/>
                <w:color w:val="auto"/>
                <w:sz w:val="26"/>
                <w:szCs w:val="26"/>
                <w:highlight w:val="none"/>
              </w:rPr>
            </w:pPr>
            <w:r>
              <w:rPr>
                <w:rFonts w:hint="eastAsia" w:ascii="Times New Roman" w:hAnsi="Times New Roman" w:cs="Times New Roman"/>
                <w:b/>
                <w:bCs/>
                <w:color w:val="auto"/>
                <w:sz w:val="26"/>
                <w:szCs w:val="26"/>
                <w:highlight w:val="none"/>
              </w:rPr>
              <w:t>4.1.2废气</w:t>
            </w:r>
          </w:p>
          <w:p w14:paraId="48D42C3C">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根据《重庆市大气污染防治条例》，施工单位应当遵守以下规定防治扬尘污染：“按照技术规范设置围墙或者硬质围挡封闭施工，硬化进出口及场内道路并采取冲洗、洒水等措施控制扬尘。设置车辆冲洗设施及配套的沉沙井和截水沟，对驶出工地的车辆进行冲洗。对露天堆放河沙、石粉、水泥、灰浆、灰膏等易扬撒的物料以及四十八小时内不能清运的建筑垃圾，设置不低于堆放物高度的密闭围栏并对堆放物品予以覆盖。产生大量泥浆的施工，应当配备相应的泥浆池、泥浆沟，防止泥浆外流。施工作业时产生的废浆，应当用密闭罐车外运。禁止从三米以上高处抛撒建筑垃圾或者易扬撒的物料。对开挖、拆除、切割等施工作业面（点）进行封闭施工或者采取洒水、喷淋等控尘降尘措施。房屋建设施工应当随建筑物墙体上升，同步设置高于作业面且符合安全要求的密目式安全网。建筑垃圾应当在申请项目竣工验收前清除”。</w:t>
            </w:r>
          </w:p>
          <w:p w14:paraId="150BD6B8">
            <w:pPr>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4.1.</w:t>
            </w:r>
            <w:r>
              <w:rPr>
                <w:rFonts w:hint="eastAsia" w:ascii="Times New Roman" w:hAnsi="Times New Roman" w:cs="Times New Roman"/>
                <w:b/>
                <w:bCs/>
                <w:color w:val="auto"/>
                <w:sz w:val="26"/>
                <w:szCs w:val="26"/>
                <w:highlight w:val="none"/>
              </w:rPr>
              <w:t>3噪声</w:t>
            </w:r>
          </w:p>
          <w:p w14:paraId="3B73CD24">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（1）施工单位必须选用符合国家有关标准的施工机具，尽量选用低噪声的施工机械或工艺，从根本上降低噪声源强。同时加强施工机械的维护保养，避免由于设备性能差而使机械噪声增大的现象发生；</w:t>
            </w:r>
          </w:p>
          <w:p w14:paraId="4F785EFC">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（2）建设单位需严格按照《重庆市噪声污染防治办法》（渝府令〔2023〕363号）等文件的相关要求合理施工。</w:t>
            </w:r>
          </w:p>
          <w:p w14:paraId="3F9C753D">
            <w:pPr>
              <w:keepNext w:val="0"/>
              <w:keepLines w:val="0"/>
              <w:suppressLineNumbers w:val="0"/>
              <w:adjustRightInd w:val="0"/>
              <w:snapToGrid w:val="0"/>
              <w:spacing w:before="0" w:beforeAutospacing="0" w:after="0" w:afterAutospacing="0" w:line="400" w:lineRule="exact"/>
              <w:ind w:left="0" w:right="0" w:firstLine="522" w:firstLineChars="200"/>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4.1.</w:t>
            </w:r>
            <w:r>
              <w:rPr>
                <w:rFonts w:hint="eastAsia" w:ascii="Times New Roman" w:hAnsi="Times New Roman" w:cs="Times New Roman"/>
                <w:b/>
                <w:bCs/>
                <w:color w:val="auto"/>
                <w:sz w:val="26"/>
                <w:szCs w:val="26"/>
                <w:highlight w:val="none"/>
              </w:rPr>
              <w:t>4固体废弃物</w:t>
            </w:r>
          </w:p>
          <w:p w14:paraId="52919A97">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（1）施工人员的生活垃圾由垃圾桶收集，再由环卫部门统一收集处置。</w:t>
            </w:r>
          </w:p>
          <w:p w14:paraId="183153C8">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（2）建筑垃圾及时清运至至指定渣场妥善处置。</w:t>
            </w:r>
          </w:p>
          <w:p w14:paraId="70EC7D17">
            <w:pPr>
              <w:keepNext w:val="0"/>
              <w:keepLines w:val="0"/>
              <w:suppressLineNumbers w:val="0"/>
              <w:adjustRightInd w:val="0"/>
              <w:snapToGrid w:val="0"/>
              <w:spacing w:before="0" w:beforeAutospacing="0" w:after="0" w:afterAutospacing="0" w:line="400" w:lineRule="exact"/>
              <w:ind w:left="0" w:right="0" w:firstLine="520" w:firstLineChars="200"/>
              <w:rPr>
                <w:rFonts w:hint="default" w:ascii="Times New Roman" w:hAnsi="Times New Roman" w:cs="Times New Roman"/>
                <w:color w:val="auto"/>
                <w:sz w:val="26"/>
                <w:szCs w:val="26"/>
                <w:highlight w:val="none"/>
              </w:rPr>
            </w:pPr>
            <w:r>
              <w:rPr>
                <w:rFonts w:hint="eastAsia" w:ascii="Times New Roman" w:hAnsi="Times New Roman" w:cs="Times New Roman"/>
                <w:color w:val="auto"/>
                <w:sz w:val="26"/>
                <w:szCs w:val="26"/>
                <w:highlight w:val="none"/>
              </w:rPr>
              <w:t>（3）</w:t>
            </w:r>
            <w:r>
              <w:rPr>
                <w:rFonts w:hint="eastAsia" w:ascii="Times New Roman" w:hAnsi="Times New Roman" w:cs="Times New Roman"/>
                <w:color w:val="auto"/>
                <w:sz w:val="26"/>
                <w:szCs w:val="26"/>
                <w:highlight w:val="none"/>
                <w:lang w:val="en-US" w:eastAsia="zh-CN"/>
              </w:rPr>
              <w:t>项目场地</w:t>
            </w:r>
            <w:r>
              <w:rPr>
                <w:rFonts w:hint="eastAsia" w:cs="Times New Roman"/>
                <w:color w:val="auto"/>
                <w:sz w:val="26"/>
                <w:szCs w:val="26"/>
                <w:highlight w:val="none"/>
                <w:lang w:val="en-US" w:eastAsia="zh-CN"/>
              </w:rPr>
              <w:t>现</w:t>
            </w:r>
            <w:r>
              <w:rPr>
                <w:rFonts w:hint="eastAsia" w:ascii="Times New Roman" w:hAnsi="Times New Roman" w:cs="Times New Roman"/>
                <w:color w:val="auto"/>
                <w:sz w:val="26"/>
                <w:szCs w:val="26"/>
                <w:highlight w:val="none"/>
                <w:lang w:val="en-US" w:eastAsia="zh-CN"/>
              </w:rPr>
              <w:t>已完成初步平场</w:t>
            </w:r>
            <w:r>
              <w:rPr>
                <w:rFonts w:hint="eastAsia" w:ascii="Times New Roman" w:hAnsi="Times New Roman" w:cs="Times New Roman"/>
                <w:color w:val="auto"/>
                <w:sz w:val="26"/>
                <w:szCs w:val="26"/>
                <w:highlight w:val="none"/>
              </w:rPr>
              <w:t>，</w:t>
            </w:r>
            <w:r>
              <w:rPr>
                <w:rFonts w:hint="eastAsia" w:ascii="Times New Roman" w:hAnsi="Times New Roman" w:cs="Times New Roman"/>
                <w:color w:val="auto"/>
                <w:sz w:val="26"/>
                <w:szCs w:val="26"/>
                <w:highlight w:val="none"/>
                <w:lang w:val="en-US" w:eastAsia="zh-CN"/>
              </w:rPr>
              <w:t>项目施工期</w:t>
            </w:r>
            <w:r>
              <w:rPr>
                <w:rFonts w:hint="eastAsia" w:ascii="Times New Roman" w:hAnsi="Times New Roman" w:cs="Times New Roman"/>
                <w:color w:val="auto"/>
                <w:sz w:val="26"/>
                <w:szCs w:val="26"/>
                <w:highlight w:val="none"/>
              </w:rPr>
              <w:t>无外排弃方产生，土石方应集中堆放并覆布。</w:t>
            </w:r>
          </w:p>
        </w:tc>
      </w:tr>
    </w:tbl>
    <w:p w14:paraId="6D1A5092">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default"/>
          <w:bCs/>
          <w:color w:val="auto"/>
          <w:sz w:val="26"/>
          <w:szCs w:val="26"/>
          <w:highlight w:val="none"/>
        </w:rPr>
        <w:br w:type="page"/>
      </w:r>
    </w:p>
    <w:tbl>
      <w:tblPr>
        <w:tblStyle w:val="25"/>
        <w:tblW w:w="48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134"/>
      </w:tblGrid>
      <w:tr w14:paraId="6F52D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 w:type="dxa"/>
            <w:tcMar>
              <w:left w:w="28" w:type="dxa"/>
              <w:right w:w="28" w:type="dxa"/>
            </w:tcMar>
            <w:vAlign w:val="center"/>
          </w:tcPr>
          <w:p w14:paraId="04E5BB6A">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default"/>
                <w:bCs/>
                <w:color w:val="auto"/>
                <w:sz w:val="26"/>
                <w:szCs w:val="26"/>
                <w:highlight w:val="none"/>
              </w:rPr>
              <w:t>运营</w:t>
            </w:r>
          </w:p>
          <w:p w14:paraId="02D89D70">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default"/>
                <w:bCs/>
                <w:color w:val="auto"/>
                <w:sz w:val="26"/>
                <w:szCs w:val="26"/>
                <w:highlight w:val="none"/>
              </w:rPr>
              <w:t>期环</w:t>
            </w:r>
          </w:p>
          <w:p w14:paraId="327C01DA">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default"/>
                <w:bCs/>
                <w:color w:val="auto"/>
                <w:sz w:val="26"/>
                <w:szCs w:val="26"/>
                <w:highlight w:val="none"/>
              </w:rPr>
              <w:t>境影</w:t>
            </w:r>
          </w:p>
          <w:p w14:paraId="70C4C628">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default"/>
                <w:bCs/>
                <w:color w:val="auto"/>
                <w:sz w:val="26"/>
                <w:szCs w:val="26"/>
                <w:highlight w:val="none"/>
              </w:rPr>
              <w:t>响和</w:t>
            </w:r>
          </w:p>
          <w:p w14:paraId="673A7ACD">
            <w:pPr>
              <w:keepNext w:val="0"/>
              <w:keepLines w:val="0"/>
              <w:suppressLineNumbers w:val="0"/>
              <w:adjustRightInd w:val="0"/>
              <w:snapToGrid w:val="0"/>
              <w:spacing w:before="0" w:beforeAutospacing="0" w:after="0" w:afterAutospacing="0"/>
              <w:ind w:left="0" w:right="0"/>
              <w:jc w:val="center"/>
              <w:rPr>
                <w:rFonts w:hint="default"/>
                <w:bCs/>
                <w:color w:val="auto"/>
                <w:sz w:val="26"/>
                <w:szCs w:val="26"/>
                <w:highlight w:val="none"/>
              </w:rPr>
            </w:pPr>
            <w:r>
              <w:rPr>
                <w:rFonts w:hint="default"/>
                <w:bCs/>
                <w:color w:val="auto"/>
                <w:sz w:val="26"/>
                <w:szCs w:val="26"/>
                <w:highlight w:val="none"/>
              </w:rPr>
              <w:t>保护</w:t>
            </w:r>
          </w:p>
          <w:p w14:paraId="3356523B">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 w:val="26"/>
                <w:szCs w:val="26"/>
                <w:highlight w:val="none"/>
              </w:rPr>
              <w:t>措施</w:t>
            </w:r>
          </w:p>
        </w:tc>
        <w:tc>
          <w:tcPr>
            <w:tcW w:w="9059" w:type="dxa"/>
            <w:vAlign w:val="center"/>
          </w:tcPr>
          <w:p w14:paraId="5C50A950">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eastAsia"/>
                <w:b/>
                <w:color w:val="auto"/>
                <w:sz w:val="26"/>
                <w:highlight w:val="none"/>
              </w:rPr>
              <w:t>4</w:t>
            </w:r>
            <w:r>
              <w:rPr>
                <w:rFonts w:hint="default"/>
                <w:b/>
                <w:color w:val="auto"/>
                <w:sz w:val="26"/>
                <w:highlight w:val="none"/>
              </w:rPr>
              <w:t>.2</w:t>
            </w:r>
            <w:r>
              <w:rPr>
                <w:rFonts w:hint="eastAsia"/>
                <w:b/>
                <w:color w:val="auto"/>
                <w:sz w:val="26"/>
                <w:highlight w:val="none"/>
              </w:rPr>
              <w:t>运营期环境影响和保护措施</w:t>
            </w:r>
          </w:p>
          <w:p w14:paraId="2A8C46ED">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default"/>
                <w:b/>
                <w:color w:val="auto"/>
                <w:sz w:val="26"/>
                <w:highlight w:val="none"/>
              </w:rPr>
              <w:t>4.2.1</w:t>
            </w:r>
            <w:r>
              <w:rPr>
                <w:rFonts w:hint="eastAsia"/>
                <w:b/>
                <w:color w:val="auto"/>
                <w:sz w:val="26"/>
                <w:highlight w:val="none"/>
              </w:rPr>
              <w:t>废气</w:t>
            </w:r>
          </w:p>
          <w:p w14:paraId="46CE9073">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default"/>
                <w:b/>
                <w:color w:val="auto"/>
                <w:sz w:val="26"/>
                <w:highlight w:val="none"/>
              </w:rPr>
              <w:t>4.2.1.1</w:t>
            </w:r>
            <w:r>
              <w:rPr>
                <w:rFonts w:hint="eastAsia"/>
                <w:b/>
                <w:color w:val="auto"/>
                <w:sz w:val="26"/>
                <w:highlight w:val="none"/>
              </w:rPr>
              <w:t>废气产生</w:t>
            </w:r>
            <w:r>
              <w:rPr>
                <w:rFonts w:hint="eastAsia"/>
                <w:b/>
                <w:color w:val="auto"/>
                <w:sz w:val="26"/>
                <w:highlight w:val="none"/>
                <w:lang w:eastAsia="zh-CN"/>
              </w:rPr>
              <w:t>、</w:t>
            </w:r>
            <w:r>
              <w:rPr>
                <w:rFonts w:hint="eastAsia"/>
                <w:b/>
                <w:color w:val="auto"/>
                <w:sz w:val="26"/>
                <w:highlight w:val="none"/>
                <w:lang w:val="en-US" w:eastAsia="zh-CN"/>
              </w:rPr>
              <w:t>排放</w:t>
            </w:r>
            <w:r>
              <w:rPr>
                <w:rFonts w:hint="eastAsia"/>
                <w:b/>
                <w:color w:val="auto"/>
                <w:sz w:val="26"/>
                <w:highlight w:val="none"/>
              </w:rPr>
              <w:t>情况</w:t>
            </w:r>
          </w:p>
          <w:p w14:paraId="0253FEA8">
            <w:pPr>
              <w:keepNext w:val="0"/>
              <w:keepLines w:val="0"/>
              <w:suppressLineNumbers w:val="0"/>
              <w:spacing w:before="0" w:beforeAutospacing="0" w:after="0" w:afterAutospacing="0" w:line="400" w:lineRule="exact"/>
              <w:ind w:left="0" w:right="0" w:firstLine="520" w:firstLineChars="200"/>
              <w:rPr>
                <w:rFonts w:hint="eastAsia"/>
                <w:color w:val="auto"/>
                <w:sz w:val="26"/>
                <w:szCs w:val="26"/>
                <w:highlight w:val="none"/>
              </w:rPr>
            </w:pPr>
            <w:r>
              <w:rPr>
                <w:rFonts w:hint="eastAsia"/>
                <w:color w:val="auto"/>
                <w:sz w:val="26"/>
                <w:szCs w:val="26"/>
                <w:highlight w:val="none"/>
              </w:rPr>
              <w:t>本项目生产过程中废气主要为</w:t>
            </w:r>
            <w:r>
              <w:rPr>
                <w:rFonts w:hint="eastAsia"/>
                <w:color w:val="auto"/>
                <w:sz w:val="26"/>
                <w:szCs w:val="26"/>
                <w:highlight w:val="none"/>
                <w:lang w:eastAsia="zh-CN"/>
              </w:rPr>
              <w:t>：本项目营运期产生废气主要为热熔</w:t>
            </w:r>
            <w:r>
              <w:rPr>
                <w:rFonts w:hint="eastAsia"/>
                <w:color w:val="auto"/>
                <w:sz w:val="26"/>
                <w:szCs w:val="26"/>
                <w:highlight w:val="none"/>
                <w:lang w:val="en-US" w:eastAsia="zh-CN"/>
              </w:rPr>
              <w:t>及除渣废气</w:t>
            </w:r>
            <w:r>
              <w:rPr>
                <w:rFonts w:hint="eastAsia"/>
                <w:color w:val="auto"/>
                <w:sz w:val="26"/>
                <w:szCs w:val="26"/>
                <w:highlight w:val="none"/>
                <w:lang w:eastAsia="zh-CN"/>
              </w:rPr>
              <w:t>（</w:t>
            </w:r>
            <w:r>
              <w:rPr>
                <w:rFonts w:hint="eastAsia"/>
                <w:color w:val="auto"/>
                <w:sz w:val="26"/>
                <w:szCs w:val="26"/>
                <w:highlight w:val="none"/>
                <w:lang w:val="en-US" w:eastAsia="zh-CN"/>
              </w:rPr>
              <w:t>G1</w:t>
            </w:r>
            <w:r>
              <w:rPr>
                <w:rFonts w:hint="eastAsia"/>
                <w:color w:val="auto"/>
                <w:sz w:val="26"/>
                <w:szCs w:val="26"/>
                <w:highlight w:val="none"/>
                <w:lang w:eastAsia="zh-CN"/>
              </w:rPr>
              <w:t>）、压铸脱模产生的非甲烷总烃（</w:t>
            </w:r>
            <w:r>
              <w:rPr>
                <w:rFonts w:hint="eastAsia"/>
                <w:color w:val="auto"/>
                <w:sz w:val="26"/>
                <w:szCs w:val="26"/>
                <w:highlight w:val="none"/>
                <w:lang w:val="en-US" w:eastAsia="zh-CN"/>
              </w:rPr>
              <w:t>G2-1</w:t>
            </w:r>
            <w:r>
              <w:rPr>
                <w:rFonts w:hint="eastAsia"/>
                <w:color w:val="auto"/>
                <w:sz w:val="26"/>
                <w:szCs w:val="26"/>
                <w:highlight w:val="none"/>
                <w:lang w:eastAsia="zh-CN"/>
              </w:rPr>
              <w:t>）、浸胶产生的乙醇废气（非甲烷总烃计）（</w:t>
            </w:r>
            <w:r>
              <w:rPr>
                <w:rFonts w:hint="eastAsia"/>
                <w:color w:val="auto"/>
                <w:sz w:val="26"/>
                <w:szCs w:val="26"/>
                <w:highlight w:val="none"/>
                <w:lang w:val="en-US" w:eastAsia="zh-CN"/>
              </w:rPr>
              <w:t>G2-2</w:t>
            </w:r>
            <w:r>
              <w:rPr>
                <w:rFonts w:hint="eastAsia"/>
                <w:color w:val="auto"/>
                <w:sz w:val="26"/>
                <w:szCs w:val="26"/>
                <w:highlight w:val="none"/>
                <w:lang w:eastAsia="zh-CN"/>
              </w:rPr>
              <w:t>）、热压和固化产生的有机废气（非甲烷总烃计）（G2-3、G2-4）、抛丸和磨加工产生的粉尘（</w:t>
            </w:r>
            <w:r>
              <w:rPr>
                <w:rFonts w:hint="eastAsia"/>
                <w:color w:val="auto"/>
                <w:sz w:val="26"/>
                <w:szCs w:val="26"/>
                <w:highlight w:val="none"/>
                <w:lang w:val="en-US" w:eastAsia="zh-CN"/>
              </w:rPr>
              <w:t>G3-1、G3-2</w:t>
            </w:r>
            <w:r>
              <w:rPr>
                <w:rFonts w:hint="eastAsia"/>
                <w:color w:val="auto"/>
                <w:sz w:val="26"/>
                <w:szCs w:val="26"/>
                <w:highlight w:val="none"/>
                <w:lang w:eastAsia="zh-CN"/>
              </w:rPr>
              <w:t>）、搅拌和挤压</w:t>
            </w:r>
            <w:r>
              <w:rPr>
                <w:rFonts w:hint="eastAsia"/>
                <w:color w:val="auto"/>
                <w:sz w:val="26"/>
                <w:szCs w:val="26"/>
                <w:highlight w:val="none"/>
                <w:lang w:val="en-US" w:eastAsia="zh-CN"/>
              </w:rPr>
              <w:t>废气</w:t>
            </w:r>
            <w:r>
              <w:rPr>
                <w:rFonts w:hint="eastAsia"/>
                <w:color w:val="auto"/>
                <w:sz w:val="26"/>
                <w:szCs w:val="26"/>
                <w:highlight w:val="none"/>
                <w:lang w:eastAsia="zh-CN"/>
              </w:rPr>
              <w:t>（</w:t>
            </w:r>
            <w:r>
              <w:rPr>
                <w:rFonts w:hint="eastAsia"/>
                <w:color w:val="auto"/>
                <w:sz w:val="26"/>
                <w:szCs w:val="26"/>
                <w:highlight w:val="none"/>
                <w:lang w:val="en-US" w:eastAsia="zh-CN"/>
              </w:rPr>
              <w:t>G4、</w:t>
            </w:r>
            <w:r>
              <w:rPr>
                <w:rFonts w:hint="eastAsia"/>
                <w:color w:val="auto"/>
                <w:sz w:val="26"/>
                <w:szCs w:val="26"/>
                <w:highlight w:val="none"/>
                <w:lang w:eastAsia="zh-CN"/>
              </w:rPr>
              <w:t>颗粒物、臭气浓度、非甲烷总烃）以及食堂油烟（</w:t>
            </w:r>
            <w:r>
              <w:rPr>
                <w:rFonts w:hint="eastAsia"/>
                <w:color w:val="auto"/>
                <w:sz w:val="26"/>
                <w:szCs w:val="26"/>
                <w:highlight w:val="none"/>
                <w:lang w:val="en-US" w:eastAsia="zh-CN"/>
              </w:rPr>
              <w:t>G5</w:t>
            </w:r>
            <w:r>
              <w:rPr>
                <w:rFonts w:hint="eastAsia"/>
                <w:color w:val="auto"/>
                <w:sz w:val="26"/>
                <w:szCs w:val="26"/>
                <w:highlight w:val="none"/>
                <w:lang w:eastAsia="zh-CN"/>
              </w:rPr>
              <w:t>）、</w:t>
            </w:r>
            <w:r>
              <w:rPr>
                <w:rFonts w:hint="eastAsia"/>
                <w:color w:val="auto"/>
                <w:sz w:val="26"/>
                <w:szCs w:val="26"/>
                <w:highlight w:val="none"/>
                <w:lang w:val="en-US" w:eastAsia="zh-CN"/>
              </w:rPr>
              <w:t>危废贮存废气（G6、非甲烷总烃、颗粒物）</w:t>
            </w:r>
            <w:r>
              <w:rPr>
                <w:rFonts w:hint="eastAsia"/>
                <w:color w:val="auto"/>
                <w:sz w:val="26"/>
                <w:szCs w:val="26"/>
                <w:highlight w:val="none"/>
              </w:rPr>
              <w:t>。</w:t>
            </w:r>
          </w:p>
          <w:p w14:paraId="2950DD97">
            <w:pPr>
              <w:keepNext w:val="0"/>
              <w:keepLines w:val="0"/>
              <w:suppressLineNumbers w:val="0"/>
              <w:spacing w:before="0" w:beforeAutospacing="0" w:after="0" w:afterAutospacing="0" w:line="480" w:lineRule="exact"/>
              <w:ind w:left="0" w:right="0" w:firstLine="522" w:firstLineChars="200"/>
              <w:rPr>
                <w:rFonts w:hint="default" w:ascii="宋体" w:hAnsi="宋体"/>
                <w:b/>
                <w:color w:val="auto"/>
                <w:sz w:val="26"/>
                <w:szCs w:val="26"/>
                <w:highlight w:val="none"/>
                <w:lang w:val="en-US" w:eastAsia="zh-CN"/>
              </w:rPr>
            </w:pPr>
            <w:r>
              <w:rPr>
                <w:rFonts w:hint="eastAsia" w:ascii="宋体" w:hAnsi="宋体"/>
                <w:b/>
                <w:color w:val="auto"/>
                <w:sz w:val="26"/>
                <w:szCs w:val="26"/>
                <w:highlight w:val="none"/>
                <w:lang w:val="en-US" w:eastAsia="zh-CN"/>
              </w:rPr>
              <w:t>（1）热熔、除渣废气</w:t>
            </w:r>
          </w:p>
          <w:p w14:paraId="388B460C">
            <w:pPr>
              <w:pStyle w:val="74"/>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1）颗粒物</w:t>
            </w:r>
          </w:p>
          <w:p w14:paraId="49F7ECF6">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参考生态环境部发布的《排放源统计调查产排污核算方法和系数手册（2021年6月9日）》-《工业源产排污核算方法和系数手册》（以下简称“产排污系数手册”）-《机械行业系数手册（33-37，431-434）》-01铸造工艺-熔炼：颗粒物产污系数0.525kg/t</w:t>
            </w:r>
            <w:r>
              <w:rPr>
                <w:rFonts w:hint="eastAsia"/>
                <w:color w:val="auto"/>
                <w:highlight w:val="none"/>
                <w:lang w:val="en-US" w:eastAsia="zh-CN"/>
              </w:rPr>
              <w:t>-</w:t>
            </w:r>
            <w:r>
              <w:rPr>
                <w:rFonts w:hint="default"/>
                <w:color w:val="auto"/>
                <w:highlight w:val="none"/>
                <w:lang w:val="en-US" w:eastAsia="zh-CN"/>
              </w:rPr>
              <w:t>原料，袋式除尘器治理效率95%。本项目铝</w:t>
            </w:r>
            <w:r>
              <w:rPr>
                <w:rFonts w:hint="eastAsia"/>
                <w:color w:val="auto"/>
                <w:highlight w:val="none"/>
                <w:lang w:val="en-US" w:eastAsia="zh-CN"/>
              </w:rPr>
              <w:t>合金</w:t>
            </w:r>
            <w:r>
              <w:rPr>
                <w:rFonts w:hint="default"/>
                <w:color w:val="auto"/>
                <w:highlight w:val="none"/>
                <w:lang w:val="en-US" w:eastAsia="zh-CN"/>
              </w:rPr>
              <w:t>锭</w:t>
            </w:r>
            <w:r>
              <w:rPr>
                <w:rFonts w:hint="eastAsia"/>
                <w:color w:val="auto"/>
                <w:highlight w:val="none"/>
                <w:lang w:val="en-US" w:eastAsia="zh-CN"/>
              </w:rPr>
              <w:t>及回用于热熔的物料量（不合格品金属部分、金属边角料）合计</w:t>
            </w:r>
            <w:r>
              <w:rPr>
                <w:rFonts w:hint="default"/>
                <w:color w:val="auto"/>
                <w:highlight w:val="none"/>
                <w:lang w:val="en-US" w:eastAsia="zh-CN"/>
              </w:rPr>
              <w:t>约</w:t>
            </w:r>
            <w:r>
              <w:rPr>
                <w:rFonts w:hint="eastAsia"/>
                <w:color w:val="auto"/>
                <w:highlight w:val="none"/>
                <w:lang w:val="en-US" w:eastAsia="zh-CN"/>
              </w:rPr>
              <w:t>1253.277</w:t>
            </w:r>
            <w:r>
              <w:rPr>
                <w:rFonts w:hint="default"/>
                <w:color w:val="auto"/>
                <w:highlight w:val="none"/>
                <w:lang w:val="en-US" w:eastAsia="zh-CN"/>
              </w:rPr>
              <w:t>t/a</w:t>
            </w:r>
            <w:r>
              <w:rPr>
                <w:rFonts w:hint="eastAsia"/>
                <w:color w:val="auto"/>
                <w:highlight w:val="none"/>
                <w:lang w:val="en-US" w:eastAsia="zh-CN"/>
              </w:rPr>
              <w:t>（铝合金锭原料1110t/a、回用金属粉末及边角料合计143.277t/a）</w:t>
            </w:r>
            <w:r>
              <w:rPr>
                <w:rFonts w:hint="default"/>
                <w:color w:val="auto"/>
                <w:highlight w:val="none"/>
                <w:lang w:val="en-US" w:eastAsia="zh-CN"/>
              </w:rPr>
              <w:t>，则热熔</w:t>
            </w:r>
            <w:r>
              <w:rPr>
                <w:rFonts w:hint="eastAsia"/>
                <w:color w:val="auto"/>
                <w:highlight w:val="none"/>
                <w:lang w:val="en-US" w:eastAsia="zh-CN"/>
              </w:rPr>
              <w:t>工序的颗粒物</w:t>
            </w:r>
            <w:r>
              <w:rPr>
                <w:rFonts w:hint="default"/>
                <w:color w:val="auto"/>
                <w:highlight w:val="none"/>
                <w:lang w:val="en-US" w:eastAsia="zh-CN"/>
              </w:rPr>
              <w:t>产生量</w:t>
            </w:r>
            <w:r>
              <w:rPr>
                <w:rFonts w:hint="eastAsia"/>
                <w:color w:val="auto"/>
                <w:highlight w:val="none"/>
                <w:lang w:val="en-US" w:eastAsia="zh-CN"/>
              </w:rPr>
              <w:t>0.658</w:t>
            </w:r>
            <w:r>
              <w:rPr>
                <w:rFonts w:hint="default"/>
                <w:color w:val="auto"/>
                <w:highlight w:val="none"/>
                <w:lang w:val="en-US" w:eastAsia="zh-CN"/>
              </w:rPr>
              <w:t>t/a。本项目</w:t>
            </w:r>
            <w:r>
              <w:rPr>
                <w:rFonts w:hint="eastAsia"/>
                <w:color w:val="auto"/>
                <w:highlight w:val="none"/>
                <w:lang w:val="en-US" w:eastAsia="zh-CN"/>
              </w:rPr>
              <w:t>14台</w:t>
            </w:r>
            <w:r>
              <w:rPr>
                <w:rFonts w:hint="default"/>
                <w:color w:val="auto"/>
                <w:highlight w:val="none"/>
                <w:lang w:val="en-US" w:eastAsia="zh-CN"/>
              </w:rPr>
              <w:t>熔化炉上方</w:t>
            </w:r>
            <w:r>
              <w:rPr>
                <w:rFonts w:hint="eastAsia"/>
                <w:color w:val="auto"/>
                <w:highlight w:val="none"/>
                <w:lang w:val="en-US" w:eastAsia="zh-CN"/>
              </w:rPr>
              <w:t>均</w:t>
            </w:r>
            <w:r>
              <w:rPr>
                <w:rFonts w:hint="default"/>
                <w:color w:val="auto"/>
                <w:highlight w:val="none"/>
                <w:lang w:val="en-US" w:eastAsia="zh-CN"/>
              </w:rPr>
              <w:t>设置移动顶吸集气罩，</w:t>
            </w:r>
            <w:r>
              <w:rPr>
                <w:rFonts w:hint="eastAsia"/>
                <w:color w:val="auto"/>
                <w:highlight w:val="none"/>
                <w:lang w:val="en-US" w:eastAsia="zh-CN"/>
              </w:rPr>
              <w:t>且本次</w:t>
            </w:r>
            <w:r>
              <w:rPr>
                <w:rFonts w:hint="default"/>
                <w:color w:val="auto"/>
                <w:highlight w:val="none"/>
                <w:lang w:val="en-US" w:eastAsia="zh-CN"/>
              </w:rPr>
              <w:t>对集气罩进行改造，加大集气罩尺寸确保热熔、扒渣必要的收集效率和环境集烟需求</w:t>
            </w:r>
            <w:r>
              <w:rPr>
                <w:rFonts w:hint="eastAsia"/>
                <w:color w:val="auto"/>
                <w:highlight w:val="none"/>
                <w:lang w:val="en-US" w:eastAsia="zh-CN"/>
              </w:rPr>
              <w:t>；</w:t>
            </w:r>
            <w:r>
              <w:rPr>
                <w:rFonts w:hint="default"/>
                <w:color w:val="auto"/>
                <w:highlight w:val="none"/>
                <w:lang w:val="en-US" w:eastAsia="zh-CN"/>
              </w:rPr>
              <w:t>收集效率按80%计，热熔年有效工作时间</w:t>
            </w:r>
            <w:r>
              <w:rPr>
                <w:rFonts w:hint="eastAsia"/>
                <w:color w:val="auto"/>
                <w:highlight w:val="none"/>
                <w:lang w:val="en-US" w:eastAsia="zh-CN"/>
              </w:rPr>
              <w:t>6000</w:t>
            </w:r>
            <w:r>
              <w:rPr>
                <w:rFonts w:hint="default"/>
                <w:color w:val="auto"/>
                <w:highlight w:val="none"/>
                <w:lang w:val="en-US" w:eastAsia="zh-CN"/>
              </w:rPr>
              <w:t>h，热熔系统总风量为</w:t>
            </w:r>
            <w:r>
              <w:rPr>
                <w:rFonts w:hint="eastAsia"/>
                <w:color w:val="auto"/>
                <w:highlight w:val="none"/>
                <w:lang w:val="en-US" w:eastAsia="zh-CN"/>
              </w:rPr>
              <w:t>30000</w:t>
            </w:r>
            <w:r>
              <w:rPr>
                <w:rFonts w:hint="default"/>
                <w:color w:val="auto"/>
                <w:highlight w:val="none"/>
                <w:lang w:val="en-US" w:eastAsia="zh-CN"/>
              </w:rPr>
              <w:t>m</w:t>
            </w:r>
            <w:r>
              <w:rPr>
                <w:rFonts w:hint="default"/>
                <w:color w:val="auto"/>
                <w:highlight w:val="none"/>
                <w:vertAlign w:val="superscript"/>
                <w:lang w:val="en-US" w:eastAsia="zh-CN"/>
              </w:rPr>
              <w:t>3</w:t>
            </w:r>
            <w:r>
              <w:rPr>
                <w:rFonts w:hint="default"/>
                <w:color w:val="auto"/>
                <w:highlight w:val="none"/>
                <w:lang w:val="en-US" w:eastAsia="zh-CN"/>
              </w:rPr>
              <w:t>/h，经集气罩收集的热熔</w:t>
            </w:r>
            <w:r>
              <w:rPr>
                <w:rFonts w:hint="eastAsia"/>
                <w:color w:val="auto"/>
                <w:highlight w:val="none"/>
                <w:lang w:val="en-US" w:eastAsia="zh-CN"/>
              </w:rPr>
              <w:t>废气中的颗粒物</w:t>
            </w:r>
            <w:r>
              <w:rPr>
                <w:rFonts w:hint="default"/>
                <w:color w:val="auto"/>
                <w:highlight w:val="none"/>
                <w:lang w:val="en-US" w:eastAsia="zh-CN"/>
              </w:rPr>
              <w:t>由耐高温布袋除尘器处理后，由</w:t>
            </w:r>
            <w:r>
              <w:rPr>
                <w:rFonts w:hint="eastAsia"/>
                <w:color w:val="auto"/>
                <w:highlight w:val="none"/>
                <w:lang w:val="en-US" w:eastAsia="zh-CN"/>
              </w:rPr>
              <w:t>1根</w:t>
            </w:r>
            <w:r>
              <w:rPr>
                <w:rFonts w:hint="default"/>
                <w:color w:val="auto"/>
                <w:highlight w:val="none"/>
                <w:lang w:val="en-US" w:eastAsia="zh-CN"/>
              </w:rPr>
              <w:t>高15m的</w:t>
            </w:r>
            <w:r>
              <w:rPr>
                <w:rFonts w:hint="eastAsia"/>
                <w:color w:val="auto"/>
                <w:highlight w:val="none"/>
                <w:lang w:val="en-US" w:eastAsia="zh-CN"/>
              </w:rPr>
              <w:t>DA001</w:t>
            </w:r>
            <w:r>
              <w:rPr>
                <w:rFonts w:hint="default"/>
                <w:color w:val="auto"/>
                <w:highlight w:val="none"/>
                <w:lang w:val="en-US" w:eastAsia="zh-CN"/>
              </w:rPr>
              <w:t>排气筒排放。</w:t>
            </w:r>
          </w:p>
          <w:p w14:paraId="0514715E">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lang w:val="en-US" w:eastAsia="zh-CN"/>
              </w:rPr>
              <w:t>经计算，热熔</w:t>
            </w:r>
            <w:r>
              <w:rPr>
                <w:rFonts w:hint="eastAsia"/>
                <w:color w:val="auto"/>
                <w:highlight w:val="none"/>
                <w:lang w:val="en-US" w:eastAsia="zh-CN"/>
              </w:rPr>
              <w:t>的颗粒物</w:t>
            </w:r>
            <w:r>
              <w:rPr>
                <w:rFonts w:hint="default"/>
                <w:color w:val="auto"/>
                <w:highlight w:val="none"/>
                <w:lang w:val="en-US" w:eastAsia="zh-CN"/>
              </w:rPr>
              <w:t>产生量</w:t>
            </w:r>
            <w:r>
              <w:rPr>
                <w:rFonts w:hint="eastAsia"/>
                <w:color w:val="auto"/>
                <w:highlight w:val="none"/>
                <w:lang w:val="en-US" w:eastAsia="zh-CN"/>
              </w:rPr>
              <w:t>0.658</w:t>
            </w:r>
            <w:r>
              <w:rPr>
                <w:rFonts w:hint="default"/>
                <w:color w:val="auto"/>
                <w:highlight w:val="none"/>
                <w:lang w:val="en-US" w:eastAsia="zh-CN"/>
              </w:rPr>
              <w:t>t/a，有组织</w:t>
            </w:r>
            <w:r>
              <w:rPr>
                <w:rFonts w:hint="eastAsia"/>
                <w:color w:val="auto"/>
                <w:highlight w:val="none"/>
                <w:lang w:val="en-US" w:eastAsia="zh-CN"/>
              </w:rPr>
              <w:t>收集</w:t>
            </w:r>
            <w:r>
              <w:rPr>
                <w:rFonts w:hint="default"/>
                <w:color w:val="auto"/>
                <w:highlight w:val="none"/>
                <w:lang w:val="en-US" w:eastAsia="zh-CN"/>
              </w:rPr>
              <w:t>量</w:t>
            </w:r>
            <w:r>
              <w:rPr>
                <w:rFonts w:hint="eastAsia"/>
                <w:color w:val="auto"/>
                <w:highlight w:val="none"/>
                <w:lang w:val="en-US" w:eastAsia="zh-CN"/>
              </w:rPr>
              <w:t>0.526</w:t>
            </w:r>
            <w:r>
              <w:rPr>
                <w:rFonts w:hint="default"/>
                <w:color w:val="auto"/>
                <w:highlight w:val="none"/>
                <w:lang w:val="en-US" w:eastAsia="zh-CN"/>
              </w:rPr>
              <w:t>t/a、有组织排放量为</w:t>
            </w:r>
            <w:r>
              <w:rPr>
                <w:rFonts w:hint="eastAsia"/>
                <w:color w:val="auto"/>
                <w:highlight w:val="none"/>
                <w:lang w:val="en-US" w:eastAsia="zh-CN"/>
              </w:rPr>
              <w:t>0.026</w:t>
            </w:r>
            <w:r>
              <w:rPr>
                <w:rFonts w:hint="default"/>
                <w:color w:val="auto"/>
                <w:highlight w:val="none"/>
                <w:lang w:val="en-US" w:eastAsia="zh-CN"/>
              </w:rPr>
              <w:t>t/a，无组织产生量</w:t>
            </w:r>
            <w:r>
              <w:rPr>
                <w:rFonts w:hint="eastAsia"/>
                <w:color w:val="auto"/>
                <w:highlight w:val="none"/>
                <w:lang w:val="en-US" w:eastAsia="zh-CN"/>
              </w:rPr>
              <w:t>0.132</w:t>
            </w:r>
            <w:r>
              <w:rPr>
                <w:rFonts w:hint="default"/>
                <w:color w:val="auto"/>
                <w:highlight w:val="none"/>
                <w:lang w:val="en-US" w:eastAsia="zh-CN"/>
              </w:rPr>
              <w:t>t/a。</w:t>
            </w:r>
            <w:r>
              <w:rPr>
                <w:rFonts w:hint="eastAsia"/>
                <w:color w:val="auto"/>
                <w:highlight w:val="none"/>
                <w:lang w:val="en-US" w:eastAsia="zh-CN"/>
              </w:rPr>
              <w:t>袋式除尘器收集的除尘灰为0.500t/a。</w:t>
            </w:r>
          </w:p>
          <w:p w14:paraId="06F4FF92">
            <w:pPr>
              <w:pStyle w:val="74"/>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2）氯化氢</w:t>
            </w:r>
          </w:p>
          <w:p w14:paraId="3AFBD946">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项目在除渣过程中，由于铝极其活泼，其熔体表面会迅速形成一层致密且化学性质稳定的</w:t>
            </w:r>
            <w:r>
              <w:rPr>
                <w:rFonts w:hint="eastAsia"/>
                <w:color w:val="auto"/>
                <w:highlight w:val="none"/>
                <w:lang w:val="en-US" w:eastAsia="zh-CN"/>
              </w:rPr>
              <w:t>三氧化二铝</w:t>
            </w:r>
            <w:r>
              <w:rPr>
                <w:rFonts w:hint="default"/>
                <w:color w:val="auto"/>
                <w:highlight w:val="none"/>
                <w:lang w:val="en-US" w:eastAsia="zh-CN"/>
              </w:rPr>
              <w:t>薄膜。这层膜会阻止熔体聚合，使得渣滓分散、难以去除。加入除渣剂后，除渣剂中的Cl</w:t>
            </w:r>
            <w:r>
              <w:rPr>
                <w:rFonts w:hint="default"/>
                <w:color w:val="auto"/>
                <w:highlight w:val="none"/>
                <w:vertAlign w:val="superscript"/>
                <w:lang w:val="en-US" w:eastAsia="zh-CN"/>
              </w:rPr>
              <w:t>-</w:t>
            </w:r>
            <w:r>
              <w:rPr>
                <w:rFonts w:hint="default"/>
                <w:color w:val="auto"/>
                <w:highlight w:val="none"/>
                <w:lang w:val="en-US" w:eastAsia="zh-CN"/>
              </w:rPr>
              <w:t>会与这层固态的氧化膜发生反应，生成低熔点、易聚集的复盐或化合物，从而破坏氧化膜的致密性，使其变得松散，便于聚集成大块渣捞出。</w:t>
            </w:r>
          </w:p>
          <w:p w14:paraId="460F6F35">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在除渣过程中，除渣剂中的氯盐在高温下极易与水蒸气发生水解反应，生成HCl气体</w:t>
            </w:r>
            <w:r>
              <w:rPr>
                <w:rFonts w:hint="eastAsia"/>
                <w:color w:val="auto"/>
                <w:highlight w:val="none"/>
                <w:lang w:val="en-US" w:eastAsia="zh-CN"/>
              </w:rPr>
              <w:t>，因此除渣过程中</w:t>
            </w:r>
            <w:r>
              <w:rPr>
                <w:rFonts w:hint="default"/>
                <w:color w:val="auto"/>
                <w:highlight w:val="none"/>
                <w:lang w:val="en-US" w:eastAsia="zh-CN"/>
              </w:rPr>
              <w:t>废气污染物中有少量HC</w:t>
            </w:r>
            <w:r>
              <w:rPr>
                <w:rFonts w:hint="eastAsia"/>
                <w:color w:val="auto"/>
                <w:highlight w:val="none"/>
                <w:lang w:val="en-US" w:eastAsia="zh-CN"/>
              </w:rPr>
              <w:t>l</w:t>
            </w:r>
            <w:r>
              <w:rPr>
                <w:rFonts w:hint="default"/>
                <w:color w:val="auto"/>
                <w:highlight w:val="none"/>
                <w:lang w:val="en-US" w:eastAsia="zh-CN"/>
              </w:rPr>
              <w:t>产生，除渣剂（</w:t>
            </w:r>
            <w:r>
              <w:rPr>
                <w:rFonts w:hint="eastAsia"/>
                <w:color w:val="auto"/>
                <w:highlight w:val="none"/>
                <w:lang w:val="en-US" w:eastAsia="zh-CN"/>
              </w:rPr>
              <w:t>按照</w:t>
            </w:r>
            <w:r>
              <w:rPr>
                <w:rFonts w:hint="default"/>
                <w:color w:val="auto"/>
                <w:highlight w:val="none"/>
                <w:lang w:val="en-US" w:eastAsia="zh-CN"/>
              </w:rPr>
              <w:t>氯化镁含量50%，氯化钾含量50%</w:t>
            </w:r>
            <w:r>
              <w:rPr>
                <w:rFonts w:hint="eastAsia"/>
                <w:color w:val="auto"/>
                <w:highlight w:val="none"/>
                <w:lang w:val="en-US" w:eastAsia="zh-CN"/>
              </w:rPr>
              <w:t>计算</w:t>
            </w:r>
            <w:r>
              <w:rPr>
                <w:rFonts w:hint="default"/>
                <w:color w:val="auto"/>
                <w:highlight w:val="none"/>
                <w:lang w:val="en-US" w:eastAsia="zh-CN"/>
              </w:rPr>
              <w:t>）年用量为</w:t>
            </w:r>
            <w:r>
              <w:rPr>
                <w:rFonts w:hint="eastAsia"/>
                <w:color w:val="auto"/>
                <w:highlight w:val="none"/>
                <w:lang w:val="en-US" w:eastAsia="zh-CN"/>
              </w:rPr>
              <w:t>3</w:t>
            </w:r>
            <w:r>
              <w:rPr>
                <w:rFonts w:hint="default"/>
                <w:color w:val="auto"/>
                <w:highlight w:val="none"/>
                <w:lang w:val="en-US" w:eastAsia="zh-CN"/>
              </w:rPr>
              <w:t>t/a，氯化钾（分子量74.5，其中氯35.5）含量为</w:t>
            </w:r>
            <w:r>
              <w:rPr>
                <w:rFonts w:hint="eastAsia"/>
                <w:color w:val="auto"/>
                <w:highlight w:val="none"/>
                <w:lang w:val="en-US" w:eastAsia="zh-CN"/>
              </w:rPr>
              <w:t>1.5</w:t>
            </w:r>
            <w:r>
              <w:rPr>
                <w:rFonts w:hint="default"/>
                <w:color w:val="auto"/>
                <w:highlight w:val="none"/>
                <w:lang w:val="en-US" w:eastAsia="zh-CN"/>
              </w:rPr>
              <w:t>t/a，</w:t>
            </w:r>
            <w:r>
              <w:rPr>
                <w:rFonts w:hint="eastAsia"/>
                <w:color w:val="auto"/>
                <w:highlight w:val="none"/>
                <w:lang w:val="en-US" w:eastAsia="zh-CN"/>
              </w:rPr>
              <w:t>氯化镁</w:t>
            </w:r>
            <w:r>
              <w:rPr>
                <w:rFonts w:hint="default"/>
                <w:color w:val="auto"/>
                <w:highlight w:val="none"/>
                <w:lang w:val="en-US" w:eastAsia="zh-CN"/>
              </w:rPr>
              <w:t>（分子量</w:t>
            </w:r>
            <w:r>
              <w:rPr>
                <w:rFonts w:hint="eastAsia"/>
                <w:color w:val="auto"/>
                <w:highlight w:val="none"/>
                <w:lang w:val="en-US" w:eastAsia="zh-CN"/>
              </w:rPr>
              <w:t>95</w:t>
            </w:r>
            <w:r>
              <w:rPr>
                <w:rFonts w:hint="default"/>
                <w:color w:val="auto"/>
                <w:highlight w:val="none"/>
                <w:lang w:val="en-US" w:eastAsia="zh-CN"/>
              </w:rPr>
              <w:t>，其中</w:t>
            </w:r>
            <w:r>
              <w:rPr>
                <w:rFonts w:hint="eastAsia"/>
                <w:color w:val="auto"/>
                <w:highlight w:val="none"/>
                <w:lang w:val="en-US" w:eastAsia="zh-CN"/>
              </w:rPr>
              <w:t>氯35.5</w:t>
            </w:r>
            <w:r>
              <w:rPr>
                <w:rFonts w:hint="default"/>
                <w:color w:val="auto"/>
                <w:highlight w:val="none"/>
                <w:lang w:val="en-US" w:eastAsia="zh-CN"/>
              </w:rPr>
              <w:t>）含量为</w:t>
            </w:r>
            <w:r>
              <w:rPr>
                <w:rFonts w:hint="eastAsia"/>
                <w:color w:val="auto"/>
                <w:highlight w:val="none"/>
                <w:lang w:val="en-US" w:eastAsia="zh-CN"/>
              </w:rPr>
              <w:t>1.5</w:t>
            </w:r>
            <w:r>
              <w:rPr>
                <w:rFonts w:hint="default"/>
                <w:color w:val="auto"/>
                <w:highlight w:val="none"/>
                <w:lang w:val="en-US" w:eastAsia="zh-CN"/>
              </w:rPr>
              <w:t>t/a，折氯最大含量为</w:t>
            </w:r>
            <w:r>
              <w:rPr>
                <w:rFonts w:hint="eastAsia"/>
                <w:color w:val="auto"/>
                <w:highlight w:val="none"/>
                <w:lang w:val="en-US" w:eastAsia="zh-CN"/>
              </w:rPr>
              <w:t>1.836</w:t>
            </w:r>
            <w:r>
              <w:rPr>
                <w:rFonts w:hint="default"/>
                <w:color w:val="auto"/>
                <w:highlight w:val="none"/>
                <w:lang w:val="en-US" w:eastAsia="zh-CN"/>
              </w:rPr>
              <w:t>t/a（氯化</w:t>
            </w:r>
            <w:r>
              <w:rPr>
                <w:rFonts w:hint="eastAsia"/>
                <w:color w:val="auto"/>
                <w:highlight w:val="none"/>
                <w:lang w:val="en-US" w:eastAsia="zh-CN"/>
              </w:rPr>
              <w:t>钾</w:t>
            </w:r>
            <w:r>
              <w:rPr>
                <w:rFonts w:hint="default"/>
                <w:color w:val="auto"/>
                <w:highlight w:val="none"/>
                <w:lang w:val="en-US" w:eastAsia="zh-CN"/>
              </w:rPr>
              <w:t>中</w:t>
            </w:r>
            <w:r>
              <w:rPr>
                <w:rFonts w:hint="eastAsia"/>
                <w:color w:val="auto"/>
                <w:highlight w:val="none"/>
                <w:lang w:val="en-US" w:eastAsia="zh-CN"/>
              </w:rPr>
              <w:t>0.715</w:t>
            </w:r>
            <w:r>
              <w:rPr>
                <w:rFonts w:hint="default"/>
                <w:color w:val="auto"/>
                <w:highlight w:val="none"/>
                <w:lang w:val="en-US" w:eastAsia="zh-CN"/>
              </w:rPr>
              <w:t>t/a，氯化</w:t>
            </w:r>
            <w:r>
              <w:rPr>
                <w:rFonts w:hint="eastAsia"/>
                <w:color w:val="auto"/>
                <w:highlight w:val="none"/>
                <w:lang w:val="en-US" w:eastAsia="zh-CN"/>
              </w:rPr>
              <w:t>镁</w:t>
            </w:r>
            <w:r>
              <w:rPr>
                <w:rFonts w:hint="default"/>
                <w:color w:val="auto"/>
                <w:highlight w:val="none"/>
                <w:lang w:val="en-US" w:eastAsia="zh-CN"/>
              </w:rPr>
              <w:t>中</w:t>
            </w:r>
            <w:r>
              <w:rPr>
                <w:rFonts w:hint="eastAsia"/>
                <w:color w:val="auto"/>
                <w:highlight w:val="none"/>
                <w:lang w:val="en-US" w:eastAsia="zh-CN"/>
              </w:rPr>
              <w:t>1.12</w:t>
            </w:r>
            <w:r>
              <w:rPr>
                <w:rFonts w:hint="default"/>
                <w:color w:val="auto"/>
                <w:highlight w:val="none"/>
                <w:lang w:val="en-US" w:eastAsia="zh-CN"/>
              </w:rPr>
              <w:t>t/a）。</w:t>
            </w:r>
          </w:p>
          <w:p w14:paraId="23E8A9C0">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同时根据查阅相关资料和业主提供的资料，并类比已取得批复的《重庆小康动力有限公司年产10万件低压铸铝合金汽车零部件项目环境影响报告表》，在除渣过程中，氯化物会形成块状渣去除（约97%的氯元素到铝渣中），还有约3%的氯元素进入废气排入环境。</w:t>
            </w:r>
          </w:p>
          <w:p w14:paraId="032191F7">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因此，除渣过程中氯化氢的产生量约为</w:t>
            </w:r>
            <w:r>
              <w:rPr>
                <w:rFonts w:hint="eastAsia"/>
                <w:color w:val="auto"/>
                <w:highlight w:val="none"/>
                <w:lang w:val="en-US" w:eastAsia="zh-CN"/>
              </w:rPr>
              <w:t>0.057</w:t>
            </w:r>
            <w:r>
              <w:rPr>
                <w:rFonts w:hint="default"/>
                <w:color w:val="auto"/>
                <w:highlight w:val="none"/>
                <w:lang w:val="en-US" w:eastAsia="zh-CN"/>
              </w:rPr>
              <w:t>t/a</w:t>
            </w:r>
            <w:r>
              <w:rPr>
                <w:rFonts w:hint="eastAsia"/>
                <w:color w:val="auto"/>
                <w:highlight w:val="none"/>
                <w:lang w:val="en-US" w:eastAsia="zh-CN"/>
              </w:rPr>
              <w:t>，除渣废气由熔化炉上方移动顶吸集气罩收集（收集效率按80%计），无组织排放量为t/a；除渣频次为每班（8h）进行一次（即3次/d，则750次/年），单次除渣持续时间共计约30min，年排放时长为375h，可计算得到除渣工序的氯化氢最大产生速率为0.122kg/h。</w:t>
            </w:r>
          </w:p>
          <w:p w14:paraId="589366C2">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p>
          <w:p w14:paraId="27A21103">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4.2-1  热熔、除渣废气</w:t>
            </w:r>
            <w:r>
              <w:rPr>
                <w:rFonts w:hint="eastAsia"/>
                <w:color w:val="auto"/>
                <w:sz w:val="26"/>
                <w:szCs w:val="26"/>
                <w:highlight w:val="none"/>
              </w:rPr>
              <w:t>产生、排放情况</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474"/>
              <w:gridCol w:w="722"/>
              <w:gridCol w:w="765"/>
              <w:gridCol w:w="802"/>
              <w:gridCol w:w="774"/>
              <w:gridCol w:w="1973"/>
              <w:gridCol w:w="754"/>
              <w:gridCol w:w="670"/>
              <w:gridCol w:w="775"/>
              <w:gridCol w:w="716"/>
            </w:tblGrid>
            <w:tr w14:paraId="7889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gridSpan w:val="2"/>
                  <w:vMerge w:val="restart"/>
                  <w:noWrap w:val="0"/>
                  <w:vAlign w:val="center"/>
                </w:tcPr>
                <w:p w14:paraId="2332E441">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污染源</w:t>
                  </w:r>
                </w:p>
              </w:tc>
              <w:tc>
                <w:tcPr>
                  <w:tcW w:w="405" w:type="pct"/>
                  <w:noWrap w:val="0"/>
                  <w:vAlign w:val="center"/>
                </w:tcPr>
                <w:p w14:paraId="53E1B3AC">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污染物产生情况</w:t>
                  </w:r>
                </w:p>
              </w:tc>
              <w:tc>
                <w:tcPr>
                  <w:tcW w:w="1313" w:type="pct"/>
                  <w:gridSpan w:val="3"/>
                  <w:noWrap w:val="0"/>
                  <w:vAlign w:val="center"/>
                </w:tcPr>
                <w:p w14:paraId="7869E436">
                  <w:pPr>
                    <w:pStyle w:val="86"/>
                    <w:keepNext w:val="0"/>
                    <w:keepLines w:val="0"/>
                    <w:suppressLineNumbers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收集进入废气治理设施</w:t>
                  </w:r>
                </w:p>
              </w:tc>
              <w:tc>
                <w:tcPr>
                  <w:tcW w:w="1107" w:type="pct"/>
                  <w:vMerge w:val="restart"/>
                  <w:noWrap w:val="0"/>
                  <w:vAlign w:val="center"/>
                </w:tcPr>
                <w:p w14:paraId="16DBA8ED">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收集、治理措施</w:t>
                  </w:r>
                </w:p>
              </w:tc>
              <w:tc>
                <w:tcPr>
                  <w:tcW w:w="1234" w:type="pct"/>
                  <w:gridSpan w:val="3"/>
                  <w:noWrap w:val="0"/>
                  <w:vAlign w:val="center"/>
                </w:tcPr>
                <w:p w14:paraId="33B9614A">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污染物有组织排放情况</w:t>
                  </w:r>
                </w:p>
              </w:tc>
              <w:tc>
                <w:tcPr>
                  <w:tcW w:w="401" w:type="pct"/>
                  <w:noWrap w:val="0"/>
                  <w:vAlign w:val="center"/>
                </w:tcPr>
                <w:p w14:paraId="53F568ED">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无组织排放量</w:t>
                  </w:r>
                </w:p>
              </w:tc>
            </w:tr>
            <w:tr w14:paraId="5025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37" w:type="pct"/>
                  <w:gridSpan w:val="2"/>
                  <w:vMerge w:val="continue"/>
                  <w:noWrap w:val="0"/>
                  <w:vAlign w:val="center"/>
                </w:tcPr>
                <w:p w14:paraId="34974B1D">
                  <w:pPr>
                    <w:pStyle w:val="86"/>
                    <w:keepNext w:val="0"/>
                    <w:keepLines w:val="0"/>
                    <w:suppressLineNumbers w:val="0"/>
                    <w:spacing w:before="0" w:beforeAutospacing="0" w:after="0" w:afterAutospacing="0"/>
                    <w:ind w:left="0" w:right="0"/>
                    <w:rPr>
                      <w:rFonts w:hint="default"/>
                      <w:color w:val="auto"/>
                      <w:sz w:val="20"/>
                      <w:szCs w:val="20"/>
                      <w:highlight w:val="none"/>
                    </w:rPr>
                  </w:pPr>
                </w:p>
              </w:tc>
              <w:tc>
                <w:tcPr>
                  <w:tcW w:w="405" w:type="pct"/>
                  <w:noWrap w:val="0"/>
                  <w:vAlign w:val="center"/>
                </w:tcPr>
                <w:p w14:paraId="6AF2144D">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产生量</w:t>
                  </w:r>
                </w:p>
                <w:p w14:paraId="595CBF2A">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t/a</w:t>
                  </w:r>
                </w:p>
              </w:tc>
              <w:tc>
                <w:tcPr>
                  <w:tcW w:w="429" w:type="pct"/>
                  <w:noWrap w:val="0"/>
                  <w:vAlign w:val="center"/>
                </w:tcPr>
                <w:p w14:paraId="3DE70C7D">
                  <w:pPr>
                    <w:pStyle w:val="86"/>
                    <w:keepNext w:val="0"/>
                    <w:keepLines w:val="0"/>
                    <w:suppressLineNumbers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最大产生浓度</w:t>
                  </w:r>
                  <w:r>
                    <w:rPr>
                      <w:rFonts w:hint="eastAsia"/>
                      <w:color w:val="auto"/>
                      <w:sz w:val="20"/>
                      <w:szCs w:val="20"/>
                      <w:highlight w:val="none"/>
                    </w:rPr>
                    <w:t>mg/m</w:t>
                  </w:r>
                  <w:r>
                    <w:rPr>
                      <w:rFonts w:hint="eastAsia"/>
                      <w:color w:val="auto"/>
                      <w:sz w:val="20"/>
                      <w:szCs w:val="20"/>
                      <w:highlight w:val="none"/>
                      <w:vertAlign w:val="superscript"/>
                    </w:rPr>
                    <w:t>3</w:t>
                  </w:r>
                </w:p>
              </w:tc>
              <w:tc>
                <w:tcPr>
                  <w:tcW w:w="450" w:type="pct"/>
                  <w:noWrap w:val="0"/>
                  <w:vAlign w:val="center"/>
                </w:tcPr>
                <w:p w14:paraId="3BA5BFC8">
                  <w:pPr>
                    <w:pStyle w:val="86"/>
                    <w:keepNext w:val="0"/>
                    <w:keepLines w:val="0"/>
                    <w:suppressLineNumbers w:val="0"/>
                    <w:spacing w:before="0" w:beforeAutospacing="0" w:after="0" w:afterAutospacing="0"/>
                    <w:ind w:left="0" w:right="0"/>
                    <w:rPr>
                      <w:rFonts w:hint="eastAsia"/>
                      <w:color w:val="auto"/>
                      <w:sz w:val="20"/>
                      <w:szCs w:val="20"/>
                      <w:highlight w:val="none"/>
                      <w:lang w:val="en-US" w:eastAsia="zh-CN"/>
                    </w:rPr>
                  </w:pPr>
                  <w:r>
                    <w:rPr>
                      <w:rFonts w:hint="eastAsia"/>
                      <w:color w:val="auto"/>
                      <w:sz w:val="20"/>
                      <w:szCs w:val="20"/>
                      <w:highlight w:val="none"/>
                      <w:lang w:val="en-US" w:eastAsia="zh-CN"/>
                    </w:rPr>
                    <w:t>最大</w:t>
                  </w:r>
                  <w:r>
                    <w:rPr>
                      <w:rFonts w:hint="eastAsia"/>
                      <w:color w:val="auto"/>
                      <w:sz w:val="20"/>
                      <w:szCs w:val="20"/>
                      <w:highlight w:val="none"/>
                    </w:rPr>
                    <w:t>排放速率kg/h</w:t>
                  </w:r>
                </w:p>
              </w:tc>
              <w:tc>
                <w:tcPr>
                  <w:tcW w:w="434" w:type="pct"/>
                  <w:noWrap w:val="0"/>
                  <w:vAlign w:val="center"/>
                </w:tcPr>
                <w:p w14:paraId="4AD06E67">
                  <w:pPr>
                    <w:pStyle w:val="86"/>
                    <w:keepNext w:val="0"/>
                    <w:keepLines w:val="0"/>
                    <w:suppressLineNumbers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产生量t/a</w:t>
                  </w:r>
                </w:p>
              </w:tc>
              <w:tc>
                <w:tcPr>
                  <w:tcW w:w="1107" w:type="pct"/>
                  <w:vMerge w:val="continue"/>
                  <w:noWrap w:val="0"/>
                  <w:vAlign w:val="center"/>
                </w:tcPr>
                <w:p w14:paraId="017346E5">
                  <w:pPr>
                    <w:pStyle w:val="86"/>
                    <w:keepNext w:val="0"/>
                    <w:keepLines w:val="0"/>
                    <w:suppressLineNumbers w:val="0"/>
                    <w:spacing w:before="0" w:beforeAutospacing="0" w:after="0" w:afterAutospacing="0"/>
                    <w:ind w:left="0" w:right="0"/>
                    <w:rPr>
                      <w:rFonts w:hint="default"/>
                      <w:color w:val="auto"/>
                      <w:sz w:val="20"/>
                      <w:szCs w:val="20"/>
                      <w:highlight w:val="none"/>
                    </w:rPr>
                  </w:pPr>
                </w:p>
              </w:tc>
              <w:tc>
                <w:tcPr>
                  <w:tcW w:w="423" w:type="pct"/>
                  <w:noWrap w:val="0"/>
                  <w:vAlign w:val="center"/>
                </w:tcPr>
                <w:p w14:paraId="0BB31B14">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最大</w:t>
                  </w:r>
                  <w:r>
                    <w:rPr>
                      <w:rFonts w:hint="eastAsia"/>
                      <w:color w:val="auto"/>
                      <w:sz w:val="20"/>
                      <w:szCs w:val="20"/>
                      <w:highlight w:val="none"/>
                    </w:rPr>
                    <w:t>排放浓度</w:t>
                  </w:r>
                </w:p>
                <w:p w14:paraId="18F4326C">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mg/m</w:t>
                  </w:r>
                  <w:r>
                    <w:rPr>
                      <w:rFonts w:hint="eastAsia"/>
                      <w:color w:val="auto"/>
                      <w:sz w:val="20"/>
                      <w:szCs w:val="20"/>
                      <w:highlight w:val="none"/>
                      <w:vertAlign w:val="superscript"/>
                    </w:rPr>
                    <w:t>3</w:t>
                  </w:r>
                </w:p>
              </w:tc>
              <w:tc>
                <w:tcPr>
                  <w:tcW w:w="376" w:type="pct"/>
                  <w:noWrap w:val="0"/>
                  <w:vAlign w:val="center"/>
                </w:tcPr>
                <w:p w14:paraId="35C555E1">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最大</w:t>
                  </w:r>
                  <w:r>
                    <w:rPr>
                      <w:rFonts w:hint="eastAsia"/>
                      <w:color w:val="auto"/>
                      <w:sz w:val="20"/>
                      <w:szCs w:val="20"/>
                      <w:highlight w:val="none"/>
                    </w:rPr>
                    <w:t>排放速率kg/h</w:t>
                  </w:r>
                </w:p>
              </w:tc>
              <w:tc>
                <w:tcPr>
                  <w:tcW w:w="435" w:type="pct"/>
                  <w:noWrap w:val="0"/>
                  <w:vAlign w:val="center"/>
                </w:tcPr>
                <w:p w14:paraId="433ECAEC">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排放量</w:t>
                  </w:r>
                </w:p>
                <w:p w14:paraId="3D609643">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t/a</w:t>
                  </w:r>
                </w:p>
              </w:tc>
              <w:tc>
                <w:tcPr>
                  <w:tcW w:w="401" w:type="pct"/>
                  <w:noWrap w:val="0"/>
                  <w:vAlign w:val="center"/>
                </w:tcPr>
                <w:p w14:paraId="4F516BF7">
                  <w:pPr>
                    <w:pStyle w:val="86"/>
                    <w:keepNext w:val="0"/>
                    <w:keepLines w:val="0"/>
                    <w:suppressLineNumbers w:val="0"/>
                    <w:spacing w:before="0" w:beforeAutospacing="0" w:after="0" w:afterAutospacing="0"/>
                    <w:ind w:left="0" w:right="0"/>
                    <w:rPr>
                      <w:rFonts w:hint="default"/>
                      <w:color w:val="auto"/>
                      <w:sz w:val="20"/>
                      <w:szCs w:val="20"/>
                      <w:highlight w:val="none"/>
                    </w:rPr>
                  </w:pPr>
                  <w:r>
                    <w:rPr>
                      <w:rFonts w:hint="eastAsia"/>
                      <w:color w:val="auto"/>
                      <w:sz w:val="20"/>
                      <w:szCs w:val="20"/>
                      <w:highlight w:val="none"/>
                    </w:rPr>
                    <w:t>t/a</w:t>
                  </w:r>
                </w:p>
              </w:tc>
            </w:tr>
            <w:tr w14:paraId="222F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71" w:type="pct"/>
                  <w:vMerge w:val="restart"/>
                  <w:noWrap w:val="0"/>
                  <w:vAlign w:val="center"/>
                </w:tcPr>
                <w:p w14:paraId="48E6363D">
                  <w:pPr>
                    <w:pStyle w:val="86"/>
                    <w:keepNext w:val="0"/>
                    <w:keepLines w:val="0"/>
                    <w:suppressLineNumbers w:val="0"/>
                    <w:spacing w:before="0" w:beforeAutospacing="0" w:after="0" w:afterAutospacing="0"/>
                    <w:ind w:left="0" w:right="0"/>
                    <w:rPr>
                      <w:rFonts w:hint="eastAsia"/>
                      <w:color w:val="auto"/>
                      <w:sz w:val="20"/>
                      <w:szCs w:val="20"/>
                      <w:highlight w:val="none"/>
                      <w:lang w:val="en-US" w:eastAsia="zh-CN"/>
                    </w:rPr>
                  </w:pPr>
                  <w:r>
                    <w:rPr>
                      <w:rFonts w:hint="eastAsia"/>
                      <w:color w:val="auto"/>
                      <w:sz w:val="20"/>
                      <w:szCs w:val="20"/>
                      <w:highlight w:val="none"/>
                      <w:lang w:val="en-US" w:eastAsia="zh-CN"/>
                    </w:rPr>
                    <w:t>热熔</w:t>
                  </w:r>
                </w:p>
                <w:p w14:paraId="31A3716D">
                  <w:pPr>
                    <w:pStyle w:val="86"/>
                    <w:keepNext w:val="0"/>
                    <w:keepLines w:val="0"/>
                    <w:suppressLineNumbers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除渣</w:t>
                  </w:r>
                </w:p>
              </w:tc>
              <w:tc>
                <w:tcPr>
                  <w:tcW w:w="266" w:type="pct"/>
                  <w:noWrap w:val="0"/>
                  <w:vAlign w:val="center"/>
                </w:tcPr>
                <w:p w14:paraId="0AF88EA3">
                  <w:pPr>
                    <w:pStyle w:val="86"/>
                    <w:keepNext w:val="0"/>
                    <w:keepLines w:val="0"/>
                    <w:suppressLineNumbers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颗粒物</w:t>
                  </w:r>
                </w:p>
              </w:tc>
              <w:tc>
                <w:tcPr>
                  <w:tcW w:w="405" w:type="pct"/>
                  <w:noWrap w:val="0"/>
                  <w:vAlign w:val="center"/>
                </w:tcPr>
                <w:p w14:paraId="24866352">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0.6</w:t>
                  </w:r>
                  <w:r>
                    <w:rPr>
                      <w:rFonts w:hint="eastAsia"/>
                      <w:color w:val="auto"/>
                      <w:sz w:val="20"/>
                      <w:szCs w:val="20"/>
                      <w:highlight w:val="none"/>
                      <w:lang w:val="en-US" w:eastAsia="zh-CN"/>
                    </w:rPr>
                    <w:t>58</w:t>
                  </w:r>
                  <w:r>
                    <w:rPr>
                      <w:rFonts w:hint="default"/>
                      <w:color w:val="auto"/>
                      <w:sz w:val="20"/>
                      <w:szCs w:val="20"/>
                      <w:highlight w:val="none"/>
                      <w:lang w:val="en-US" w:eastAsia="zh-CN"/>
                    </w:rPr>
                    <w:t xml:space="preserve"> </w:t>
                  </w:r>
                </w:p>
              </w:tc>
              <w:tc>
                <w:tcPr>
                  <w:tcW w:w="429" w:type="pct"/>
                  <w:noWrap w:val="0"/>
                  <w:vAlign w:val="center"/>
                </w:tcPr>
                <w:p w14:paraId="1C8DF06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2.9 </w:t>
                  </w:r>
                </w:p>
              </w:tc>
              <w:tc>
                <w:tcPr>
                  <w:tcW w:w="450" w:type="pct"/>
                  <w:noWrap w:val="0"/>
                  <w:vAlign w:val="center"/>
                </w:tcPr>
                <w:p w14:paraId="15405B45">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0.09</w:t>
                  </w:r>
                </w:p>
              </w:tc>
              <w:tc>
                <w:tcPr>
                  <w:tcW w:w="434" w:type="pct"/>
                  <w:noWrap w:val="0"/>
                  <w:vAlign w:val="center"/>
                </w:tcPr>
                <w:p w14:paraId="39ACDA74">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0.5</w:t>
                  </w:r>
                  <w:r>
                    <w:rPr>
                      <w:rFonts w:hint="eastAsia"/>
                      <w:color w:val="auto"/>
                      <w:sz w:val="20"/>
                      <w:szCs w:val="20"/>
                      <w:highlight w:val="none"/>
                      <w:lang w:val="en-US" w:eastAsia="zh-CN"/>
                    </w:rPr>
                    <w:t>26</w:t>
                  </w:r>
                  <w:r>
                    <w:rPr>
                      <w:rFonts w:hint="default"/>
                      <w:color w:val="auto"/>
                      <w:sz w:val="20"/>
                      <w:szCs w:val="20"/>
                      <w:highlight w:val="none"/>
                      <w:lang w:val="en-US" w:eastAsia="zh-CN"/>
                    </w:rPr>
                    <w:t xml:space="preserve"> </w:t>
                  </w:r>
                </w:p>
              </w:tc>
              <w:tc>
                <w:tcPr>
                  <w:tcW w:w="1107" w:type="pct"/>
                  <w:vMerge w:val="restart"/>
                  <w:noWrap w:val="0"/>
                  <w:vAlign w:val="center"/>
                </w:tcPr>
                <w:p w14:paraId="5CF1C08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集气罩收集经耐高温袋式除尘器处理后经2号厂房15m高DA001排气筒排放</w:t>
                  </w:r>
                  <w:r>
                    <w:rPr>
                      <w:rFonts w:hint="eastAsia"/>
                      <w:color w:val="auto"/>
                      <w:sz w:val="20"/>
                      <w:szCs w:val="20"/>
                      <w:highlight w:val="none"/>
                      <w:lang w:val="en-US" w:eastAsia="zh-CN"/>
                    </w:rPr>
                    <w:t>。</w:t>
                  </w:r>
                </w:p>
              </w:tc>
              <w:tc>
                <w:tcPr>
                  <w:tcW w:w="423" w:type="pct"/>
                  <w:noWrap w:val="0"/>
                  <w:vAlign w:val="center"/>
                </w:tcPr>
                <w:p w14:paraId="3F054BB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0.1</w:t>
                  </w:r>
                </w:p>
              </w:tc>
              <w:tc>
                <w:tcPr>
                  <w:tcW w:w="376" w:type="pct"/>
                  <w:noWrap w:val="0"/>
                  <w:vAlign w:val="center"/>
                </w:tcPr>
                <w:p w14:paraId="5704E38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0.004 </w:t>
                  </w:r>
                </w:p>
              </w:tc>
              <w:tc>
                <w:tcPr>
                  <w:tcW w:w="435" w:type="pct"/>
                  <w:noWrap w:val="0"/>
                  <w:vAlign w:val="center"/>
                </w:tcPr>
                <w:p w14:paraId="2D9D239D">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0.02</w:t>
                  </w:r>
                  <w:r>
                    <w:rPr>
                      <w:rFonts w:hint="eastAsia"/>
                      <w:color w:val="auto"/>
                      <w:sz w:val="20"/>
                      <w:szCs w:val="20"/>
                      <w:highlight w:val="none"/>
                      <w:lang w:val="en-US" w:eastAsia="zh-CN"/>
                    </w:rPr>
                    <w:t>6</w:t>
                  </w:r>
                </w:p>
              </w:tc>
              <w:tc>
                <w:tcPr>
                  <w:tcW w:w="401" w:type="pct"/>
                  <w:noWrap w:val="0"/>
                  <w:vAlign w:val="center"/>
                </w:tcPr>
                <w:p w14:paraId="662099EC">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0.13</w:t>
                  </w:r>
                  <w:r>
                    <w:rPr>
                      <w:rFonts w:hint="eastAsia"/>
                      <w:color w:val="auto"/>
                      <w:sz w:val="20"/>
                      <w:szCs w:val="20"/>
                      <w:highlight w:val="none"/>
                      <w:lang w:val="en-US" w:eastAsia="zh-CN"/>
                    </w:rPr>
                    <w:t>2</w:t>
                  </w:r>
                  <w:r>
                    <w:rPr>
                      <w:rFonts w:hint="default"/>
                      <w:color w:val="auto"/>
                      <w:sz w:val="20"/>
                      <w:szCs w:val="20"/>
                      <w:highlight w:val="none"/>
                      <w:lang w:val="en-US" w:eastAsia="zh-CN"/>
                    </w:rPr>
                    <w:t xml:space="preserve"> </w:t>
                  </w:r>
                </w:p>
              </w:tc>
            </w:tr>
            <w:tr w14:paraId="568C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71" w:type="pct"/>
                  <w:vMerge w:val="continue"/>
                  <w:noWrap w:val="0"/>
                  <w:vAlign w:val="center"/>
                </w:tcPr>
                <w:p w14:paraId="78733FE0">
                  <w:pPr>
                    <w:pStyle w:val="86"/>
                    <w:keepNext w:val="0"/>
                    <w:keepLines w:val="0"/>
                    <w:suppressLineNumbers w:val="0"/>
                    <w:spacing w:before="0" w:beforeAutospacing="0" w:after="0" w:afterAutospacing="0"/>
                    <w:ind w:left="0" w:right="0"/>
                    <w:rPr>
                      <w:rFonts w:hint="default"/>
                      <w:color w:val="auto"/>
                      <w:sz w:val="20"/>
                      <w:szCs w:val="20"/>
                      <w:highlight w:val="none"/>
                      <w:lang w:val="en-US" w:eastAsia="zh-CN"/>
                    </w:rPr>
                  </w:pPr>
                </w:p>
              </w:tc>
              <w:tc>
                <w:tcPr>
                  <w:tcW w:w="266" w:type="pct"/>
                  <w:noWrap w:val="0"/>
                  <w:vAlign w:val="center"/>
                </w:tcPr>
                <w:p w14:paraId="76C746DA">
                  <w:pPr>
                    <w:pStyle w:val="86"/>
                    <w:keepNext w:val="0"/>
                    <w:keepLines w:val="0"/>
                    <w:suppressLineNumbers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氯化氢</w:t>
                  </w:r>
                </w:p>
              </w:tc>
              <w:tc>
                <w:tcPr>
                  <w:tcW w:w="405" w:type="pct"/>
                  <w:noWrap w:val="0"/>
                  <w:vAlign w:val="center"/>
                </w:tcPr>
                <w:p w14:paraId="02F4B08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0.057</w:t>
                  </w:r>
                </w:p>
              </w:tc>
              <w:tc>
                <w:tcPr>
                  <w:tcW w:w="429" w:type="pct"/>
                  <w:noWrap w:val="0"/>
                  <w:vAlign w:val="center"/>
                </w:tcPr>
                <w:p w14:paraId="087CDC0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4.05</w:t>
                  </w:r>
                </w:p>
              </w:tc>
              <w:tc>
                <w:tcPr>
                  <w:tcW w:w="450" w:type="pct"/>
                  <w:noWrap w:val="0"/>
                  <w:vAlign w:val="center"/>
                </w:tcPr>
                <w:p w14:paraId="3E65D13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0.122</w:t>
                  </w:r>
                </w:p>
              </w:tc>
              <w:tc>
                <w:tcPr>
                  <w:tcW w:w="434" w:type="pct"/>
                  <w:noWrap w:val="0"/>
                  <w:vAlign w:val="center"/>
                </w:tcPr>
                <w:p w14:paraId="5C91C32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0.0456</w:t>
                  </w:r>
                </w:p>
              </w:tc>
              <w:tc>
                <w:tcPr>
                  <w:tcW w:w="1107" w:type="pct"/>
                  <w:vMerge w:val="continue"/>
                  <w:noWrap w:val="0"/>
                  <w:vAlign w:val="center"/>
                </w:tcPr>
                <w:p w14:paraId="4996BAF8">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p>
              </w:tc>
              <w:tc>
                <w:tcPr>
                  <w:tcW w:w="423" w:type="pct"/>
                  <w:noWrap w:val="0"/>
                  <w:vAlign w:val="center"/>
                </w:tcPr>
                <w:p w14:paraId="2E3EBE9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4.05</w:t>
                  </w:r>
                </w:p>
              </w:tc>
              <w:tc>
                <w:tcPr>
                  <w:tcW w:w="376" w:type="pct"/>
                  <w:noWrap w:val="0"/>
                  <w:vAlign w:val="center"/>
                </w:tcPr>
                <w:p w14:paraId="5777FDE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0.122</w:t>
                  </w:r>
                </w:p>
              </w:tc>
              <w:tc>
                <w:tcPr>
                  <w:tcW w:w="435" w:type="pct"/>
                  <w:noWrap w:val="0"/>
                  <w:vAlign w:val="center"/>
                </w:tcPr>
                <w:p w14:paraId="514709C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0.0456</w:t>
                  </w:r>
                </w:p>
              </w:tc>
              <w:tc>
                <w:tcPr>
                  <w:tcW w:w="401" w:type="pct"/>
                  <w:noWrap w:val="0"/>
                  <w:vAlign w:val="center"/>
                </w:tcPr>
                <w:p w14:paraId="4A4F556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0.011</w:t>
                  </w:r>
                </w:p>
              </w:tc>
            </w:tr>
          </w:tbl>
          <w:p w14:paraId="5C84DB67">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p>
          <w:p w14:paraId="45E71FFE">
            <w:pPr>
              <w:pStyle w:val="74"/>
              <w:keepNext w:val="0"/>
              <w:keepLines w:val="0"/>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lang w:val="en-US" w:eastAsia="zh-CN"/>
              </w:rPr>
              <w:t>（2）抛丸及磨加工粉尘</w:t>
            </w:r>
          </w:p>
          <w:p w14:paraId="637FE1D6">
            <w:pPr>
              <w:keepNext w:val="0"/>
              <w:keepLines w:val="0"/>
              <w:suppressLineNumbers w:val="0"/>
              <w:spacing w:before="0" w:beforeAutospacing="0" w:after="0" w:afterAutospacing="0" w:line="480" w:lineRule="exact"/>
              <w:ind w:left="0" w:right="0" w:firstLine="522" w:firstLineChars="200"/>
              <w:rPr>
                <w:rFonts w:hint="default"/>
                <w:b/>
                <w:bCs/>
                <w:color w:val="auto"/>
                <w:sz w:val="26"/>
                <w:szCs w:val="26"/>
                <w:highlight w:val="none"/>
                <w:lang w:val="en-US" w:eastAsia="zh-CN"/>
              </w:rPr>
            </w:pPr>
            <w:r>
              <w:rPr>
                <w:rFonts w:hint="eastAsia"/>
                <w:b/>
                <w:bCs/>
                <w:color w:val="auto"/>
                <w:sz w:val="26"/>
                <w:szCs w:val="26"/>
                <w:highlight w:val="none"/>
                <w:lang w:val="en-US" w:eastAsia="zh-CN"/>
              </w:rPr>
              <w:t>A、抛丸粉尘产生、排放情况</w:t>
            </w:r>
          </w:p>
          <w:p w14:paraId="667D4978">
            <w:pPr>
              <w:keepNext w:val="0"/>
              <w:keepLines w:val="0"/>
              <w:suppressLineNumbers w:val="0"/>
              <w:spacing w:before="0" w:beforeAutospacing="0" w:after="0" w:afterAutospacing="0" w:line="480" w:lineRule="exact"/>
              <w:ind w:left="0" w:right="0" w:firstLine="520" w:firstLineChars="200"/>
              <w:rPr>
                <w:rFonts w:hint="eastAsia"/>
                <w:color w:val="auto"/>
                <w:sz w:val="26"/>
                <w:szCs w:val="26"/>
                <w:highlight w:val="none"/>
                <w:lang w:val="en-US" w:eastAsia="zh-CN"/>
              </w:rPr>
            </w:pPr>
            <w:r>
              <w:rPr>
                <w:rFonts w:hint="eastAsia"/>
                <w:color w:val="auto"/>
                <w:sz w:val="26"/>
                <w:szCs w:val="26"/>
                <w:highlight w:val="none"/>
              </w:rPr>
              <w:t>参考“产排污系数手册”-06预处理-抛丸工艺：颗粒物产污系数2.19kg/t.原料。抛丸机运行过程中设备全封闭，收集效率按95%计，</w:t>
            </w:r>
            <w:r>
              <w:rPr>
                <w:rFonts w:hint="eastAsia"/>
                <w:color w:val="auto"/>
                <w:sz w:val="26"/>
                <w:szCs w:val="26"/>
                <w:highlight w:val="none"/>
                <w:lang w:val="en-US" w:eastAsia="zh-CN"/>
              </w:rPr>
              <w:t>项目共有5台抛丸机，其中用于抛丸工序的4台自带有“旋风+滤筒”防爆除尘系统，另外1台抛丸机与其他磨加工设备布置在一起，用于后续的磨加工处理。</w:t>
            </w:r>
          </w:p>
          <w:p w14:paraId="034A9946">
            <w:pPr>
              <w:keepNext w:val="0"/>
              <w:keepLines w:val="0"/>
              <w:suppressLineNumbers w:val="0"/>
              <w:spacing w:before="0" w:beforeAutospacing="0" w:after="0" w:afterAutospacing="0" w:line="480" w:lineRule="exact"/>
              <w:ind w:left="0" w:right="0" w:firstLine="520" w:firstLineChars="200"/>
              <w:rPr>
                <w:rFonts w:hint="default"/>
                <w:color w:val="auto"/>
                <w:sz w:val="26"/>
                <w:szCs w:val="26"/>
                <w:highlight w:val="none"/>
                <w:lang w:val="en-US"/>
              </w:rPr>
            </w:pPr>
            <w:r>
              <w:rPr>
                <w:rFonts w:hint="eastAsia"/>
                <w:color w:val="auto"/>
                <w:sz w:val="26"/>
                <w:szCs w:val="26"/>
                <w:highlight w:val="none"/>
                <w:lang w:val="en-US" w:eastAsia="zh-CN"/>
              </w:rPr>
              <w:t>4台抛丸机产生的抛丸粉尘经旋风+滤筒除尘处理后经DA003排气筒排放，</w:t>
            </w:r>
            <w:r>
              <w:rPr>
                <w:rFonts w:hint="eastAsia"/>
                <w:color w:val="auto"/>
                <w:sz w:val="26"/>
                <w:szCs w:val="26"/>
                <w:highlight w:val="none"/>
              </w:rPr>
              <w:t>风机</w:t>
            </w:r>
            <w:r>
              <w:rPr>
                <w:rFonts w:hint="eastAsia"/>
                <w:color w:val="auto"/>
                <w:sz w:val="26"/>
                <w:szCs w:val="26"/>
                <w:highlight w:val="none"/>
                <w:lang w:val="en-US" w:eastAsia="zh-CN"/>
              </w:rPr>
              <w:t>总</w:t>
            </w:r>
            <w:r>
              <w:rPr>
                <w:rFonts w:hint="eastAsia"/>
                <w:color w:val="auto"/>
                <w:sz w:val="26"/>
                <w:szCs w:val="26"/>
                <w:highlight w:val="none"/>
              </w:rPr>
              <w:t>风量约</w:t>
            </w:r>
            <w:r>
              <w:rPr>
                <w:rFonts w:hint="eastAsia"/>
                <w:color w:val="auto"/>
                <w:sz w:val="26"/>
                <w:szCs w:val="26"/>
                <w:highlight w:val="none"/>
                <w:lang w:val="en-US" w:eastAsia="zh-CN"/>
              </w:rPr>
              <w:t>20000</w:t>
            </w:r>
            <w:r>
              <w:rPr>
                <w:rFonts w:hint="eastAsia"/>
                <w:color w:val="auto"/>
                <w:sz w:val="26"/>
                <w:szCs w:val="26"/>
                <w:highlight w:val="none"/>
              </w:rPr>
              <w:t>m</w:t>
            </w:r>
            <w:r>
              <w:rPr>
                <w:rFonts w:hint="eastAsia"/>
                <w:color w:val="auto"/>
                <w:sz w:val="26"/>
                <w:szCs w:val="26"/>
                <w:highlight w:val="none"/>
                <w:vertAlign w:val="superscript"/>
              </w:rPr>
              <w:t>3</w:t>
            </w:r>
            <w:r>
              <w:rPr>
                <w:rFonts w:hint="eastAsia"/>
                <w:color w:val="auto"/>
                <w:sz w:val="26"/>
                <w:szCs w:val="26"/>
                <w:highlight w:val="none"/>
              </w:rPr>
              <w:t>/h，抛丸机年有效工作时间2000h。</w:t>
            </w:r>
            <w:r>
              <w:rPr>
                <w:rFonts w:hint="eastAsia"/>
                <w:color w:val="auto"/>
                <w:sz w:val="26"/>
                <w:szCs w:val="26"/>
                <w:highlight w:val="none"/>
                <w:lang w:val="en-US" w:eastAsia="zh-CN"/>
              </w:rPr>
              <w:t>根据物料平衡，进入抛丸工序的铝铸件的</w:t>
            </w:r>
            <w:r>
              <w:rPr>
                <w:rFonts w:hint="eastAsia"/>
                <w:color w:val="auto"/>
                <w:sz w:val="26"/>
                <w:szCs w:val="26"/>
                <w:highlight w:val="none"/>
              </w:rPr>
              <w:t>量约</w:t>
            </w:r>
            <w:r>
              <w:rPr>
                <w:rFonts w:hint="eastAsia"/>
                <w:color w:val="auto"/>
                <w:sz w:val="26"/>
                <w:szCs w:val="26"/>
                <w:highlight w:val="none"/>
                <w:lang w:val="en-US" w:eastAsia="zh-CN"/>
              </w:rPr>
              <w:t>1093.518</w:t>
            </w:r>
            <w:r>
              <w:rPr>
                <w:rFonts w:hint="eastAsia"/>
                <w:color w:val="auto"/>
                <w:sz w:val="26"/>
                <w:szCs w:val="26"/>
                <w:highlight w:val="none"/>
              </w:rPr>
              <w:t>t/a，</w:t>
            </w:r>
            <w:r>
              <w:rPr>
                <w:rFonts w:hint="eastAsia"/>
                <w:color w:val="auto"/>
                <w:sz w:val="26"/>
                <w:szCs w:val="26"/>
                <w:highlight w:val="none"/>
                <w:lang w:eastAsia="zh-CN"/>
              </w:rPr>
              <w:t>“</w:t>
            </w:r>
            <w:r>
              <w:rPr>
                <w:rFonts w:hint="eastAsia"/>
                <w:color w:val="auto"/>
                <w:sz w:val="26"/>
                <w:szCs w:val="26"/>
                <w:highlight w:val="none"/>
                <w:lang w:val="en-US" w:eastAsia="zh-CN"/>
              </w:rPr>
              <w:t>旋风+滤筒</w:t>
            </w:r>
            <w:r>
              <w:rPr>
                <w:rFonts w:hint="eastAsia"/>
                <w:color w:val="auto"/>
                <w:sz w:val="26"/>
                <w:szCs w:val="26"/>
                <w:highlight w:val="none"/>
                <w:lang w:eastAsia="zh-CN"/>
              </w:rPr>
              <w:t>”</w:t>
            </w:r>
            <w:r>
              <w:rPr>
                <w:rFonts w:hint="eastAsia"/>
                <w:color w:val="auto"/>
                <w:sz w:val="26"/>
                <w:szCs w:val="26"/>
                <w:highlight w:val="none"/>
                <w:lang w:val="en-US" w:eastAsia="zh-CN"/>
              </w:rPr>
              <w:t>除尘系统的两级除尘总效率取99.8%（参照“产排污系数手册”-06预处理-抛丸工艺，旋风除尘的处理效率为60%；参照《滤筒式除尘器》（JB/T10341-2014），滤筒除尘根据滤料不同除尘效率在99.5%~99.99%之间，保守按照99.5%取值；因此两级除尘总效率为1-（1-60%）（1-99.5%）=99.8%）。</w:t>
            </w:r>
          </w:p>
          <w:p w14:paraId="5FA54627">
            <w:pPr>
              <w:keepNext w:val="0"/>
              <w:keepLines w:val="0"/>
              <w:suppressLineNumbers w:val="0"/>
              <w:spacing w:before="0" w:beforeAutospacing="0" w:after="0" w:afterAutospacing="0" w:line="480" w:lineRule="exact"/>
              <w:ind w:left="0" w:right="0" w:firstLine="520" w:firstLineChars="200"/>
              <w:rPr>
                <w:rFonts w:hint="eastAsia"/>
                <w:color w:val="auto"/>
                <w:sz w:val="26"/>
                <w:szCs w:val="26"/>
                <w:highlight w:val="none"/>
              </w:rPr>
            </w:pPr>
            <w:r>
              <w:rPr>
                <w:rFonts w:hint="eastAsia"/>
                <w:color w:val="auto"/>
                <w:sz w:val="26"/>
                <w:szCs w:val="26"/>
                <w:highlight w:val="none"/>
              </w:rPr>
              <w:t>经计算，抛丸颗粒物产生量</w:t>
            </w:r>
            <w:r>
              <w:rPr>
                <w:rFonts w:hint="eastAsia"/>
                <w:color w:val="auto"/>
                <w:sz w:val="26"/>
                <w:szCs w:val="26"/>
                <w:highlight w:val="none"/>
                <w:lang w:val="en-US" w:eastAsia="zh-CN"/>
              </w:rPr>
              <w:t>2.395</w:t>
            </w:r>
            <w:r>
              <w:rPr>
                <w:rFonts w:hint="eastAsia"/>
                <w:color w:val="auto"/>
                <w:sz w:val="26"/>
                <w:szCs w:val="26"/>
                <w:highlight w:val="none"/>
              </w:rPr>
              <w:t>t/a，</w:t>
            </w:r>
            <w:r>
              <w:rPr>
                <w:rFonts w:hint="eastAsia"/>
                <w:color w:val="auto"/>
                <w:sz w:val="26"/>
                <w:szCs w:val="26"/>
                <w:highlight w:val="none"/>
                <w:lang w:val="en-US" w:eastAsia="zh-CN"/>
              </w:rPr>
              <w:t>其中无组织排放0.120t/a，收集的量为2.275t/a，则</w:t>
            </w:r>
            <w:r>
              <w:rPr>
                <w:rFonts w:hint="eastAsia"/>
                <w:color w:val="auto"/>
                <w:sz w:val="26"/>
                <w:szCs w:val="26"/>
                <w:highlight w:val="none"/>
              </w:rPr>
              <w:t>有组织排放量为</w:t>
            </w:r>
            <w:r>
              <w:rPr>
                <w:rFonts w:hint="eastAsia"/>
                <w:color w:val="auto"/>
                <w:sz w:val="26"/>
                <w:szCs w:val="26"/>
                <w:highlight w:val="none"/>
                <w:lang w:val="en-US" w:eastAsia="zh-CN"/>
              </w:rPr>
              <w:t>0.005</w:t>
            </w:r>
            <w:r>
              <w:rPr>
                <w:rFonts w:hint="eastAsia"/>
                <w:color w:val="auto"/>
                <w:sz w:val="26"/>
                <w:szCs w:val="26"/>
                <w:highlight w:val="none"/>
              </w:rPr>
              <w:t>t/a，</w:t>
            </w:r>
            <w:r>
              <w:rPr>
                <w:rFonts w:hint="eastAsia"/>
                <w:color w:val="auto"/>
                <w:sz w:val="26"/>
                <w:szCs w:val="26"/>
                <w:highlight w:val="none"/>
                <w:lang w:val="en-US" w:eastAsia="zh-CN"/>
              </w:rPr>
              <w:t>除尘灰产生量</w:t>
            </w:r>
            <w:r>
              <w:rPr>
                <w:rFonts w:hint="eastAsia"/>
                <w:color w:val="auto"/>
                <w:sz w:val="26"/>
                <w:szCs w:val="26"/>
                <w:highlight w:val="none"/>
              </w:rPr>
              <w:t>为</w:t>
            </w:r>
            <w:r>
              <w:rPr>
                <w:rFonts w:hint="eastAsia"/>
                <w:color w:val="auto"/>
                <w:sz w:val="26"/>
                <w:szCs w:val="26"/>
                <w:highlight w:val="none"/>
                <w:lang w:val="en-US" w:eastAsia="zh-CN"/>
              </w:rPr>
              <w:t>2.271</w:t>
            </w:r>
            <w:r>
              <w:rPr>
                <w:rFonts w:hint="eastAsia"/>
                <w:color w:val="auto"/>
                <w:sz w:val="26"/>
                <w:szCs w:val="26"/>
                <w:highlight w:val="none"/>
              </w:rPr>
              <w:t>t/a。</w:t>
            </w:r>
          </w:p>
          <w:p w14:paraId="072B866B">
            <w:pPr>
              <w:keepNext w:val="0"/>
              <w:keepLines w:val="0"/>
              <w:suppressLineNumbers w:val="0"/>
              <w:spacing w:before="0" w:beforeAutospacing="0" w:after="0" w:afterAutospacing="0" w:line="480" w:lineRule="exact"/>
              <w:ind w:left="0" w:right="0" w:firstLine="522" w:firstLineChars="200"/>
              <w:rPr>
                <w:rFonts w:hint="default" w:eastAsia="宋体"/>
                <w:b/>
                <w:bCs/>
                <w:color w:val="auto"/>
                <w:sz w:val="26"/>
                <w:szCs w:val="26"/>
                <w:highlight w:val="none"/>
                <w:lang w:val="en-US" w:eastAsia="zh-CN"/>
              </w:rPr>
            </w:pPr>
            <w:r>
              <w:rPr>
                <w:rFonts w:hint="eastAsia"/>
                <w:b/>
                <w:bCs/>
                <w:color w:val="auto"/>
                <w:sz w:val="26"/>
                <w:szCs w:val="26"/>
                <w:highlight w:val="none"/>
                <w:lang w:val="en-US" w:eastAsia="zh-CN"/>
              </w:rPr>
              <w:t>B、抛丸、</w:t>
            </w:r>
            <w:r>
              <w:rPr>
                <w:rFonts w:hint="eastAsia"/>
                <w:b/>
                <w:bCs/>
                <w:color w:val="auto"/>
                <w:sz w:val="26"/>
                <w:szCs w:val="26"/>
                <w:highlight w:val="none"/>
              </w:rPr>
              <w:t>磨加工粉尘</w:t>
            </w:r>
            <w:r>
              <w:rPr>
                <w:rFonts w:hint="eastAsia"/>
                <w:b/>
                <w:bCs/>
                <w:color w:val="auto"/>
                <w:sz w:val="26"/>
                <w:szCs w:val="26"/>
                <w:highlight w:val="none"/>
                <w:lang w:val="en-US" w:eastAsia="zh-CN"/>
              </w:rPr>
              <w:t>产排情况</w:t>
            </w:r>
          </w:p>
          <w:p w14:paraId="0CC9A8C5">
            <w:pPr>
              <w:keepNext w:val="0"/>
              <w:keepLines w:val="0"/>
              <w:suppressLineNumbers w:val="0"/>
              <w:spacing w:before="0" w:beforeAutospacing="0" w:after="0" w:afterAutospacing="0" w:line="480" w:lineRule="exact"/>
              <w:ind w:left="0" w:right="0" w:firstLine="520" w:firstLineChars="200"/>
              <w:rPr>
                <w:rFonts w:hint="eastAsia"/>
                <w:color w:val="auto"/>
                <w:sz w:val="26"/>
                <w:szCs w:val="26"/>
                <w:highlight w:val="none"/>
              </w:rPr>
            </w:pPr>
            <w:r>
              <w:rPr>
                <w:rFonts w:hint="eastAsia"/>
                <w:color w:val="auto"/>
                <w:sz w:val="26"/>
                <w:szCs w:val="26"/>
                <w:highlight w:val="none"/>
              </w:rPr>
              <w:t>为得到更高精度尺寸的产品，需对固化后的产品进行磨加工，主要有去毛刺、磨片、抛丸等工序。参考“产排污系数手册”-06预处理-打磨工艺：颗粒物产污系数2.19kg/t.原料，06预处理-抛丸工艺：颗粒物产污系数2.19kg/t.原料</w:t>
            </w:r>
            <w:r>
              <w:rPr>
                <w:rFonts w:hint="eastAsia"/>
                <w:color w:val="auto"/>
                <w:sz w:val="26"/>
                <w:szCs w:val="26"/>
                <w:highlight w:val="none"/>
                <w:lang w:eastAsia="zh-CN"/>
              </w:rPr>
              <w:t>，</w:t>
            </w:r>
            <w:r>
              <w:rPr>
                <w:rFonts w:hint="eastAsia"/>
                <w:color w:val="auto"/>
                <w:sz w:val="26"/>
                <w:szCs w:val="26"/>
                <w:highlight w:val="none"/>
              </w:rPr>
              <w:t>袋式除尘器治理效率95%。</w:t>
            </w:r>
            <w:r>
              <w:rPr>
                <w:rFonts w:hint="eastAsia"/>
                <w:color w:val="auto"/>
                <w:sz w:val="26"/>
                <w:szCs w:val="26"/>
                <w:highlight w:val="none"/>
                <w:lang w:val="en-US" w:eastAsia="zh-CN"/>
              </w:rPr>
              <w:t>抛丸机运行过程中设备全封闭，收集效率按95%计；</w:t>
            </w:r>
            <w:r>
              <w:rPr>
                <w:rFonts w:hint="eastAsia"/>
                <w:color w:val="auto"/>
                <w:sz w:val="26"/>
                <w:szCs w:val="26"/>
                <w:highlight w:val="none"/>
              </w:rPr>
              <w:t>磨加工</w:t>
            </w:r>
            <w:r>
              <w:rPr>
                <w:rFonts w:hint="eastAsia"/>
                <w:color w:val="auto"/>
                <w:sz w:val="26"/>
                <w:szCs w:val="26"/>
                <w:highlight w:val="none"/>
                <w:lang w:eastAsia="zh-CN"/>
              </w:rPr>
              <w:t>的</w:t>
            </w:r>
            <w:r>
              <w:rPr>
                <w:rFonts w:hint="eastAsia"/>
                <w:color w:val="auto"/>
                <w:sz w:val="26"/>
                <w:szCs w:val="26"/>
                <w:highlight w:val="none"/>
                <w:lang w:val="en-US" w:eastAsia="zh-CN"/>
              </w:rPr>
              <w:t>磨床、车床</w:t>
            </w:r>
            <w:r>
              <w:rPr>
                <w:rFonts w:hint="eastAsia"/>
                <w:color w:val="auto"/>
                <w:sz w:val="26"/>
                <w:szCs w:val="26"/>
                <w:highlight w:val="none"/>
              </w:rPr>
              <w:t>设置侧吸罩，收集效率按80%计，年有效工作时间2000h。</w:t>
            </w:r>
            <w:r>
              <w:rPr>
                <w:rFonts w:hint="eastAsia"/>
                <w:color w:val="auto"/>
                <w:sz w:val="26"/>
                <w:szCs w:val="26"/>
                <w:highlight w:val="none"/>
                <w:lang w:val="en-US" w:eastAsia="zh-CN"/>
              </w:rPr>
              <w:t>根据物料平衡，进入该工序的物料量（金属部分）</w:t>
            </w:r>
            <w:r>
              <w:rPr>
                <w:rFonts w:hint="eastAsia"/>
                <w:color w:val="auto"/>
                <w:sz w:val="26"/>
                <w:szCs w:val="26"/>
                <w:highlight w:val="none"/>
              </w:rPr>
              <w:t>约</w:t>
            </w:r>
            <w:r>
              <w:rPr>
                <w:rFonts w:hint="eastAsia"/>
                <w:color w:val="auto"/>
                <w:sz w:val="26"/>
                <w:szCs w:val="26"/>
                <w:highlight w:val="none"/>
                <w:lang w:val="en-US" w:eastAsia="zh-CN"/>
              </w:rPr>
              <w:t>1091.124</w:t>
            </w:r>
            <w:r>
              <w:rPr>
                <w:rFonts w:hint="eastAsia"/>
                <w:color w:val="auto"/>
                <w:sz w:val="26"/>
                <w:szCs w:val="26"/>
                <w:highlight w:val="none"/>
              </w:rPr>
              <w:t>t/a，</w:t>
            </w:r>
            <w:r>
              <w:rPr>
                <w:rFonts w:hint="eastAsia"/>
                <w:color w:val="auto"/>
                <w:sz w:val="26"/>
                <w:szCs w:val="26"/>
                <w:highlight w:val="none"/>
                <w:lang w:val="en-US" w:eastAsia="zh-CN"/>
              </w:rPr>
              <w:t>抛丸和其他磨加工设备的加工负荷各约为20%、80%。抛丸、</w:t>
            </w:r>
            <w:r>
              <w:rPr>
                <w:rFonts w:hint="eastAsia"/>
                <w:color w:val="auto"/>
                <w:sz w:val="26"/>
                <w:szCs w:val="26"/>
                <w:highlight w:val="none"/>
              </w:rPr>
              <w:t>磨加工产生的颗粒物经集气罩收集后，</w:t>
            </w:r>
            <w:r>
              <w:rPr>
                <w:rFonts w:hint="eastAsia"/>
                <w:color w:val="auto"/>
                <w:sz w:val="26"/>
                <w:szCs w:val="26"/>
                <w:highlight w:val="none"/>
                <w:lang w:val="en-US" w:eastAsia="zh-CN"/>
              </w:rPr>
              <w:t>其中一台磨加工设备的粉尘单独由一套</w:t>
            </w:r>
            <w:r>
              <w:rPr>
                <w:rFonts w:hint="eastAsia"/>
                <w:color w:val="auto"/>
                <w:sz w:val="26"/>
                <w:szCs w:val="26"/>
                <w:highlight w:val="none"/>
              </w:rPr>
              <w:t>袋式</w:t>
            </w:r>
            <w:r>
              <w:rPr>
                <w:rFonts w:hint="eastAsia"/>
                <w:color w:val="auto"/>
                <w:sz w:val="26"/>
                <w:szCs w:val="26"/>
                <w:highlight w:val="none"/>
                <w:lang w:val="en-US" w:eastAsia="zh-CN"/>
              </w:rPr>
              <w:t>防爆</w:t>
            </w:r>
            <w:r>
              <w:rPr>
                <w:rFonts w:hint="eastAsia"/>
                <w:color w:val="auto"/>
                <w:sz w:val="26"/>
                <w:szCs w:val="26"/>
                <w:highlight w:val="none"/>
              </w:rPr>
              <w:t>除尘</w:t>
            </w:r>
            <w:r>
              <w:rPr>
                <w:rFonts w:hint="eastAsia"/>
                <w:color w:val="auto"/>
                <w:sz w:val="26"/>
                <w:szCs w:val="26"/>
                <w:highlight w:val="none"/>
                <w:lang w:val="en-US" w:eastAsia="zh-CN"/>
              </w:rPr>
              <w:t>系统</w:t>
            </w:r>
            <w:r>
              <w:rPr>
                <w:rFonts w:hint="eastAsia"/>
                <w:color w:val="auto"/>
                <w:sz w:val="26"/>
                <w:szCs w:val="26"/>
                <w:highlight w:val="none"/>
              </w:rPr>
              <w:t>处理</w:t>
            </w:r>
            <w:r>
              <w:rPr>
                <w:rFonts w:hint="eastAsia"/>
                <w:color w:val="auto"/>
                <w:sz w:val="26"/>
                <w:szCs w:val="26"/>
                <w:highlight w:val="none"/>
                <w:lang w:val="en-US" w:eastAsia="zh-CN"/>
              </w:rPr>
              <w:t>后经</w:t>
            </w:r>
            <w:r>
              <w:rPr>
                <w:rFonts w:hint="eastAsia"/>
                <w:color w:val="auto"/>
                <w:sz w:val="26"/>
                <w:szCs w:val="26"/>
                <w:highlight w:val="none"/>
              </w:rPr>
              <w:t>15m高</w:t>
            </w:r>
            <w:r>
              <w:rPr>
                <w:rFonts w:hint="eastAsia"/>
                <w:color w:val="auto"/>
                <w:sz w:val="26"/>
                <w:szCs w:val="26"/>
                <w:highlight w:val="none"/>
                <w:lang w:val="en-US" w:eastAsia="zh-CN"/>
              </w:rPr>
              <w:t>DA003</w:t>
            </w:r>
            <w:r>
              <w:rPr>
                <w:rFonts w:hint="eastAsia"/>
                <w:color w:val="auto"/>
                <w:sz w:val="26"/>
                <w:szCs w:val="26"/>
                <w:highlight w:val="none"/>
              </w:rPr>
              <w:t>排气筒排放</w:t>
            </w:r>
            <w:r>
              <w:rPr>
                <w:rFonts w:hint="eastAsia"/>
                <w:color w:val="auto"/>
                <w:sz w:val="26"/>
                <w:szCs w:val="26"/>
                <w:highlight w:val="none"/>
                <w:lang w:eastAsia="zh-CN"/>
              </w:rPr>
              <w:t>，</w:t>
            </w:r>
            <w:r>
              <w:rPr>
                <w:rFonts w:hint="eastAsia"/>
                <w:color w:val="auto"/>
                <w:sz w:val="26"/>
                <w:szCs w:val="26"/>
                <w:highlight w:val="none"/>
                <w:lang w:val="en-US" w:eastAsia="zh-CN"/>
              </w:rPr>
              <w:t>其他磨加工设备粉尘则</w:t>
            </w:r>
            <w:r>
              <w:rPr>
                <w:rFonts w:hint="eastAsia"/>
                <w:color w:val="auto"/>
                <w:sz w:val="26"/>
                <w:szCs w:val="26"/>
                <w:highlight w:val="none"/>
              </w:rPr>
              <w:t>由</w:t>
            </w:r>
            <w:r>
              <w:rPr>
                <w:rFonts w:hint="eastAsia"/>
                <w:color w:val="auto"/>
                <w:sz w:val="26"/>
                <w:szCs w:val="26"/>
                <w:highlight w:val="none"/>
                <w:lang w:val="en-US" w:eastAsia="zh-CN"/>
              </w:rPr>
              <w:t>另一套</w:t>
            </w:r>
            <w:r>
              <w:rPr>
                <w:rFonts w:hint="eastAsia"/>
                <w:color w:val="auto"/>
                <w:sz w:val="26"/>
                <w:szCs w:val="26"/>
                <w:highlight w:val="none"/>
              </w:rPr>
              <w:t>袋式</w:t>
            </w:r>
            <w:r>
              <w:rPr>
                <w:rFonts w:hint="eastAsia"/>
                <w:color w:val="auto"/>
                <w:sz w:val="26"/>
                <w:szCs w:val="26"/>
                <w:highlight w:val="none"/>
                <w:lang w:val="en-US" w:eastAsia="zh-CN"/>
              </w:rPr>
              <w:t>防爆</w:t>
            </w:r>
            <w:r>
              <w:rPr>
                <w:rFonts w:hint="eastAsia"/>
                <w:color w:val="auto"/>
                <w:sz w:val="26"/>
                <w:szCs w:val="26"/>
                <w:highlight w:val="none"/>
              </w:rPr>
              <w:t>除尘</w:t>
            </w:r>
            <w:r>
              <w:rPr>
                <w:rFonts w:hint="eastAsia"/>
                <w:color w:val="auto"/>
                <w:sz w:val="26"/>
                <w:szCs w:val="26"/>
                <w:highlight w:val="none"/>
                <w:lang w:val="en-US" w:eastAsia="zh-CN"/>
              </w:rPr>
              <w:t>系统</w:t>
            </w:r>
            <w:r>
              <w:rPr>
                <w:rFonts w:hint="eastAsia"/>
                <w:color w:val="auto"/>
                <w:sz w:val="26"/>
                <w:szCs w:val="26"/>
                <w:highlight w:val="none"/>
              </w:rPr>
              <w:t>处理后同抛丸粉尘一并15m高</w:t>
            </w:r>
            <w:r>
              <w:rPr>
                <w:rFonts w:hint="eastAsia"/>
                <w:color w:val="auto"/>
                <w:sz w:val="26"/>
                <w:szCs w:val="26"/>
                <w:highlight w:val="none"/>
                <w:lang w:val="en-US" w:eastAsia="zh-CN"/>
              </w:rPr>
              <w:t>DA003</w:t>
            </w:r>
            <w:r>
              <w:rPr>
                <w:rFonts w:hint="eastAsia"/>
                <w:color w:val="auto"/>
                <w:sz w:val="26"/>
                <w:szCs w:val="26"/>
                <w:highlight w:val="none"/>
              </w:rPr>
              <w:t>排气筒排放。</w:t>
            </w:r>
          </w:p>
          <w:p w14:paraId="10F07B49">
            <w:pPr>
              <w:keepNext w:val="0"/>
              <w:keepLines w:val="0"/>
              <w:suppressLineNumbers w:val="0"/>
              <w:spacing w:before="0" w:beforeAutospacing="0" w:after="0" w:afterAutospacing="0" w:line="480" w:lineRule="exact"/>
              <w:ind w:left="0" w:right="0" w:firstLine="520" w:firstLineChars="200"/>
              <w:rPr>
                <w:rFonts w:hint="eastAsia"/>
                <w:color w:val="auto"/>
                <w:sz w:val="26"/>
                <w:szCs w:val="26"/>
                <w:highlight w:val="none"/>
              </w:rPr>
            </w:pPr>
            <w:r>
              <w:rPr>
                <w:rFonts w:hint="eastAsia"/>
                <w:color w:val="auto"/>
                <w:sz w:val="26"/>
                <w:szCs w:val="26"/>
                <w:highlight w:val="none"/>
              </w:rPr>
              <w:t>经计算，磨加工颗粒物产生量</w:t>
            </w:r>
            <w:r>
              <w:rPr>
                <w:rFonts w:hint="eastAsia"/>
                <w:color w:val="auto"/>
                <w:sz w:val="26"/>
                <w:szCs w:val="26"/>
                <w:highlight w:val="none"/>
                <w:lang w:val="en-US" w:eastAsia="zh-CN"/>
              </w:rPr>
              <w:t>2.390</w:t>
            </w:r>
            <w:r>
              <w:rPr>
                <w:rFonts w:hint="eastAsia"/>
                <w:color w:val="auto"/>
                <w:sz w:val="26"/>
                <w:szCs w:val="26"/>
                <w:highlight w:val="none"/>
              </w:rPr>
              <w:t>t/a，无组织排放量为</w:t>
            </w:r>
            <w:r>
              <w:rPr>
                <w:rFonts w:hint="eastAsia"/>
                <w:color w:val="auto"/>
                <w:sz w:val="26"/>
                <w:szCs w:val="26"/>
                <w:highlight w:val="none"/>
                <w:lang w:val="en-US" w:eastAsia="zh-CN"/>
              </w:rPr>
              <w:t>0.406</w:t>
            </w:r>
            <w:r>
              <w:rPr>
                <w:rFonts w:hint="eastAsia"/>
                <w:color w:val="auto"/>
                <w:sz w:val="26"/>
                <w:szCs w:val="26"/>
                <w:highlight w:val="none"/>
              </w:rPr>
              <w:t>t/a</w:t>
            </w:r>
            <w:r>
              <w:rPr>
                <w:rFonts w:hint="eastAsia"/>
                <w:color w:val="auto"/>
                <w:sz w:val="26"/>
                <w:szCs w:val="26"/>
                <w:highlight w:val="none"/>
                <w:lang w:eastAsia="zh-CN"/>
              </w:rPr>
              <w:t>，</w:t>
            </w:r>
            <w:r>
              <w:rPr>
                <w:rFonts w:hint="eastAsia"/>
                <w:color w:val="auto"/>
                <w:sz w:val="26"/>
                <w:szCs w:val="26"/>
                <w:highlight w:val="none"/>
                <w:lang w:val="en-US" w:eastAsia="zh-CN"/>
              </w:rPr>
              <w:t>收集进入废气治理设施的量为1.983</w:t>
            </w:r>
            <w:r>
              <w:rPr>
                <w:rFonts w:hint="eastAsia"/>
                <w:color w:val="auto"/>
                <w:sz w:val="26"/>
                <w:szCs w:val="26"/>
                <w:highlight w:val="none"/>
              </w:rPr>
              <w:t>t/a</w:t>
            </w:r>
            <w:r>
              <w:rPr>
                <w:rFonts w:hint="eastAsia"/>
                <w:color w:val="auto"/>
                <w:sz w:val="26"/>
                <w:szCs w:val="26"/>
                <w:highlight w:val="none"/>
                <w:lang w:eastAsia="zh-CN"/>
              </w:rPr>
              <w:t>，</w:t>
            </w:r>
            <w:r>
              <w:rPr>
                <w:rFonts w:hint="eastAsia"/>
                <w:color w:val="auto"/>
                <w:sz w:val="26"/>
                <w:szCs w:val="26"/>
                <w:highlight w:val="none"/>
              </w:rPr>
              <w:t>有组织排放量为</w:t>
            </w:r>
            <w:r>
              <w:rPr>
                <w:rFonts w:hint="eastAsia"/>
                <w:color w:val="auto"/>
                <w:sz w:val="26"/>
                <w:szCs w:val="26"/>
                <w:highlight w:val="none"/>
                <w:lang w:val="en-US" w:eastAsia="zh-CN"/>
              </w:rPr>
              <w:t>0.099</w:t>
            </w:r>
            <w:r>
              <w:rPr>
                <w:rFonts w:hint="eastAsia"/>
                <w:color w:val="auto"/>
                <w:sz w:val="26"/>
                <w:szCs w:val="26"/>
                <w:highlight w:val="none"/>
              </w:rPr>
              <w:t>t/a</w:t>
            </w:r>
            <w:r>
              <w:rPr>
                <w:rFonts w:hint="eastAsia"/>
                <w:color w:val="auto"/>
                <w:sz w:val="26"/>
                <w:szCs w:val="26"/>
                <w:highlight w:val="none"/>
                <w:lang w:eastAsia="zh-CN"/>
              </w:rPr>
              <w:t>，</w:t>
            </w:r>
            <w:r>
              <w:rPr>
                <w:rFonts w:hint="eastAsia"/>
                <w:color w:val="auto"/>
                <w:sz w:val="26"/>
                <w:szCs w:val="26"/>
                <w:highlight w:val="none"/>
                <w:lang w:val="en-US" w:eastAsia="zh-CN"/>
              </w:rPr>
              <w:t>袋式除尘器回收金属粉尘量为1.884t/a</w:t>
            </w:r>
            <w:r>
              <w:rPr>
                <w:rFonts w:hint="eastAsia"/>
                <w:color w:val="auto"/>
                <w:sz w:val="26"/>
                <w:szCs w:val="26"/>
                <w:highlight w:val="none"/>
              </w:rPr>
              <w:t>。</w:t>
            </w:r>
          </w:p>
          <w:p w14:paraId="75B22712">
            <w:pPr>
              <w:pStyle w:val="74"/>
              <w:keepNext w:val="0"/>
              <w:keepLines w:val="0"/>
              <w:numPr>
                <w:ilvl w:val="0"/>
                <w:numId w:val="0"/>
              </w:numPr>
              <w:suppressLineNumbers w:val="0"/>
              <w:bidi w:val="0"/>
              <w:spacing w:before="0" w:beforeAutospacing="0" w:after="0" w:afterAutospacing="0"/>
              <w:ind w:left="0" w:right="0" w:firstLine="522" w:firstLineChars="200"/>
              <w:rPr>
                <w:rFonts w:hint="default"/>
                <w:b/>
                <w:bCs/>
                <w:color w:val="auto"/>
                <w:highlight w:val="none"/>
                <w:lang w:val="en-US" w:eastAsia="zh-CN"/>
              </w:rPr>
            </w:pPr>
            <w:r>
              <w:rPr>
                <w:rFonts w:hint="eastAsia"/>
                <w:b/>
                <w:bCs/>
                <w:color w:val="auto"/>
                <w:kern w:val="2"/>
                <w:sz w:val="26"/>
                <w:szCs w:val="20"/>
                <w:highlight w:val="none"/>
                <w:lang w:val="en-US" w:eastAsia="zh-CN" w:bidi="ar-SA"/>
              </w:rPr>
              <w:t>C、</w:t>
            </w:r>
            <w:r>
              <w:rPr>
                <w:rFonts w:hint="eastAsia"/>
                <w:b/>
                <w:bCs/>
                <w:color w:val="auto"/>
                <w:highlight w:val="none"/>
                <w:lang w:val="en-US" w:eastAsia="zh-CN"/>
              </w:rPr>
              <w:t>废气产生、排放情况汇总</w:t>
            </w:r>
          </w:p>
          <w:p w14:paraId="0FF1A610">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p>
          <w:p w14:paraId="19CA04D6">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 xml:space="preserve">4.2-2  </w:t>
            </w:r>
            <w:r>
              <w:rPr>
                <w:rFonts w:hint="eastAsia"/>
                <w:color w:val="auto"/>
                <w:sz w:val="26"/>
                <w:szCs w:val="26"/>
                <w:highlight w:val="none"/>
              </w:rPr>
              <w:t xml:space="preserve"> </w:t>
            </w:r>
            <w:r>
              <w:rPr>
                <w:rFonts w:hint="eastAsia"/>
                <w:color w:val="auto"/>
                <w:sz w:val="26"/>
                <w:szCs w:val="26"/>
                <w:highlight w:val="none"/>
                <w:lang w:val="en-US" w:eastAsia="zh-CN"/>
              </w:rPr>
              <w:t>抛丸、磨加工</w:t>
            </w:r>
            <w:r>
              <w:rPr>
                <w:rFonts w:hint="eastAsia"/>
                <w:color w:val="auto"/>
                <w:sz w:val="26"/>
                <w:szCs w:val="26"/>
                <w:highlight w:val="none"/>
              </w:rPr>
              <w:t>废气产生、排放情况</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416"/>
              <w:gridCol w:w="666"/>
              <w:gridCol w:w="742"/>
              <w:gridCol w:w="770"/>
              <w:gridCol w:w="750"/>
              <w:gridCol w:w="2246"/>
              <w:gridCol w:w="770"/>
              <w:gridCol w:w="595"/>
              <w:gridCol w:w="666"/>
              <w:gridCol w:w="666"/>
            </w:tblGrid>
            <w:tr w14:paraId="59F1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9" w:type="pct"/>
                  <w:gridSpan w:val="2"/>
                  <w:vMerge w:val="restart"/>
                  <w:noWrap w:val="0"/>
                  <w:vAlign w:val="center"/>
                </w:tcPr>
                <w:p w14:paraId="7F52E506">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污染源</w:t>
                  </w:r>
                </w:p>
              </w:tc>
              <w:tc>
                <w:tcPr>
                  <w:tcW w:w="374" w:type="pct"/>
                  <w:vMerge w:val="restart"/>
                  <w:noWrap w:val="0"/>
                  <w:vAlign w:val="center"/>
                </w:tcPr>
                <w:p w14:paraId="499D099F">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产生量</w:t>
                  </w:r>
                </w:p>
                <w:p w14:paraId="77B14393">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t/a</w:t>
                  </w:r>
                </w:p>
              </w:tc>
              <w:tc>
                <w:tcPr>
                  <w:tcW w:w="1270" w:type="pct"/>
                  <w:gridSpan w:val="3"/>
                  <w:noWrap w:val="0"/>
                  <w:vAlign w:val="center"/>
                </w:tcPr>
                <w:p w14:paraId="1C3EAEC3">
                  <w:pPr>
                    <w:pStyle w:val="86"/>
                    <w:keepNext w:val="0"/>
                    <w:keepLines w:val="0"/>
                    <w:suppressLineNumbers w:val="0"/>
                    <w:spacing w:before="0" w:beforeAutospacing="0" w:after="0" w:afterAutospacing="0"/>
                    <w:ind w:left="0" w:right="0"/>
                    <w:rPr>
                      <w:rFonts w:hint="default" w:eastAsia="宋体"/>
                      <w:b/>
                      <w:bCs/>
                      <w:color w:val="auto"/>
                      <w:sz w:val="20"/>
                      <w:szCs w:val="20"/>
                      <w:highlight w:val="none"/>
                      <w:lang w:val="en-US" w:eastAsia="zh-CN"/>
                    </w:rPr>
                  </w:pPr>
                  <w:r>
                    <w:rPr>
                      <w:rFonts w:hint="eastAsia"/>
                      <w:b/>
                      <w:bCs/>
                      <w:color w:val="auto"/>
                      <w:sz w:val="20"/>
                      <w:szCs w:val="20"/>
                      <w:highlight w:val="none"/>
                      <w:lang w:val="en-US" w:eastAsia="zh-CN"/>
                    </w:rPr>
                    <w:t>收集进入废气治理设施</w:t>
                  </w:r>
                </w:p>
              </w:tc>
              <w:tc>
                <w:tcPr>
                  <w:tcW w:w="1261" w:type="pct"/>
                  <w:vMerge w:val="restart"/>
                  <w:noWrap w:val="0"/>
                  <w:vAlign w:val="center"/>
                </w:tcPr>
                <w:p w14:paraId="5DC4274E">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收集、治理措施</w:t>
                  </w:r>
                </w:p>
              </w:tc>
              <w:tc>
                <w:tcPr>
                  <w:tcW w:w="1140" w:type="pct"/>
                  <w:gridSpan w:val="3"/>
                  <w:noWrap w:val="0"/>
                  <w:vAlign w:val="center"/>
                </w:tcPr>
                <w:p w14:paraId="5772E39D">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污染物有组织排放情况</w:t>
                  </w:r>
                </w:p>
              </w:tc>
              <w:tc>
                <w:tcPr>
                  <w:tcW w:w="374" w:type="pct"/>
                  <w:noWrap w:val="0"/>
                  <w:vAlign w:val="center"/>
                </w:tcPr>
                <w:p w14:paraId="6F61994F">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无组织排放量</w:t>
                  </w:r>
                </w:p>
              </w:tc>
            </w:tr>
            <w:tr w14:paraId="643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9" w:type="pct"/>
                  <w:gridSpan w:val="2"/>
                  <w:vMerge w:val="continue"/>
                  <w:noWrap w:val="0"/>
                  <w:vAlign w:val="center"/>
                </w:tcPr>
                <w:p w14:paraId="69606F31">
                  <w:pPr>
                    <w:pStyle w:val="86"/>
                    <w:keepNext w:val="0"/>
                    <w:keepLines w:val="0"/>
                    <w:suppressLineNumbers w:val="0"/>
                    <w:spacing w:before="0" w:beforeAutospacing="0" w:after="0" w:afterAutospacing="0"/>
                    <w:ind w:left="0" w:right="0"/>
                    <w:rPr>
                      <w:rFonts w:hint="default"/>
                      <w:b/>
                      <w:bCs/>
                      <w:color w:val="auto"/>
                      <w:sz w:val="20"/>
                      <w:szCs w:val="20"/>
                      <w:highlight w:val="none"/>
                    </w:rPr>
                  </w:pPr>
                </w:p>
              </w:tc>
              <w:tc>
                <w:tcPr>
                  <w:tcW w:w="374" w:type="pct"/>
                  <w:vMerge w:val="continue"/>
                  <w:noWrap w:val="0"/>
                  <w:vAlign w:val="center"/>
                </w:tcPr>
                <w:p w14:paraId="06397FE4">
                  <w:pPr>
                    <w:pStyle w:val="86"/>
                    <w:keepNext w:val="0"/>
                    <w:keepLines w:val="0"/>
                    <w:suppressLineNumbers w:val="0"/>
                    <w:spacing w:before="0" w:beforeAutospacing="0" w:after="0" w:afterAutospacing="0"/>
                    <w:ind w:left="0" w:right="0"/>
                    <w:rPr>
                      <w:rFonts w:hint="default"/>
                      <w:b/>
                      <w:bCs/>
                      <w:color w:val="auto"/>
                      <w:sz w:val="20"/>
                      <w:szCs w:val="20"/>
                      <w:highlight w:val="none"/>
                    </w:rPr>
                  </w:pPr>
                </w:p>
              </w:tc>
              <w:tc>
                <w:tcPr>
                  <w:tcW w:w="417" w:type="pct"/>
                  <w:noWrap w:val="0"/>
                  <w:vAlign w:val="center"/>
                </w:tcPr>
                <w:p w14:paraId="64211826">
                  <w:pPr>
                    <w:pStyle w:val="86"/>
                    <w:keepNext w:val="0"/>
                    <w:keepLines w:val="0"/>
                    <w:suppressLineNumbers w:val="0"/>
                    <w:spacing w:before="0" w:beforeAutospacing="0" w:after="0" w:afterAutospacing="0"/>
                    <w:ind w:left="0" w:right="0"/>
                    <w:rPr>
                      <w:rFonts w:hint="eastAsia"/>
                      <w:b/>
                      <w:bCs/>
                      <w:color w:val="auto"/>
                      <w:sz w:val="20"/>
                      <w:szCs w:val="20"/>
                      <w:highlight w:val="none"/>
                      <w:lang w:val="en-US" w:eastAsia="zh-CN"/>
                    </w:rPr>
                  </w:pPr>
                  <w:r>
                    <w:rPr>
                      <w:rFonts w:hint="eastAsia"/>
                      <w:b/>
                      <w:bCs/>
                      <w:color w:val="auto"/>
                      <w:sz w:val="20"/>
                      <w:szCs w:val="20"/>
                      <w:highlight w:val="none"/>
                      <w:lang w:val="en-US" w:eastAsia="zh-CN"/>
                    </w:rPr>
                    <w:t>产生</w:t>
                  </w:r>
                  <w:r>
                    <w:rPr>
                      <w:rFonts w:hint="eastAsia"/>
                      <w:b/>
                      <w:bCs/>
                      <w:color w:val="auto"/>
                      <w:sz w:val="20"/>
                      <w:szCs w:val="20"/>
                      <w:highlight w:val="none"/>
                    </w:rPr>
                    <w:t>速率kg/h</w:t>
                  </w:r>
                </w:p>
              </w:tc>
              <w:tc>
                <w:tcPr>
                  <w:tcW w:w="432" w:type="pct"/>
                  <w:noWrap w:val="0"/>
                  <w:vAlign w:val="center"/>
                </w:tcPr>
                <w:p w14:paraId="4CB9BC44">
                  <w:pPr>
                    <w:pStyle w:val="86"/>
                    <w:keepNext w:val="0"/>
                    <w:keepLines w:val="0"/>
                    <w:suppressLineNumbers w:val="0"/>
                    <w:spacing w:before="0" w:beforeAutospacing="0" w:after="0" w:afterAutospacing="0"/>
                    <w:ind w:left="0" w:right="0"/>
                    <w:rPr>
                      <w:rFonts w:hint="default" w:eastAsia="宋体"/>
                      <w:b/>
                      <w:bCs/>
                      <w:color w:val="auto"/>
                      <w:sz w:val="20"/>
                      <w:szCs w:val="20"/>
                      <w:highlight w:val="none"/>
                      <w:lang w:val="en-US" w:eastAsia="zh-CN"/>
                    </w:rPr>
                  </w:pPr>
                  <w:r>
                    <w:rPr>
                      <w:rFonts w:hint="eastAsia"/>
                      <w:b/>
                      <w:bCs/>
                      <w:color w:val="auto"/>
                      <w:sz w:val="20"/>
                      <w:szCs w:val="20"/>
                      <w:highlight w:val="none"/>
                      <w:lang w:val="en-US" w:eastAsia="zh-CN"/>
                    </w:rPr>
                    <w:t>产生浓度</w:t>
                  </w:r>
                  <w:r>
                    <w:rPr>
                      <w:rFonts w:hint="eastAsia"/>
                      <w:b/>
                      <w:bCs/>
                      <w:color w:val="auto"/>
                      <w:sz w:val="20"/>
                      <w:szCs w:val="20"/>
                      <w:highlight w:val="none"/>
                    </w:rPr>
                    <w:t>mg/m</w:t>
                  </w:r>
                  <w:r>
                    <w:rPr>
                      <w:rFonts w:hint="eastAsia"/>
                      <w:b/>
                      <w:bCs/>
                      <w:color w:val="auto"/>
                      <w:sz w:val="20"/>
                      <w:szCs w:val="20"/>
                      <w:highlight w:val="none"/>
                      <w:vertAlign w:val="superscript"/>
                    </w:rPr>
                    <w:t>3</w:t>
                  </w:r>
                </w:p>
              </w:tc>
              <w:tc>
                <w:tcPr>
                  <w:tcW w:w="420" w:type="pct"/>
                  <w:noWrap w:val="0"/>
                  <w:vAlign w:val="center"/>
                </w:tcPr>
                <w:p w14:paraId="4E7B7B06">
                  <w:pPr>
                    <w:pStyle w:val="86"/>
                    <w:keepNext w:val="0"/>
                    <w:keepLines w:val="0"/>
                    <w:suppressLineNumbers w:val="0"/>
                    <w:spacing w:before="0" w:beforeAutospacing="0" w:after="0" w:afterAutospacing="0"/>
                    <w:ind w:left="0" w:right="0"/>
                    <w:rPr>
                      <w:rFonts w:hint="default" w:eastAsia="宋体"/>
                      <w:b/>
                      <w:bCs/>
                      <w:color w:val="auto"/>
                      <w:sz w:val="20"/>
                      <w:szCs w:val="20"/>
                      <w:highlight w:val="none"/>
                      <w:lang w:val="en-US" w:eastAsia="zh-CN"/>
                    </w:rPr>
                  </w:pPr>
                  <w:r>
                    <w:rPr>
                      <w:rFonts w:hint="eastAsia"/>
                      <w:b/>
                      <w:bCs/>
                      <w:color w:val="auto"/>
                      <w:sz w:val="20"/>
                      <w:szCs w:val="20"/>
                      <w:highlight w:val="none"/>
                      <w:lang w:val="en-US" w:eastAsia="zh-CN"/>
                    </w:rPr>
                    <w:t>产生量t/a</w:t>
                  </w:r>
                </w:p>
              </w:tc>
              <w:tc>
                <w:tcPr>
                  <w:tcW w:w="1261" w:type="pct"/>
                  <w:vMerge w:val="continue"/>
                  <w:noWrap w:val="0"/>
                  <w:vAlign w:val="center"/>
                </w:tcPr>
                <w:p w14:paraId="7EF912D0">
                  <w:pPr>
                    <w:pStyle w:val="86"/>
                    <w:keepNext w:val="0"/>
                    <w:keepLines w:val="0"/>
                    <w:suppressLineNumbers w:val="0"/>
                    <w:spacing w:before="0" w:beforeAutospacing="0" w:after="0" w:afterAutospacing="0"/>
                    <w:ind w:left="0" w:right="0"/>
                    <w:rPr>
                      <w:rFonts w:hint="default"/>
                      <w:b/>
                      <w:bCs/>
                      <w:color w:val="auto"/>
                      <w:sz w:val="20"/>
                      <w:szCs w:val="20"/>
                      <w:highlight w:val="none"/>
                    </w:rPr>
                  </w:pPr>
                </w:p>
              </w:tc>
              <w:tc>
                <w:tcPr>
                  <w:tcW w:w="432" w:type="pct"/>
                  <w:noWrap w:val="0"/>
                  <w:vAlign w:val="center"/>
                </w:tcPr>
                <w:p w14:paraId="26DE6324">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排放浓度</w:t>
                  </w:r>
                </w:p>
                <w:p w14:paraId="1CCE2912">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mg/m</w:t>
                  </w:r>
                  <w:r>
                    <w:rPr>
                      <w:rFonts w:hint="eastAsia"/>
                      <w:b/>
                      <w:bCs/>
                      <w:color w:val="auto"/>
                      <w:sz w:val="20"/>
                      <w:szCs w:val="20"/>
                      <w:highlight w:val="none"/>
                      <w:vertAlign w:val="superscript"/>
                    </w:rPr>
                    <w:t>3</w:t>
                  </w:r>
                </w:p>
              </w:tc>
              <w:tc>
                <w:tcPr>
                  <w:tcW w:w="334" w:type="pct"/>
                  <w:noWrap w:val="0"/>
                  <w:vAlign w:val="center"/>
                </w:tcPr>
                <w:p w14:paraId="4396218D">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排放速率kg/h</w:t>
                  </w:r>
                </w:p>
              </w:tc>
              <w:tc>
                <w:tcPr>
                  <w:tcW w:w="374" w:type="pct"/>
                  <w:noWrap w:val="0"/>
                  <w:vAlign w:val="center"/>
                </w:tcPr>
                <w:p w14:paraId="739B0C42">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排放量</w:t>
                  </w:r>
                </w:p>
                <w:p w14:paraId="6BEE36B9">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t/a</w:t>
                  </w:r>
                </w:p>
              </w:tc>
              <w:tc>
                <w:tcPr>
                  <w:tcW w:w="374" w:type="pct"/>
                  <w:noWrap w:val="0"/>
                  <w:vAlign w:val="center"/>
                </w:tcPr>
                <w:p w14:paraId="26773EF9">
                  <w:pPr>
                    <w:pStyle w:val="86"/>
                    <w:keepNext w:val="0"/>
                    <w:keepLines w:val="0"/>
                    <w:suppressLineNumbers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rPr>
                    <w:t>t/a</w:t>
                  </w:r>
                </w:p>
              </w:tc>
            </w:tr>
            <w:tr w14:paraId="5185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noWrap w:val="0"/>
                  <w:vAlign w:val="center"/>
                </w:tcPr>
                <w:p w14:paraId="43CA1E86">
                  <w:pPr>
                    <w:pStyle w:val="86"/>
                    <w:keepNext w:val="0"/>
                    <w:keepLines w:val="0"/>
                    <w:suppressLineNumbers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抛丸</w:t>
                  </w:r>
                </w:p>
              </w:tc>
              <w:tc>
                <w:tcPr>
                  <w:tcW w:w="233" w:type="pct"/>
                  <w:vMerge w:val="restart"/>
                  <w:noWrap w:val="0"/>
                  <w:vAlign w:val="center"/>
                </w:tcPr>
                <w:p w14:paraId="167B9B82">
                  <w:pPr>
                    <w:pStyle w:val="86"/>
                    <w:keepNext w:val="0"/>
                    <w:keepLines w:val="0"/>
                    <w:suppressLineNumbers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颗粒物</w:t>
                  </w:r>
                </w:p>
              </w:tc>
              <w:tc>
                <w:tcPr>
                  <w:tcW w:w="374" w:type="pct"/>
                  <w:noWrap w:val="0"/>
                  <w:vAlign w:val="center"/>
                </w:tcPr>
                <w:p w14:paraId="18750C6C">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2.395</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417" w:type="pct"/>
                  <w:noWrap w:val="0"/>
                  <w:vAlign w:val="center"/>
                </w:tcPr>
                <w:p w14:paraId="2DC36957">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1.14</w:t>
                  </w:r>
                </w:p>
              </w:tc>
              <w:tc>
                <w:tcPr>
                  <w:tcW w:w="432" w:type="pct"/>
                  <w:noWrap w:val="0"/>
                  <w:vAlign w:val="center"/>
                </w:tcPr>
                <w:p w14:paraId="14AE05CA">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57</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420" w:type="pct"/>
                  <w:noWrap w:val="0"/>
                  <w:vAlign w:val="center"/>
                </w:tcPr>
                <w:p w14:paraId="0062B394">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2.275</w:t>
                  </w:r>
                </w:p>
              </w:tc>
              <w:tc>
                <w:tcPr>
                  <w:tcW w:w="1261" w:type="pct"/>
                  <w:vMerge w:val="restart"/>
                  <w:noWrap w:val="0"/>
                  <w:vAlign w:val="center"/>
                </w:tcPr>
                <w:p w14:paraId="0CB8191A">
                  <w:pPr>
                    <w:pStyle w:val="86"/>
                    <w:keepNext w:val="0"/>
                    <w:keepLines w:val="0"/>
                    <w:suppressLineNumbers w:val="0"/>
                    <w:spacing w:before="0" w:beforeAutospacing="0" w:after="0" w:afterAutospacing="0"/>
                    <w:ind w:left="0" w:right="0"/>
                    <w:jc w:val="both"/>
                    <w:rPr>
                      <w:rFonts w:hint="default" w:eastAsia="宋体"/>
                      <w:color w:val="auto"/>
                      <w:sz w:val="20"/>
                      <w:szCs w:val="20"/>
                      <w:highlight w:val="none"/>
                      <w:lang w:val="en-US" w:eastAsia="zh-CN"/>
                    </w:rPr>
                  </w:pPr>
                  <w:r>
                    <w:rPr>
                      <w:rFonts w:hint="eastAsia" w:eastAsia="宋体"/>
                      <w:bCs/>
                      <w:color w:val="auto"/>
                      <w:sz w:val="22"/>
                      <w:szCs w:val="22"/>
                      <w:highlight w:val="none"/>
                      <w:lang w:eastAsia="zh-CN"/>
                    </w:rPr>
                    <w:t>4台抛丸机经设备自带的4套“旋风+滤筒”防爆除尘系统处理后经1根15m高的排气筒DA003有组织排放，其余1台抛丸机、其他磨加工设备产生的粉尘一起进入一套袋式防爆除尘系统（编号为2#）处理后经1根15m高的排气筒DA003有组织排放，另外一台磨加工设备产生的粉尘经单独的一套防爆袋式除尘系统（编号为1#）处理后接入排气筒DA003有组织排放</w:t>
                  </w:r>
                  <w:r>
                    <w:rPr>
                      <w:rFonts w:hint="eastAsia"/>
                      <w:color w:val="auto"/>
                      <w:sz w:val="20"/>
                      <w:szCs w:val="20"/>
                      <w:highlight w:val="none"/>
                      <w:lang w:eastAsia="zh-CN"/>
                    </w:rPr>
                    <w:t>，</w:t>
                  </w:r>
                  <w:r>
                    <w:rPr>
                      <w:rFonts w:hint="eastAsia"/>
                      <w:color w:val="auto"/>
                      <w:sz w:val="20"/>
                      <w:szCs w:val="20"/>
                      <w:highlight w:val="none"/>
                      <w:lang w:val="en-US" w:eastAsia="zh-CN"/>
                    </w:rPr>
                    <w:t>总风量20000m</w:t>
                  </w:r>
                  <w:r>
                    <w:rPr>
                      <w:rFonts w:hint="eastAsia"/>
                      <w:color w:val="auto"/>
                      <w:sz w:val="20"/>
                      <w:szCs w:val="20"/>
                      <w:highlight w:val="none"/>
                      <w:vertAlign w:val="superscript"/>
                      <w:lang w:val="en-US" w:eastAsia="zh-CN"/>
                    </w:rPr>
                    <w:t>3</w:t>
                  </w:r>
                  <w:r>
                    <w:rPr>
                      <w:rFonts w:hint="eastAsia"/>
                      <w:color w:val="auto"/>
                      <w:sz w:val="20"/>
                      <w:szCs w:val="20"/>
                      <w:highlight w:val="none"/>
                      <w:lang w:val="en-US" w:eastAsia="zh-CN"/>
                    </w:rPr>
                    <w:t>/h。</w:t>
                  </w:r>
                </w:p>
              </w:tc>
              <w:tc>
                <w:tcPr>
                  <w:tcW w:w="432" w:type="pct"/>
                  <w:noWrap w:val="0"/>
                  <w:vAlign w:val="center"/>
                </w:tcPr>
                <w:p w14:paraId="4987D266">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0.1 </w:t>
                  </w:r>
                </w:p>
              </w:tc>
              <w:tc>
                <w:tcPr>
                  <w:tcW w:w="334" w:type="pct"/>
                  <w:noWrap w:val="0"/>
                  <w:vAlign w:val="center"/>
                </w:tcPr>
                <w:p w14:paraId="6D1166F8">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0.00 </w:t>
                  </w:r>
                </w:p>
              </w:tc>
              <w:tc>
                <w:tcPr>
                  <w:tcW w:w="374" w:type="pct"/>
                  <w:noWrap w:val="0"/>
                  <w:vAlign w:val="center"/>
                </w:tcPr>
                <w:p w14:paraId="456EF8CD">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0.005 </w:t>
                  </w:r>
                </w:p>
              </w:tc>
              <w:tc>
                <w:tcPr>
                  <w:tcW w:w="374" w:type="pct"/>
                  <w:noWrap w:val="0"/>
                  <w:vAlign w:val="center"/>
                </w:tcPr>
                <w:p w14:paraId="363C3E3A">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0.12</w:t>
                  </w:r>
                  <w:r>
                    <w:rPr>
                      <w:rFonts w:hint="eastAsia" w:cs="Times New Roman"/>
                      <w:i w:val="0"/>
                      <w:iCs w:val="0"/>
                      <w:color w:val="auto"/>
                      <w:kern w:val="0"/>
                      <w:sz w:val="20"/>
                      <w:szCs w:val="20"/>
                      <w:highlight w:val="none"/>
                      <w:u w:val="none"/>
                      <w:lang w:val="en-US" w:eastAsia="zh-CN" w:bidi="ar"/>
                    </w:rPr>
                    <w:t>0</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r>
            <w:tr w14:paraId="544F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noWrap w:val="0"/>
                  <w:vAlign w:val="center"/>
                </w:tcPr>
                <w:p w14:paraId="5ABEA139">
                  <w:pPr>
                    <w:pStyle w:val="86"/>
                    <w:keepNext w:val="0"/>
                    <w:keepLines w:val="0"/>
                    <w:suppressLineNumbers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抛丸、磨加工</w:t>
                  </w:r>
                </w:p>
              </w:tc>
              <w:tc>
                <w:tcPr>
                  <w:tcW w:w="233" w:type="pct"/>
                  <w:vMerge w:val="continue"/>
                  <w:noWrap w:val="0"/>
                  <w:vAlign w:val="center"/>
                </w:tcPr>
                <w:p w14:paraId="4C4E7BD7">
                  <w:pPr>
                    <w:pStyle w:val="86"/>
                    <w:keepNext w:val="0"/>
                    <w:keepLines w:val="0"/>
                    <w:suppressLineNumbers w:val="0"/>
                    <w:spacing w:before="0" w:beforeAutospacing="0" w:after="0" w:afterAutospacing="0"/>
                    <w:ind w:left="0" w:right="0"/>
                    <w:rPr>
                      <w:rFonts w:hint="eastAsia"/>
                      <w:color w:val="auto"/>
                      <w:sz w:val="20"/>
                      <w:szCs w:val="20"/>
                      <w:highlight w:val="none"/>
                      <w:lang w:val="en-US" w:eastAsia="zh-CN"/>
                    </w:rPr>
                  </w:pPr>
                </w:p>
              </w:tc>
              <w:tc>
                <w:tcPr>
                  <w:tcW w:w="374" w:type="pct"/>
                  <w:noWrap w:val="0"/>
                  <w:vAlign w:val="center"/>
                </w:tcPr>
                <w:p w14:paraId="3E1764C1">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2.</w:t>
                  </w:r>
                  <w:r>
                    <w:rPr>
                      <w:rFonts w:hint="eastAsia" w:cs="Times New Roman"/>
                      <w:i w:val="0"/>
                      <w:iCs w:val="0"/>
                      <w:color w:val="auto"/>
                      <w:kern w:val="0"/>
                      <w:sz w:val="20"/>
                      <w:szCs w:val="20"/>
                      <w:highlight w:val="none"/>
                      <w:u w:val="none"/>
                      <w:lang w:val="en-US" w:eastAsia="zh-CN" w:bidi="ar"/>
                    </w:rPr>
                    <w:t>390</w:t>
                  </w:r>
                </w:p>
              </w:tc>
              <w:tc>
                <w:tcPr>
                  <w:tcW w:w="417" w:type="pct"/>
                  <w:noWrap w:val="0"/>
                  <w:vAlign w:val="center"/>
                </w:tcPr>
                <w:p w14:paraId="6D1F68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0.99</w:t>
                  </w:r>
                </w:p>
              </w:tc>
              <w:tc>
                <w:tcPr>
                  <w:tcW w:w="432" w:type="pct"/>
                  <w:noWrap w:val="0"/>
                  <w:vAlign w:val="center"/>
                </w:tcPr>
                <w:p w14:paraId="1D2EB7CE">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50</w:t>
                  </w:r>
                </w:p>
              </w:tc>
              <w:tc>
                <w:tcPr>
                  <w:tcW w:w="420" w:type="pct"/>
                  <w:noWrap w:val="0"/>
                  <w:vAlign w:val="center"/>
                </w:tcPr>
                <w:p w14:paraId="45A08D94">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1.983</w:t>
                  </w:r>
                </w:p>
              </w:tc>
              <w:tc>
                <w:tcPr>
                  <w:tcW w:w="1261" w:type="pct"/>
                  <w:vMerge w:val="continue"/>
                  <w:noWrap w:val="0"/>
                  <w:vAlign w:val="center"/>
                </w:tcPr>
                <w:p w14:paraId="2CED731B">
                  <w:pPr>
                    <w:pStyle w:val="86"/>
                    <w:keepNext w:val="0"/>
                    <w:keepLines w:val="0"/>
                    <w:suppressLineNumbers w:val="0"/>
                    <w:spacing w:before="0" w:beforeAutospacing="0" w:after="0" w:afterAutospacing="0"/>
                    <w:ind w:left="0" w:right="0"/>
                    <w:rPr>
                      <w:rFonts w:hint="default"/>
                      <w:color w:val="auto"/>
                      <w:sz w:val="20"/>
                      <w:szCs w:val="20"/>
                      <w:highlight w:val="none"/>
                    </w:rPr>
                  </w:pPr>
                </w:p>
              </w:tc>
              <w:tc>
                <w:tcPr>
                  <w:tcW w:w="432" w:type="pct"/>
                  <w:noWrap w:val="0"/>
                  <w:vAlign w:val="center"/>
                </w:tcPr>
                <w:p w14:paraId="6540CCC6">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2.5</w:t>
                  </w:r>
                </w:p>
              </w:tc>
              <w:tc>
                <w:tcPr>
                  <w:tcW w:w="334" w:type="pct"/>
                  <w:noWrap w:val="0"/>
                  <w:vAlign w:val="center"/>
                </w:tcPr>
                <w:p w14:paraId="5F9A4A67">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0.05</w:t>
                  </w:r>
                </w:p>
              </w:tc>
              <w:tc>
                <w:tcPr>
                  <w:tcW w:w="374" w:type="pct"/>
                  <w:noWrap w:val="0"/>
                  <w:vAlign w:val="center"/>
                </w:tcPr>
                <w:p w14:paraId="5161F41E">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0.099</w:t>
                  </w:r>
                </w:p>
              </w:tc>
              <w:tc>
                <w:tcPr>
                  <w:tcW w:w="374" w:type="pct"/>
                  <w:noWrap w:val="0"/>
                  <w:vAlign w:val="center"/>
                </w:tcPr>
                <w:p w14:paraId="53131CDC">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0.406</w:t>
                  </w:r>
                </w:p>
              </w:tc>
            </w:tr>
            <w:tr w14:paraId="39F3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5" w:type="pct"/>
                  <w:noWrap w:val="0"/>
                  <w:vAlign w:val="center"/>
                </w:tcPr>
                <w:p w14:paraId="52F21689">
                  <w:pPr>
                    <w:pStyle w:val="86"/>
                    <w:keepNext w:val="0"/>
                    <w:keepLines w:val="0"/>
                    <w:suppressLineNumbers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合计</w:t>
                  </w:r>
                </w:p>
              </w:tc>
              <w:tc>
                <w:tcPr>
                  <w:tcW w:w="233" w:type="pct"/>
                  <w:noWrap w:val="0"/>
                  <w:vAlign w:val="center"/>
                </w:tcPr>
                <w:p w14:paraId="75AD60D4">
                  <w:pPr>
                    <w:pStyle w:val="86"/>
                    <w:keepNext w:val="0"/>
                    <w:keepLines w:val="0"/>
                    <w:suppressLineNumbers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w:t>
                  </w:r>
                </w:p>
              </w:tc>
              <w:tc>
                <w:tcPr>
                  <w:tcW w:w="374" w:type="pct"/>
                  <w:noWrap w:val="0"/>
                  <w:vAlign w:val="center"/>
                </w:tcPr>
                <w:p w14:paraId="7966E92A">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4.</w:t>
                  </w:r>
                  <w:r>
                    <w:rPr>
                      <w:rFonts w:hint="eastAsia" w:cs="Times New Roman"/>
                      <w:i w:val="0"/>
                      <w:iCs w:val="0"/>
                      <w:color w:val="auto"/>
                      <w:kern w:val="0"/>
                      <w:sz w:val="20"/>
                      <w:szCs w:val="20"/>
                      <w:highlight w:val="none"/>
                      <w:u w:val="none"/>
                      <w:lang w:val="en-US" w:eastAsia="zh-CN" w:bidi="ar"/>
                    </w:rPr>
                    <w:t>784</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417" w:type="pct"/>
                  <w:noWrap w:val="0"/>
                  <w:vAlign w:val="center"/>
                </w:tcPr>
                <w:p w14:paraId="6B89F78D">
                  <w:pPr>
                    <w:keepNext w:val="0"/>
                    <w:keepLines w:val="0"/>
                    <w:suppressLineNumbers w:val="0"/>
                    <w:spacing w:before="0" w:beforeAutospacing="0" w:after="0" w:afterAutospacing="0"/>
                    <w:ind w:left="0" w:right="0"/>
                    <w:jc w:val="center"/>
                    <w:rPr>
                      <w:rFonts w:hint="default"/>
                      <w:color w:val="auto"/>
                      <w:sz w:val="20"/>
                      <w:szCs w:val="20"/>
                      <w:highlight w:val="none"/>
                      <w:lang w:val="en-US" w:eastAsia="zh-CN"/>
                    </w:rPr>
                  </w:pPr>
                  <w:r>
                    <w:rPr>
                      <w:rFonts w:hint="eastAsia"/>
                      <w:color w:val="auto"/>
                      <w:sz w:val="20"/>
                      <w:szCs w:val="20"/>
                      <w:highlight w:val="none"/>
                      <w:lang w:val="en-US" w:eastAsia="zh-CN"/>
                    </w:rPr>
                    <w:t>2.13</w:t>
                  </w:r>
                </w:p>
              </w:tc>
              <w:tc>
                <w:tcPr>
                  <w:tcW w:w="432" w:type="pct"/>
                  <w:noWrap w:val="0"/>
                  <w:vAlign w:val="center"/>
                </w:tcPr>
                <w:p w14:paraId="23744971">
                  <w:pPr>
                    <w:keepNext w:val="0"/>
                    <w:keepLines w:val="0"/>
                    <w:suppressLineNumbers w:val="0"/>
                    <w:spacing w:before="0" w:beforeAutospacing="0" w:after="0" w:afterAutospacing="0"/>
                    <w:ind w:left="0" w:right="0"/>
                    <w:jc w:val="center"/>
                    <w:rPr>
                      <w:rFonts w:hint="default"/>
                      <w:color w:val="auto"/>
                      <w:sz w:val="20"/>
                      <w:szCs w:val="20"/>
                      <w:highlight w:val="none"/>
                      <w:lang w:val="en-US" w:eastAsia="zh-CN"/>
                    </w:rPr>
                  </w:pPr>
                  <w:r>
                    <w:rPr>
                      <w:rFonts w:hint="eastAsia"/>
                      <w:color w:val="auto"/>
                      <w:sz w:val="20"/>
                      <w:szCs w:val="20"/>
                      <w:highlight w:val="none"/>
                      <w:lang w:val="en-US" w:eastAsia="zh-CN"/>
                    </w:rPr>
                    <w:t>106.5</w:t>
                  </w:r>
                </w:p>
              </w:tc>
              <w:tc>
                <w:tcPr>
                  <w:tcW w:w="420" w:type="pct"/>
                  <w:noWrap w:val="0"/>
                  <w:vAlign w:val="center"/>
                </w:tcPr>
                <w:p w14:paraId="67050CF3">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4.258</w:t>
                  </w:r>
                </w:p>
              </w:tc>
              <w:tc>
                <w:tcPr>
                  <w:tcW w:w="1261" w:type="pct"/>
                  <w:noWrap w:val="0"/>
                  <w:vAlign w:val="center"/>
                </w:tcPr>
                <w:p w14:paraId="5DBA8F4A">
                  <w:pPr>
                    <w:pStyle w:val="86"/>
                    <w:keepNext w:val="0"/>
                    <w:keepLines w:val="0"/>
                    <w:suppressLineNumbers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w:t>
                  </w:r>
                </w:p>
              </w:tc>
              <w:tc>
                <w:tcPr>
                  <w:tcW w:w="432" w:type="pct"/>
                  <w:noWrap w:val="0"/>
                  <w:vAlign w:val="center"/>
                </w:tcPr>
                <w:p w14:paraId="43300A51">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2.</w:t>
                  </w:r>
                  <w:r>
                    <w:rPr>
                      <w:rFonts w:hint="eastAsia" w:cs="Times New Roman"/>
                      <w:i w:val="0"/>
                      <w:iCs w:val="0"/>
                      <w:color w:val="auto"/>
                      <w:kern w:val="0"/>
                      <w:sz w:val="20"/>
                      <w:szCs w:val="20"/>
                      <w:highlight w:val="none"/>
                      <w:u w:val="none"/>
                      <w:lang w:val="en-US" w:eastAsia="zh-CN" w:bidi="ar"/>
                    </w:rPr>
                    <w:t>6</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334" w:type="pct"/>
                  <w:noWrap w:val="0"/>
                  <w:vAlign w:val="center"/>
                </w:tcPr>
                <w:p w14:paraId="5C6A4578">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0.05</w:t>
                  </w:r>
                </w:p>
              </w:tc>
              <w:tc>
                <w:tcPr>
                  <w:tcW w:w="374" w:type="pct"/>
                  <w:noWrap w:val="0"/>
                  <w:vAlign w:val="center"/>
                </w:tcPr>
                <w:p w14:paraId="3067EEF4">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0.104</w:t>
                  </w:r>
                </w:p>
              </w:tc>
              <w:tc>
                <w:tcPr>
                  <w:tcW w:w="374" w:type="pct"/>
                  <w:noWrap w:val="0"/>
                  <w:vAlign w:val="center"/>
                </w:tcPr>
                <w:p w14:paraId="004EB716">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eastAsia" w:cs="Times New Roman"/>
                      <w:i w:val="0"/>
                      <w:iCs w:val="0"/>
                      <w:color w:val="auto"/>
                      <w:kern w:val="0"/>
                      <w:sz w:val="20"/>
                      <w:szCs w:val="20"/>
                      <w:highlight w:val="none"/>
                      <w:u w:val="none"/>
                      <w:lang w:val="en-US" w:eastAsia="zh-CN" w:bidi="ar"/>
                    </w:rPr>
                    <w:t>0.526</w:t>
                  </w:r>
                </w:p>
              </w:tc>
            </w:tr>
          </w:tbl>
          <w:p w14:paraId="69C8767F">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p>
          <w:p w14:paraId="64E3F4D3">
            <w:pPr>
              <w:pStyle w:val="74"/>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（3）有机废气</w:t>
            </w:r>
          </w:p>
          <w:p w14:paraId="03FA36BA">
            <w:pPr>
              <w:pStyle w:val="74"/>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A、压铸脱模废气</w:t>
            </w:r>
          </w:p>
          <w:p w14:paraId="4E14158A">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压铸使用少量的脱模剂在高温下挥发形成少量的有机废气（以非甲烷总烃计），压铸用的水性脱模剂主要成分为乳化硅油，与水以1:80的比例配比后使用，其含量较低，在压铸过程中脱模剂中矿物油及合成脂（含量约20%）会气化成有机废气（以非甲烷总烃计），脱模剂使用量约1.26t/a，因此脱模剂气化后有机废气的产生量按用量的20%计，则脱模废气（非甲烷总烃）产生量0.253t/a，压铸脱模工序有少量颗粒物产生，可能包含有机物（脱模剂残留）、金属氧化物及微量金属粉尘，油基脱模剂比水基更容易残留碳化颗粒，本项目采用水性脱模剂，颗粒物产生量通常极低，因此本次评价不定量核算，仅纳入验收监测指标中，且考虑到脱模废气含蒸发的水汽，设置一级过滤棉+除湿装置对脱模废气进行预处理。在熔铸机上方均设置集气罩，收集效率按80%计，熔铸机机年有效工作时间6000h，废气收集治理设施的建成总风量为50000m</w:t>
            </w:r>
            <w:r>
              <w:rPr>
                <w:rFonts w:hint="eastAsia"/>
                <w:color w:val="auto"/>
                <w:highlight w:val="none"/>
                <w:vertAlign w:val="superscript"/>
                <w:lang w:val="en-US" w:eastAsia="zh-CN"/>
              </w:rPr>
              <w:t>3</w:t>
            </w:r>
            <w:r>
              <w:rPr>
                <w:rFonts w:hint="eastAsia"/>
                <w:color w:val="auto"/>
                <w:highlight w:val="none"/>
                <w:lang w:val="en-US" w:eastAsia="zh-CN"/>
              </w:rPr>
              <w:t>/h，集气罩收集废气经“过滤棉+除湿装置+两级活性炭吸附”（单级活性炭吸附对NMHC的治理效率参考“产排污系数手册”-01铸造工艺-造型/浇注的参考处理效率取18%，则两级活性炭处理总效率为1-（1-18%）（1-18%）=32.8%）处理后，由2号厂房高15m的DA002排气筒排放。</w:t>
            </w:r>
          </w:p>
          <w:p w14:paraId="505A188E">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经计算，脱模废气（非甲烷总烃）产生量0.253t/a，有组织收集量0.202t/a、有组织排放量为0.136t/a，无组织排放量为0.051t/a。</w:t>
            </w:r>
          </w:p>
          <w:p w14:paraId="07AEEDEC">
            <w:pPr>
              <w:pStyle w:val="74"/>
              <w:keepNext w:val="0"/>
              <w:keepLines w:val="0"/>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B、浸胶乙醇废气（非甲烷总烃计）</w:t>
            </w:r>
          </w:p>
          <w:p w14:paraId="486D713C">
            <w:pPr>
              <w:pStyle w:val="74"/>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本项目浸胶工序中使用的胶水按照乙醇：胶粉=7:1的比例配置而成（胶水配置在浸胶生产线配套集气罩收集范围内操作，纳入其收集、治理设施），胶粉年使用量约2.1t，乙醇年使用量约15t，胶粉挥发份≤1.2%，则胶粉中有机废气产生量为0.0252t/a，产量较小，对环境影响较小，故此处主要以乙醇挥发为主。胶水中乙醇成分基本全部挥发，则乙醇废气产生量为15t/a。浸胶区上方设置集气罩对乙醇进行收集，收集效率为80%，风机总量为5万m</w:t>
            </w:r>
            <w:r>
              <w:rPr>
                <w:rFonts w:hint="eastAsia"/>
                <w:color w:val="auto"/>
                <w:highlight w:val="none"/>
                <w:vertAlign w:val="superscript"/>
                <w:lang w:val="en-US" w:eastAsia="zh-CN"/>
              </w:rPr>
              <w:t>3</w:t>
            </w:r>
            <w:r>
              <w:rPr>
                <w:rFonts w:hint="eastAsia"/>
                <w:color w:val="auto"/>
                <w:highlight w:val="none"/>
                <w:lang w:val="en-US" w:eastAsia="zh-CN"/>
              </w:rPr>
              <w:t>/h，收集的乙醇统一经一套水喷淋吸收塔装置吸收处理，由于乙醇可以和水任何比例互溶，则处理效率按90%计，处理后由高15m的DA002排气筒排放。浸胶工序年生产时长为4000h。</w:t>
            </w:r>
          </w:p>
          <w:p w14:paraId="1FA80F8A">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经计算，乙醇废气产生量15t/a，有组织收集量12t/a，水喷淋吸收塔装置吸收处理10.8 t/a，有组织排放量为1.2t/a，无组织排放量3t/a。</w:t>
            </w:r>
          </w:p>
          <w:p w14:paraId="6373EC65">
            <w:pPr>
              <w:pStyle w:val="74"/>
              <w:keepNext w:val="0"/>
              <w:keepLines w:val="0"/>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C、热压、固化废气</w:t>
            </w:r>
          </w:p>
          <w:p w14:paraId="418BBD80">
            <w:pPr>
              <w:pStyle w:val="74"/>
              <w:keepNext w:val="0"/>
              <w:keepLines w:val="0"/>
              <w:suppressLineNumbers w:val="0"/>
              <w:tabs>
                <w:tab w:val="left" w:pos="7980"/>
              </w:tabs>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参考“产排污系数手册”-10粘结-涂胶及涂胶后固化：挥发性有机物（非甲烷总烃计）产污系数60kg/t-原料。本项目胶粉使用量共约2.1t/a，则热压和固化有机废气产生量0.126t/a。在热压和固化工序上方设置集气罩，收集效率按80%计，配套的风机总风量50000m</w:t>
            </w:r>
            <w:r>
              <w:rPr>
                <w:rFonts w:hint="eastAsia"/>
                <w:color w:val="auto"/>
                <w:highlight w:val="none"/>
                <w:vertAlign w:val="superscript"/>
                <w:lang w:val="en-US" w:eastAsia="zh-CN"/>
              </w:rPr>
              <w:t>3</w:t>
            </w:r>
            <w:r>
              <w:rPr>
                <w:rFonts w:hint="eastAsia"/>
                <w:color w:val="auto"/>
                <w:highlight w:val="none"/>
                <w:lang w:val="en-US" w:eastAsia="zh-CN"/>
              </w:rPr>
              <w:t>/h。热固化年有效工作时间为2000h、热压年生产时间为6000h；经集气罩收集的热压、固化废气经“干式过滤+两级活性炭吸附”处理后，由2号厂房南侧高15m的DA002排气筒排放。</w:t>
            </w:r>
          </w:p>
          <w:p w14:paraId="3E68732E">
            <w:pPr>
              <w:pStyle w:val="74"/>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经计算，热压和固化有机废气产生量为0.126t/a，有组织收集量0.101t/a、有组织排放量为0.068t/a，无组织排放量为0.025t/a。</w:t>
            </w:r>
          </w:p>
          <w:p w14:paraId="1ED693E4">
            <w:pPr>
              <w:pStyle w:val="74"/>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color w:val="auto"/>
                <w:highlight w:val="none"/>
                <w:lang w:val="en-US" w:eastAsia="zh-CN"/>
              </w:rPr>
            </w:pPr>
          </w:p>
          <w:p w14:paraId="49B73D17">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 xml:space="preserve">4.2-3  </w:t>
            </w:r>
            <w:r>
              <w:rPr>
                <w:rFonts w:hint="eastAsia"/>
                <w:color w:val="auto"/>
                <w:sz w:val="26"/>
                <w:szCs w:val="26"/>
                <w:highlight w:val="none"/>
              </w:rPr>
              <w:t xml:space="preserve"> </w:t>
            </w:r>
            <w:r>
              <w:rPr>
                <w:rFonts w:hint="eastAsia"/>
                <w:color w:val="auto"/>
                <w:sz w:val="26"/>
                <w:szCs w:val="26"/>
                <w:highlight w:val="none"/>
                <w:lang w:val="en-US" w:eastAsia="zh-CN"/>
              </w:rPr>
              <w:t>脱模、浸胶、热压、固化</w:t>
            </w:r>
            <w:r>
              <w:rPr>
                <w:rFonts w:hint="eastAsia"/>
                <w:color w:val="auto"/>
                <w:sz w:val="26"/>
                <w:szCs w:val="26"/>
                <w:highlight w:val="none"/>
              </w:rPr>
              <w:t>废气情况</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08"/>
              <w:gridCol w:w="739"/>
              <w:gridCol w:w="734"/>
              <w:gridCol w:w="896"/>
              <w:gridCol w:w="833"/>
              <w:gridCol w:w="1872"/>
              <w:gridCol w:w="721"/>
              <w:gridCol w:w="722"/>
              <w:gridCol w:w="697"/>
              <w:gridCol w:w="765"/>
            </w:tblGrid>
            <w:tr w14:paraId="711D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pct"/>
                  <w:gridSpan w:val="2"/>
                  <w:vMerge w:val="restart"/>
                  <w:noWrap w:val="0"/>
                  <w:vAlign w:val="center"/>
                </w:tcPr>
                <w:p w14:paraId="251DB4E5">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污染源</w:t>
                  </w:r>
                </w:p>
              </w:tc>
              <w:tc>
                <w:tcPr>
                  <w:tcW w:w="415" w:type="pct"/>
                  <w:vMerge w:val="restart"/>
                  <w:noWrap w:val="0"/>
                  <w:vAlign w:val="center"/>
                </w:tcPr>
                <w:p w14:paraId="1B1B61C4">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产生量</w:t>
                  </w:r>
                </w:p>
                <w:p w14:paraId="26AD804E">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t/a</w:t>
                  </w:r>
                </w:p>
              </w:tc>
              <w:tc>
                <w:tcPr>
                  <w:tcW w:w="1389" w:type="pct"/>
                  <w:gridSpan w:val="3"/>
                  <w:noWrap w:val="0"/>
                  <w:vAlign w:val="center"/>
                </w:tcPr>
                <w:p w14:paraId="0AA04CE6">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eastAsia="宋体" w:cs="Times New Roman"/>
                      <w:color w:val="auto"/>
                      <w:sz w:val="19"/>
                      <w:szCs w:val="19"/>
                      <w:highlight w:val="none"/>
                      <w:lang w:val="en-US" w:eastAsia="zh-CN"/>
                    </w:rPr>
                  </w:pPr>
                  <w:r>
                    <w:rPr>
                      <w:rFonts w:hint="default" w:ascii="Times New Roman" w:hAnsi="Times New Roman" w:cs="Times New Roman"/>
                      <w:color w:val="auto"/>
                      <w:sz w:val="19"/>
                      <w:szCs w:val="19"/>
                      <w:highlight w:val="none"/>
                      <w:lang w:val="en-US" w:eastAsia="zh-CN"/>
                    </w:rPr>
                    <w:t>收集进入废气治理设施</w:t>
                  </w:r>
                </w:p>
              </w:tc>
              <w:tc>
                <w:tcPr>
                  <w:tcW w:w="1053" w:type="pct"/>
                  <w:vMerge w:val="restart"/>
                  <w:noWrap w:val="0"/>
                  <w:vAlign w:val="center"/>
                </w:tcPr>
                <w:p w14:paraId="48B37425">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收集、治理措施</w:t>
                  </w:r>
                </w:p>
              </w:tc>
              <w:tc>
                <w:tcPr>
                  <w:tcW w:w="1186" w:type="pct"/>
                  <w:gridSpan w:val="3"/>
                  <w:noWrap w:val="0"/>
                  <w:vAlign w:val="center"/>
                </w:tcPr>
                <w:p w14:paraId="12BA8B5F">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污染物有组织排放情况</w:t>
                  </w:r>
                </w:p>
              </w:tc>
              <w:tc>
                <w:tcPr>
                  <w:tcW w:w="431" w:type="pct"/>
                  <w:noWrap w:val="0"/>
                  <w:vAlign w:val="center"/>
                </w:tcPr>
                <w:p w14:paraId="3FD72B94">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无组织排放量</w:t>
                  </w:r>
                </w:p>
              </w:tc>
            </w:tr>
            <w:tr w14:paraId="7125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3" w:type="pct"/>
                  <w:gridSpan w:val="2"/>
                  <w:vMerge w:val="continue"/>
                  <w:noWrap w:val="0"/>
                  <w:vAlign w:val="center"/>
                </w:tcPr>
                <w:p w14:paraId="348EBCD7">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p>
              </w:tc>
              <w:tc>
                <w:tcPr>
                  <w:tcW w:w="415" w:type="pct"/>
                  <w:vMerge w:val="continue"/>
                  <w:noWrap w:val="0"/>
                  <w:vAlign w:val="center"/>
                </w:tcPr>
                <w:p w14:paraId="546CBDEC">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p>
              </w:tc>
              <w:tc>
                <w:tcPr>
                  <w:tcW w:w="414" w:type="pct"/>
                  <w:noWrap w:val="0"/>
                  <w:vAlign w:val="center"/>
                </w:tcPr>
                <w:p w14:paraId="50F609E7">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cs="Times New Roman"/>
                      <w:color w:val="auto"/>
                      <w:sz w:val="19"/>
                      <w:szCs w:val="19"/>
                      <w:highlight w:val="none"/>
                      <w:lang w:val="en-US" w:eastAsia="zh-CN"/>
                    </w:rPr>
                  </w:pPr>
                  <w:r>
                    <w:rPr>
                      <w:rFonts w:hint="eastAsia" w:cs="Times New Roman"/>
                      <w:color w:val="auto"/>
                      <w:sz w:val="19"/>
                      <w:szCs w:val="19"/>
                      <w:highlight w:val="none"/>
                      <w:lang w:val="en-US" w:eastAsia="zh-CN"/>
                    </w:rPr>
                    <w:t>最大产生速率</w:t>
                  </w:r>
                  <w:r>
                    <w:rPr>
                      <w:rFonts w:hint="default" w:ascii="Times New Roman" w:hAnsi="Times New Roman" w:cs="Times New Roman"/>
                      <w:color w:val="auto"/>
                      <w:sz w:val="19"/>
                      <w:szCs w:val="19"/>
                      <w:highlight w:val="none"/>
                    </w:rPr>
                    <w:t>kg/h</w:t>
                  </w:r>
                </w:p>
              </w:tc>
              <w:tc>
                <w:tcPr>
                  <w:tcW w:w="505" w:type="pct"/>
                  <w:noWrap w:val="0"/>
                  <w:vAlign w:val="center"/>
                </w:tcPr>
                <w:p w14:paraId="735935E6">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eastAsia="宋体" w:cs="Times New Roman"/>
                      <w:color w:val="auto"/>
                      <w:sz w:val="19"/>
                      <w:szCs w:val="19"/>
                      <w:highlight w:val="none"/>
                      <w:lang w:val="en-US" w:eastAsia="zh-CN"/>
                    </w:rPr>
                  </w:pPr>
                  <w:r>
                    <w:rPr>
                      <w:rFonts w:hint="eastAsia" w:cs="Times New Roman"/>
                      <w:color w:val="auto"/>
                      <w:sz w:val="19"/>
                      <w:szCs w:val="19"/>
                      <w:highlight w:val="none"/>
                      <w:lang w:val="en-US" w:eastAsia="zh-CN"/>
                    </w:rPr>
                    <w:t>最大</w:t>
                  </w:r>
                  <w:r>
                    <w:rPr>
                      <w:rFonts w:hint="default" w:ascii="Times New Roman" w:hAnsi="Times New Roman" w:cs="Times New Roman"/>
                      <w:color w:val="auto"/>
                      <w:sz w:val="19"/>
                      <w:szCs w:val="19"/>
                      <w:highlight w:val="none"/>
                      <w:lang w:val="en-US" w:eastAsia="zh-CN"/>
                    </w:rPr>
                    <w:t>产生浓度</w:t>
                  </w:r>
                  <w:r>
                    <w:rPr>
                      <w:rFonts w:hint="default" w:ascii="Times New Roman" w:hAnsi="Times New Roman" w:cs="Times New Roman"/>
                      <w:color w:val="auto"/>
                      <w:sz w:val="19"/>
                      <w:szCs w:val="19"/>
                      <w:highlight w:val="none"/>
                    </w:rPr>
                    <w:t>mg/m</w:t>
                  </w:r>
                  <w:r>
                    <w:rPr>
                      <w:rFonts w:hint="default" w:ascii="Times New Roman" w:hAnsi="Times New Roman" w:cs="Times New Roman"/>
                      <w:color w:val="auto"/>
                      <w:sz w:val="19"/>
                      <w:szCs w:val="19"/>
                      <w:highlight w:val="none"/>
                      <w:vertAlign w:val="superscript"/>
                    </w:rPr>
                    <w:t>3</w:t>
                  </w:r>
                </w:p>
              </w:tc>
              <w:tc>
                <w:tcPr>
                  <w:tcW w:w="470" w:type="pct"/>
                  <w:noWrap w:val="0"/>
                  <w:vAlign w:val="center"/>
                </w:tcPr>
                <w:p w14:paraId="31BE8FD8">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eastAsia="宋体" w:cs="Times New Roman"/>
                      <w:color w:val="auto"/>
                      <w:sz w:val="19"/>
                      <w:szCs w:val="19"/>
                      <w:highlight w:val="none"/>
                      <w:lang w:val="en-US" w:eastAsia="zh-CN"/>
                    </w:rPr>
                  </w:pPr>
                  <w:r>
                    <w:rPr>
                      <w:rFonts w:hint="default" w:ascii="Times New Roman" w:hAnsi="Times New Roman" w:cs="Times New Roman"/>
                      <w:color w:val="auto"/>
                      <w:sz w:val="19"/>
                      <w:szCs w:val="19"/>
                      <w:highlight w:val="none"/>
                      <w:lang w:val="en-US" w:eastAsia="zh-CN"/>
                    </w:rPr>
                    <w:t>产生量t/a</w:t>
                  </w:r>
                </w:p>
              </w:tc>
              <w:tc>
                <w:tcPr>
                  <w:tcW w:w="1053" w:type="pct"/>
                  <w:vMerge w:val="continue"/>
                  <w:noWrap w:val="0"/>
                  <w:vAlign w:val="center"/>
                </w:tcPr>
                <w:p w14:paraId="18372F4C">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p>
              </w:tc>
              <w:tc>
                <w:tcPr>
                  <w:tcW w:w="386" w:type="pct"/>
                  <w:noWrap w:val="0"/>
                  <w:vAlign w:val="center"/>
                </w:tcPr>
                <w:p w14:paraId="6CDFAF68">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eastAsia" w:cs="Times New Roman"/>
                      <w:color w:val="auto"/>
                      <w:sz w:val="19"/>
                      <w:szCs w:val="19"/>
                      <w:highlight w:val="none"/>
                      <w:lang w:val="en-US" w:eastAsia="zh-CN"/>
                    </w:rPr>
                    <w:t>最大</w:t>
                  </w:r>
                  <w:r>
                    <w:rPr>
                      <w:rFonts w:hint="default" w:ascii="Times New Roman" w:hAnsi="Times New Roman" w:cs="Times New Roman"/>
                      <w:color w:val="auto"/>
                      <w:sz w:val="19"/>
                      <w:szCs w:val="19"/>
                      <w:highlight w:val="none"/>
                    </w:rPr>
                    <w:t>排放浓度</w:t>
                  </w:r>
                </w:p>
                <w:p w14:paraId="4C63F13A">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mg/m</w:t>
                  </w:r>
                  <w:r>
                    <w:rPr>
                      <w:rFonts w:hint="default" w:ascii="Times New Roman" w:hAnsi="Times New Roman" w:cs="Times New Roman"/>
                      <w:color w:val="auto"/>
                      <w:sz w:val="19"/>
                      <w:szCs w:val="19"/>
                      <w:highlight w:val="none"/>
                      <w:vertAlign w:val="superscript"/>
                    </w:rPr>
                    <w:t>3</w:t>
                  </w:r>
                </w:p>
              </w:tc>
              <w:tc>
                <w:tcPr>
                  <w:tcW w:w="407" w:type="pct"/>
                  <w:noWrap w:val="0"/>
                  <w:vAlign w:val="center"/>
                </w:tcPr>
                <w:p w14:paraId="465E3647">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排放速率kg/h</w:t>
                  </w:r>
                </w:p>
              </w:tc>
              <w:tc>
                <w:tcPr>
                  <w:tcW w:w="393" w:type="pct"/>
                  <w:noWrap w:val="0"/>
                  <w:vAlign w:val="center"/>
                </w:tcPr>
                <w:p w14:paraId="3C0A74EC">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排放量</w:t>
                  </w:r>
                </w:p>
                <w:p w14:paraId="0B223C36">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t/a</w:t>
                  </w:r>
                </w:p>
              </w:tc>
              <w:tc>
                <w:tcPr>
                  <w:tcW w:w="431" w:type="pct"/>
                  <w:noWrap w:val="0"/>
                  <w:vAlign w:val="center"/>
                </w:tcPr>
                <w:p w14:paraId="01E1D954">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r>
                    <w:rPr>
                      <w:rFonts w:hint="default" w:ascii="Times New Roman" w:hAnsi="Times New Roman" w:cs="Times New Roman"/>
                      <w:color w:val="auto"/>
                      <w:sz w:val="19"/>
                      <w:szCs w:val="19"/>
                      <w:highlight w:val="none"/>
                    </w:rPr>
                    <w:t>t/a</w:t>
                  </w:r>
                </w:p>
              </w:tc>
            </w:tr>
            <w:tr w14:paraId="31F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2" w:type="pct"/>
                  <w:noWrap w:val="0"/>
                  <w:vAlign w:val="center"/>
                </w:tcPr>
                <w:p w14:paraId="174AB23D">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color w:val="auto"/>
                      <w:sz w:val="19"/>
                      <w:szCs w:val="19"/>
                      <w:highlight w:val="none"/>
                      <w:lang w:val="en-US" w:eastAsia="zh-CN"/>
                    </w:rPr>
                    <w:t>浸胶</w:t>
                  </w:r>
                </w:p>
              </w:tc>
              <w:tc>
                <w:tcPr>
                  <w:tcW w:w="231" w:type="pct"/>
                  <w:vMerge w:val="restart"/>
                  <w:noWrap w:val="0"/>
                  <w:vAlign w:val="center"/>
                </w:tcPr>
                <w:p w14:paraId="64338AB1">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eastAsia="宋体" w:cs="Times New Roman"/>
                      <w:color w:val="auto"/>
                      <w:sz w:val="19"/>
                      <w:szCs w:val="19"/>
                      <w:highlight w:val="none"/>
                      <w:lang w:val="en-US" w:eastAsia="zh-CN"/>
                    </w:rPr>
                  </w:pPr>
                  <w:r>
                    <w:rPr>
                      <w:rFonts w:hint="eastAsia" w:cs="Times New Roman"/>
                      <w:color w:val="auto"/>
                      <w:sz w:val="19"/>
                      <w:szCs w:val="19"/>
                      <w:highlight w:val="none"/>
                      <w:lang w:val="en-US" w:eastAsia="zh-CN"/>
                    </w:rPr>
                    <w:t>非甲烷总烃</w:t>
                  </w:r>
                </w:p>
              </w:tc>
              <w:tc>
                <w:tcPr>
                  <w:tcW w:w="415" w:type="pct"/>
                  <w:noWrap w:val="0"/>
                  <w:vAlign w:val="center"/>
                </w:tcPr>
                <w:p w14:paraId="58FAB6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15.0 </w:t>
                  </w:r>
                </w:p>
              </w:tc>
              <w:tc>
                <w:tcPr>
                  <w:tcW w:w="414" w:type="pct"/>
                  <w:noWrap w:val="0"/>
                  <w:vAlign w:val="center"/>
                </w:tcPr>
                <w:p w14:paraId="7E5F08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9"/>
                      <w:szCs w:val="19"/>
                      <w:highlight w:val="none"/>
                      <w:u w:val="none"/>
                      <w:lang w:val="en-US" w:eastAsia="zh-CN" w:bidi="ar"/>
                    </w:rPr>
                  </w:pPr>
                  <w:r>
                    <w:rPr>
                      <w:rFonts w:hint="eastAsia" w:cs="Times New Roman"/>
                      <w:i w:val="0"/>
                      <w:iCs w:val="0"/>
                      <w:color w:val="auto"/>
                      <w:kern w:val="0"/>
                      <w:sz w:val="19"/>
                      <w:szCs w:val="19"/>
                      <w:highlight w:val="none"/>
                      <w:u w:val="none"/>
                      <w:lang w:val="en-US" w:eastAsia="zh-CN" w:bidi="ar"/>
                    </w:rPr>
                    <w:t>6</w:t>
                  </w:r>
                </w:p>
              </w:tc>
              <w:tc>
                <w:tcPr>
                  <w:tcW w:w="505" w:type="pct"/>
                  <w:noWrap w:val="0"/>
                  <w:vAlign w:val="center"/>
                </w:tcPr>
                <w:p w14:paraId="5EE2CEA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120.0 </w:t>
                  </w:r>
                </w:p>
              </w:tc>
              <w:tc>
                <w:tcPr>
                  <w:tcW w:w="470" w:type="pct"/>
                  <w:noWrap w:val="0"/>
                  <w:vAlign w:val="center"/>
                </w:tcPr>
                <w:p w14:paraId="6D32E6E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12</w:t>
                  </w:r>
                </w:p>
              </w:tc>
              <w:tc>
                <w:tcPr>
                  <w:tcW w:w="1053" w:type="pct"/>
                  <w:vMerge w:val="restart"/>
                  <w:noWrap w:val="0"/>
                  <w:vAlign w:val="center"/>
                </w:tcPr>
                <w:p w14:paraId="61CBFF1B">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19"/>
                      <w:szCs w:val="19"/>
                      <w:highlight w:val="none"/>
                      <w:lang w:eastAsia="zh-CN"/>
                    </w:rPr>
                  </w:pPr>
                  <w:r>
                    <w:rPr>
                      <w:rFonts w:hint="default" w:ascii="Times New Roman" w:hAnsi="Times New Roman" w:cs="Times New Roman"/>
                      <w:color w:val="auto"/>
                      <w:sz w:val="19"/>
                      <w:szCs w:val="19"/>
                      <w:highlight w:val="none"/>
                    </w:rPr>
                    <w:t>压铸脱模产生的有机废气</w:t>
                  </w:r>
                  <w:r>
                    <w:rPr>
                      <w:rFonts w:hint="eastAsia" w:cs="Times New Roman"/>
                      <w:color w:val="auto"/>
                      <w:sz w:val="19"/>
                      <w:szCs w:val="19"/>
                      <w:highlight w:val="none"/>
                      <w:lang w:val="en-US" w:eastAsia="zh-CN"/>
                    </w:rPr>
                    <w:t>进入一套“过滤棉+两级活性炭吸附”装置处理，</w:t>
                  </w:r>
                  <w:r>
                    <w:rPr>
                      <w:rFonts w:hint="default" w:ascii="Times New Roman" w:hAnsi="Times New Roman" w:cs="Times New Roman"/>
                      <w:color w:val="auto"/>
                      <w:sz w:val="19"/>
                      <w:szCs w:val="19"/>
                      <w:highlight w:val="none"/>
                    </w:rPr>
                    <w:t>热压</w:t>
                  </w:r>
                  <w:r>
                    <w:rPr>
                      <w:rFonts w:hint="eastAsia" w:cs="Times New Roman"/>
                      <w:color w:val="auto"/>
                      <w:sz w:val="19"/>
                      <w:szCs w:val="19"/>
                      <w:highlight w:val="none"/>
                      <w:lang w:eastAsia="zh-CN"/>
                    </w:rPr>
                    <w:t>、</w:t>
                  </w:r>
                  <w:r>
                    <w:rPr>
                      <w:rFonts w:hint="default" w:ascii="Times New Roman" w:hAnsi="Times New Roman" w:cs="Times New Roman"/>
                      <w:color w:val="auto"/>
                      <w:sz w:val="19"/>
                      <w:szCs w:val="19"/>
                      <w:highlight w:val="none"/>
                    </w:rPr>
                    <w:t>固化产生的有机废气进入1套“干式过滤+</w:t>
                  </w:r>
                  <w:r>
                    <w:rPr>
                      <w:rFonts w:hint="eastAsia" w:cs="Times New Roman"/>
                      <w:color w:val="auto"/>
                      <w:sz w:val="19"/>
                      <w:szCs w:val="19"/>
                      <w:highlight w:val="none"/>
                      <w:lang w:val="en-US" w:eastAsia="zh-CN"/>
                    </w:rPr>
                    <w:t>两级</w:t>
                  </w:r>
                  <w:r>
                    <w:rPr>
                      <w:rFonts w:hint="default" w:ascii="Times New Roman" w:hAnsi="Times New Roman" w:cs="Times New Roman"/>
                      <w:color w:val="auto"/>
                      <w:sz w:val="19"/>
                      <w:szCs w:val="19"/>
                      <w:highlight w:val="none"/>
                    </w:rPr>
                    <w:t>活性炭吸附”处理，浸胶废气（主要成分为乙醇）进入一套水喷淋塔处理，上述废气经处理后汇集经1根15m高的排气筒DA002有组织排放</w:t>
                  </w:r>
                  <w:r>
                    <w:rPr>
                      <w:rFonts w:hint="default" w:ascii="Times New Roman" w:hAnsi="Times New Roman" w:cs="Times New Roman"/>
                      <w:color w:val="auto"/>
                      <w:sz w:val="19"/>
                      <w:szCs w:val="19"/>
                      <w:highlight w:val="none"/>
                      <w:lang w:eastAsia="zh-CN"/>
                    </w:rPr>
                    <w:t>。</w:t>
                  </w:r>
                </w:p>
              </w:tc>
              <w:tc>
                <w:tcPr>
                  <w:tcW w:w="386" w:type="pct"/>
                  <w:noWrap w:val="0"/>
                  <w:vAlign w:val="center"/>
                </w:tcPr>
                <w:p w14:paraId="31A176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12.0 </w:t>
                  </w:r>
                </w:p>
              </w:tc>
              <w:tc>
                <w:tcPr>
                  <w:tcW w:w="407" w:type="pct"/>
                  <w:noWrap w:val="0"/>
                  <w:vAlign w:val="center"/>
                </w:tcPr>
                <w:p w14:paraId="6F3281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0.60 </w:t>
                  </w:r>
                </w:p>
              </w:tc>
              <w:tc>
                <w:tcPr>
                  <w:tcW w:w="393" w:type="pct"/>
                  <w:noWrap w:val="0"/>
                  <w:vAlign w:val="center"/>
                </w:tcPr>
                <w:p w14:paraId="021D6B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1.2</w:t>
                  </w:r>
                </w:p>
              </w:tc>
              <w:tc>
                <w:tcPr>
                  <w:tcW w:w="431" w:type="pct"/>
                  <w:noWrap w:val="0"/>
                  <w:vAlign w:val="center"/>
                </w:tcPr>
                <w:p w14:paraId="085C63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3</w:t>
                  </w:r>
                </w:p>
              </w:tc>
            </w:tr>
            <w:tr w14:paraId="0A62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2" w:type="pct"/>
                  <w:noWrap w:val="0"/>
                  <w:vAlign w:val="center"/>
                </w:tcPr>
                <w:p w14:paraId="5AAA018C">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lang w:val="en-US" w:eastAsia="zh-CN"/>
                    </w:rPr>
                  </w:pPr>
                  <w:r>
                    <w:rPr>
                      <w:rFonts w:hint="default" w:ascii="Times New Roman" w:hAnsi="Times New Roman" w:cs="Times New Roman"/>
                      <w:color w:val="auto"/>
                      <w:sz w:val="19"/>
                      <w:szCs w:val="19"/>
                      <w:highlight w:val="none"/>
                      <w:lang w:val="en-US" w:eastAsia="zh-CN"/>
                    </w:rPr>
                    <w:t>热压</w:t>
                  </w:r>
                  <w:r>
                    <w:rPr>
                      <w:rFonts w:hint="eastAsia" w:cs="Times New Roman"/>
                      <w:color w:val="auto"/>
                      <w:sz w:val="19"/>
                      <w:szCs w:val="19"/>
                      <w:highlight w:val="none"/>
                      <w:lang w:val="en-US" w:eastAsia="zh-CN"/>
                    </w:rPr>
                    <w:t>固化</w:t>
                  </w:r>
                </w:p>
              </w:tc>
              <w:tc>
                <w:tcPr>
                  <w:tcW w:w="231" w:type="pct"/>
                  <w:vMerge w:val="continue"/>
                  <w:noWrap w:val="0"/>
                  <w:vAlign w:val="center"/>
                </w:tcPr>
                <w:p w14:paraId="0FB0615A">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lang w:val="en-US" w:eastAsia="zh-CN"/>
                    </w:rPr>
                  </w:pPr>
                </w:p>
              </w:tc>
              <w:tc>
                <w:tcPr>
                  <w:tcW w:w="415" w:type="pct"/>
                  <w:noWrap w:val="0"/>
                  <w:vAlign w:val="center"/>
                </w:tcPr>
                <w:p w14:paraId="7D6C5F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0.126 </w:t>
                  </w:r>
                </w:p>
              </w:tc>
              <w:tc>
                <w:tcPr>
                  <w:tcW w:w="414" w:type="pct"/>
                  <w:noWrap w:val="0"/>
                  <w:vAlign w:val="center"/>
                </w:tcPr>
                <w:p w14:paraId="5C0249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9"/>
                      <w:szCs w:val="19"/>
                      <w:highlight w:val="none"/>
                      <w:u w:val="none"/>
                      <w:lang w:val="en-US" w:eastAsia="zh-CN" w:bidi="ar"/>
                    </w:rPr>
                  </w:pPr>
                  <w:r>
                    <w:rPr>
                      <w:rFonts w:hint="eastAsia" w:cs="Times New Roman"/>
                      <w:i w:val="0"/>
                      <w:iCs w:val="0"/>
                      <w:color w:val="auto"/>
                      <w:kern w:val="0"/>
                      <w:sz w:val="19"/>
                      <w:szCs w:val="19"/>
                      <w:highlight w:val="none"/>
                      <w:u w:val="none"/>
                      <w:lang w:val="en-US" w:eastAsia="zh-CN" w:bidi="ar"/>
                    </w:rPr>
                    <w:t>0.050</w:t>
                  </w:r>
                </w:p>
              </w:tc>
              <w:tc>
                <w:tcPr>
                  <w:tcW w:w="505" w:type="pct"/>
                  <w:noWrap w:val="0"/>
                  <w:vAlign w:val="center"/>
                </w:tcPr>
                <w:p w14:paraId="68D24B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1.0 </w:t>
                  </w:r>
                </w:p>
              </w:tc>
              <w:tc>
                <w:tcPr>
                  <w:tcW w:w="470" w:type="pct"/>
                  <w:noWrap w:val="0"/>
                  <w:vAlign w:val="center"/>
                </w:tcPr>
                <w:p w14:paraId="2FDBCC3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0.101 </w:t>
                  </w:r>
                </w:p>
              </w:tc>
              <w:tc>
                <w:tcPr>
                  <w:tcW w:w="1053" w:type="pct"/>
                  <w:vMerge w:val="continue"/>
                  <w:noWrap w:val="0"/>
                  <w:vAlign w:val="center"/>
                </w:tcPr>
                <w:p w14:paraId="455696AD">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p>
              </w:tc>
              <w:tc>
                <w:tcPr>
                  <w:tcW w:w="386" w:type="pct"/>
                  <w:noWrap w:val="0"/>
                  <w:vAlign w:val="center"/>
                </w:tcPr>
                <w:p w14:paraId="4C16D6A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0.7 </w:t>
                  </w:r>
                </w:p>
              </w:tc>
              <w:tc>
                <w:tcPr>
                  <w:tcW w:w="407" w:type="pct"/>
                  <w:noWrap w:val="0"/>
                  <w:vAlign w:val="center"/>
                </w:tcPr>
                <w:p w14:paraId="7FA3EC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0.03 </w:t>
                  </w:r>
                </w:p>
              </w:tc>
              <w:tc>
                <w:tcPr>
                  <w:tcW w:w="393" w:type="pct"/>
                  <w:noWrap w:val="0"/>
                  <w:vAlign w:val="center"/>
                </w:tcPr>
                <w:p w14:paraId="470E543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0.068 </w:t>
                  </w:r>
                </w:p>
              </w:tc>
              <w:tc>
                <w:tcPr>
                  <w:tcW w:w="431" w:type="pct"/>
                  <w:noWrap w:val="0"/>
                  <w:vAlign w:val="center"/>
                </w:tcPr>
                <w:p w14:paraId="1FF8D3F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0.025 </w:t>
                  </w:r>
                </w:p>
              </w:tc>
            </w:tr>
            <w:tr w14:paraId="263B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2" w:type="pct"/>
                  <w:noWrap w:val="0"/>
                  <w:vAlign w:val="center"/>
                </w:tcPr>
                <w:p w14:paraId="15F381C8">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lang w:val="en-US" w:eastAsia="zh-CN"/>
                    </w:rPr>
                  </w:pPr>
                  <w:r>
                    <w:rPr>
                      <w:rFonts w:hint="default" w:ascii="Times New Roman" w:hAnsi="Times New Roman" w:cs="Times New Roman"/>
                      <w:color w:val="auto"/>
                      <w:sz w:val="19"/>
                      <w:szCs w:val="19"/>
                      <w:highlight w:val="none"/>
                      <w:lang w:val="en-US" w:eastAsia="zh-CN"/>
                    </w:rPr>
                    <w:t>脱模</w:t>
                  </w:r>
                </w:p>
              </w:tc>
              <w:tc>
                <w:tcPr>
                  <w:tcW w:w="231" w:type="pct"/>
                  <w:vMerge w:val="continue"/>
                  <w:noWrap w:val="0"/>
                  <w:vAlign w:val="center"/>
                </w:tcPr>
                <w:p w14:paraId="108A8EFC">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lang w:val="en-US" w:eastAsia="zh-CN"/>
                    </w:rPr>
                  </w:pPr>
                </w:p>
              </w:tc>
              <w:tc>
                <w:tcPr>
                  <w:tcW w:w="415" w:type="pct"/>
                  <w:noWrap w:val="0"/>
                  <w:vAlign w:val="center"/>
                </w:tcPr>
                <w:p w14:paraId="7D07B8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0.253 </w:t>
                  </w:r>
                </w:p>
              </w:tc>
              <w:tc>
                <w:tcPr>
                  <w:tcW w:w="414" w:type="pct"/>
                  <w:noWrap w:val="0"/>
                  <w:vAlign w:val="center"/>
                </w:tcPr>
                <w:p w14:paraId="56494B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9"/>
                      <w:szCs w:val="19"/>
                      <w:highlight w:val="none"/>
                      <w:u w:val="none"/>
                      <w:lang w:val="en-US" w:eastAsia="zh-CN" w:bidi="ar"/>
                    </w:rPr>
                  </w:pPr>
                  <w:r>
                    <w:rPr>
                      <w:rFonts w:hint="eastAsia" w:cs="Times New Roman"/>
                      <w:i w:val="0"/>
                      <w:iCs w:val="0"/>
                      <w:color w:val="auto"/>
                      <w:kern w:val="0"/>
                      <w:sz w:val="19"/>
                      <w:szCs w:val="19"/>
                      <w:highlight w:val="none"/>
                      <w:u w:val="none"/>
                      <w:lang w:val="en-US" w:eastAsia="zh-CN" w:bidi="ar"/>
                    </w:rPr>
                    <w:t>0.03</w:t>
                  </w:r>
                </w:p>
              </w:tc>
              <w:tc>
                <w:tcPr>
                  <w:tcW w:w="505" w:type="pct"/>
                  <w:noWrap w:val="0"/>
                  <w:vAlign w:val="center"/>
                </w:tcPr>
                <w:p w14:paraId="4DAA321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0.7 </w:t>
                  </w:r>
                </w:p>
              </w:tc>
              <w:tc>
                <w:tcPr>
                  <w:tcW w:w="470" w:type="pct"/>
                  <w:noWrap w:val="0"/>
                  <w:vAlign w:val="center"/>
                </w:tcPr>
                <w:p w14:paraId="2AA68F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0.202 </w:t>
                  </w:r>
                </w:p>
              </w:tc>
              <w:tc>
                <w:tcPr>
                  <w:tcW w:w="1053" w:type="pct"/>
                  <w:vMerge w:val="continue"/>
                  <w:noWrap w:val="0"/>
                  <w:vAlign w:val="center"/>
                </w:tcPr>
                <w:p w14:paraId="72F06C64">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rPr>
                  </w:pPr>
                </w:p>
              </w:tc>
              <w:tc>
                <w:tcPr>
                  <w:tcW w:w="386" w:type="pct"/>
                  <w:noWrap w:val="0"/>
                  <w:vAlign w:val="center"/>
                </w:tcPr>
                <w:p w14:paraId="59B4171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0.5 </w:t>
                  </w:r>
                </w:p>
              </w:tc>
              <w:tc>
                <w:tcPr>
                  <w:tcW w:w="407" w:type="pct"/>
                  <w:noWrap w:val="0"/>
                  <w:vAlign w:val="center"/>
                </w:tcPr>
                <w:p w14:paraId="547168B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0.023 </w:t>
                  </w:r>
                </w:p>
              </w:tc>
              <w:tc>
                <w:tcPr>
                  <w:tcW w:w="393" w:type="pct"/>
                  <w:noWrap w:val="0"/>
                  <w:vAlign w:val="center"/>
                </w:tcPr>
                <w:p w14:paraId="53C38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0.136 </w:t>
                  </w:r>
                </w:p>
              </w:tc>
              <w:tc>
                <w:tcPr>
                  <w:tcW w:w="431" w:type="pct"/>
                  <w:noWrap w:val="0"/>
                  <w:vAlign w:val="center"/>
                </w:tcPr>
                <w:p w14:paraId="1A03D68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0.051 </w:t>
                  </w:r>
                </w:p>
              </w:tc>
            </w:tr>
            <w:tr w14:paraId="6D61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2" w:type="pct"/>
                  <w:noWrap w:val="0"/>
                  <w:vAlign w:val="center"/>
                </w:tcPr>
                <w:p w14:paraId="6E4BCD6D">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lang w:val="en-US" w:eastAsia="zh-CN"/>
                    </w:rPr>
                  </w:pPr>
                  <w:r>
                    <w:rPr>
                      <w:rFonts w:hint="default" w:ascii="Times New Roman" w:hAnsi="Times New Roman" w:cs="Times New Roman"/>
                      <w:color w:val="auto"/>
                      <w:sz w:val="19"/>
                      <w:szCs w:val="19"/>
                      <w:highlight w:val="none"/>
                      <w:lang w:val="en-US" w:eastAsia="zh-CN"/>
                    </w:rPr>
                    <w:t>合计</w:t>
                  </w:r>
                </w:p>
              </w:tc>
              <w:tc>
                <w:tcPr>
                  <w:tcW w:w="231" w:type="pct"/>
                  <w:vMerge w:val="continue"/>
                  <w:noWrap w:val="0"/>
                  <w:vAlign w:val="center"/>
                </w:tcPr>
                <w:p w14:paraId="1BF7AC2F">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cs="Times New Roman"/>
                      <w:color w:val="auto"/>
                      <w:sz w:val="19"/>
                      <w:szCs w:val="19"/>
                      <w:highlight w:val="none"/>
                      <w:lang w:val="en-US" w:eastAsia="zh-CN"/>
                    </w:rPr>
                  </w:pPr>
                </w:p>
              </w:tc>
              <w:tc>
                <w:tcPr>
                  <w:tcW w:w="415" w:type="pct"/>
                  <w:noWrap w:val="0"/>
                  <w:vAlign w:val="center"/>
                </w:tcPr>
                <w:p w14:paraId="523997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15.379 </w:t>
                  </w:r>
                </w:p>
              </w:tc>
              <w:tc>
                <w:tcPr>
                  <w:tcW w:w="414" w:type="pct"/>
                  <w:noWrap w:val="0"/>
                  <w:vAlign w:val="center"/>
                </w:tcPr>
                <w:p w14:paraId="1439F2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9"/>
                      <w:szCs w:val="19"/>
                      <w:highlight w:val="none"/>
                      <w:u w:val="none"/>
                      <w:lang w:val="en-US" w:eastAsia="zh-CN" w:bidi="ar"/>
                    </w:rPr>
                  </w:pPr>
                  <w:r>
                    <w:rPr>
                      <w:rFonts w:hint="eastAsia" w:cs="Times New Roman"/>
                      <w:i w:val="0"/>
                      <w:iCs w:val="0"/>
                      <w:color w:val="auto"/>
                      <w:kern w:val="0"/>
                      <w:sz w:val="19"/>
                      <w:szCs w:val="19"/>
                      <w:highlight w:val="none"/>
                      <w:u w:val="none"/>
                      <w:lang w:val="en-US" w:eastAsia="zh-CN" w:bidi="ar"/>
                    </w:rPr>
                    <w:t>6.08</w:t>
                  </w:r>
                </w:p>
              </w:tc>
              <w:tc>
                <w:tcPr>
                  <w:tcW w:w="505" w:type="pct"/>
                  <w:noWrap w:val="0"/>
                  <w:vAlign w:val="center"/>
                </w:tcPr>
                <w:p w14:paraId="36D1CF6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121.7 </w:t>
                  </w:r>
                </w:p>
              </w:tc>
              <w:tc>
                <w:tcPr>
                  <w:tcW w:w="470" w:type="pct"/>
                  <w:noWrap w:val="0"/>
                  <w:vAlign w:val="center"/>
                </w:tcPr>
                <w:p w14:paraId="19BD2A4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12.303 </w:t>
                  </w:r>
                </w:p>
              </w:tc>
              <w:tc>
                <w:tcPr>
                  <w:tcW w:w="1053" w:type="pct"/>
                  <w:noWrap w:val="0"/>
                  <w:vAlign w:val="center"/>
                </w:tcPr>
                <w:p w14:paraId="31276FC9">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ascii="Times New Roman" w:hAnsi="Times New Roman" w:eastAsia="宋体" w:cs="Times New Roman"/>
                      <w:color w:val="auto"/>
                      <w:sz w:val="19"/>
                      <w:szCs w:val="19"/>
                      <w:highlight w:val="none"/>
                      <w:lang w:val="en-US" w:eastAsia="zh-CN"/>
                    </w:rPr>
                  </w:pPr>
                  <w:r>
                    <w:rPr>
                      <w:rFonts w:hint="default" w:ascii="Times New Roman" w:hAnsi="Times New Roman" w:cs="Times New Roman"/>
                      <w:color w:val="auto"/>
                      <w:sz w:val="19"/>
                      <w:szCs w:val="19"/>
                      <w:highlight w:val="none"/>
                      <w:lang w:val="en-US" w:eastAsia="zh-CN"/>
                    </w:rPr>
                    <w:t>/</w:t>
                  </w:r>
                </w:p>
              </w:tc>
              <w:tc>
                <w:tcPr>
                  <w:tcW w:w="386" w:type="pct"/>
                  <w:noWrap w:val="0"/>
                  <w:vAlign w:val="center"/>
                </w:tcPr>
                <w:p w14:paraId="04BC930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13.13 </w:t>
                  </w:r>
                </w:p>
              </w:tc>
              <w:tc>
                <w:tcPr>
                  <w:tcW w:w="407" w:type="pct"/>
                  <w:noWrap w:val="0"/>
                  <w:vAlign w:val="center"/>
                </w:tcPr>
                <w:p w14:paraId="1F500CB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0.7 </w:t>
                  </w:r>
                </w:p>
              </w:tc>
              <w:tc>
                <w:tcPr>
                  <w:tcW w:w="393" w:type="pct"/>
                  <w:noWrap w:val="0"/>
                  <w:vAlign w:val="center"/>
                </w:tcPr>
                <w:p w14:paraId="7FA1F78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1.404 </w:t>
                  </w:r>
                </w:p>
              </w:tc>
              <w:tc>
                <w:tcPr>
                  <w:tcW w:w="431" w:type="pct"/>
                  <w:noWrap w:val="0"/>
                  <w:vAlign w:val="center"/>
                </w:tcPr>
                <w:p w14:paraId="2673CB2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19"/>
                      <w:szCs w:val="19"/>
                      <w:highlight w:val="none"/>
                      <w:lang w:val="en-US" w:eastAsia="zh-CN"/>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3.076 </w:t>
                  </w:r>
                </w:p>
              </w:tc>
            </w:tr>
          </w:tbl>
          <w:p w14:paraId="755FDD02">
            <w:pPr>
              <w:pStyle w:val="86"/>
              <w:keepNext w:val="0"/>
              <w:keepLines w:val="0"/>
              <w:suppressLineNumbers w:val="0"/>
              <w:bidi w:val="0"/>
              <w:spacing w:before="0" w:beforeAutospacing="0" w:after="0" w:afterAutospacing="0"/>
              <w:ind w:left="0" w:right="0"/>
              <w:rPr>
                <w:rFonts w:hint="eastAsia"/>
                <w:color w:val="auto"/>
                <w:highlight w:val="none"/>
                <w:lang w:val="zh-CN"/>
              </w:rPr>
            </w:pPr>
          </w:p>
          <w:p w14:paraId="6CC43B58">
            <w:pPr>
              <w:pStyle w:val="74"/>
              <w:keepNext w:val="0"/>
              <w:keepLines w:val="0"/>
              <w:suppressLineNumbers w:val="0"/>
              <w:spacing w:before="0" w:beforeAutospacing="0" w:after="0" w:afterAutospacing="0"/>
              <w:ind w:left="0" w:right="0" w:firstLine="520"/>
              <w:rPr>
                <w:rFonts w:hint="eastAsia"/>
                <w:b/>
                <w:bCs/>
                <w:color w:val="auto"/>
                <w:szCs w:val="26"/>
                <w:highlight w:val="none"/>
                <w:lang w:val="en-US" w:eastAsia="zh-CN"/>
              </w:rPr>
            </w:pPr>
            <w:r>
              <w:rPr>
                <w:rFonts w:hint="eastAsia"/>
                <w:b/>
                <w:bCs/>
                <w:color w:val="auto"/>
                <w:szCs w:val="26"/>
                <w:highlight w:val="none"/>
                <w:lang w:val="en-US" w:eastAsia="zh-CN"/>
              </w:rPr>
              <w:t>（4）搅拌、挤压废气</w:t>
            </w:r>
          </w:p>
          <w:p w14:paraId="3A02AB02">
            <w:pPr>
              <w:pStyle w:val="74"/>
              <w:keepNext w:val="0"/>
              <w:keepLines w:val="0"/>
              <w:suppressLineNumbers w:val="0"/>
              <w:spacing w:before="0" w:beforeAutospacing="0" w:after="0" w:afterAutospacing="0"/>
              <w:ind w:left="0" w:right="0" w:firstLine="520"/>
              <w:rPr>
                <w:rFonts w:hint="eastAsia"/>
                <w:b w:val="0"/>
                <w:bCs w:val="0"/>
                <w:color w:val="auto"/>
                <w:szCs w:val="26"/>
                <w:highlight w:val="none"/>
                <w:lang w:val="en-US" w:eastAsia="zh-CN"/>
              </w:rPr>
            </w:pPr>
            <w:r>
              <w:rPr>
                <w:rFonts w:hint="eastAsia"/>
                <w:b w:val="0"/>
                <w:bCs w:val="0"/>
                <w:color w:val="auto"/>
                <w:szCs w:val="26"/>
                <w:highlight w:val="none"/>
                <w:lang w:val="en-US" w:eastAsia="zh-CN"/>
              </w:rPr>
              <w:t>搅拌混合过程会产生粉尘，产生量约为物料投入量的0.1%，根据物料平衡，进入搅拌的物料总量为25.713t/a，则粉尘产生量约为0.026t/a。</w:t>
            </w:r>
          </w:p>
          <w:p w14:paraId="7141D664">
            <w:pPr>
              <w:pStyle w:val="74"/>
              <w:keepNext w:val="0"/>
              <w:keepLines w:val="0"/>
              <w:suppressLineNumbers w:val="0"/>
              <w:spacing w:before="0" w:beforeAutospacing="0" w:after="0" w:afterAutospacing="0"/>
              <w:ind w:left="0" w:right="0" w:firstLine="520"/>
              <w:rPr>
                <w:rFonts w:hint="default"/>
                <w:b w:val="0"/>
                <w:bCs w:val="0"/>
                <w:color w:val="auto"/>
                <w:szCs w:val="26"/>
                <w:highlight w:val="none"/>
                <w:lang w:val="en-US" w:eastAsia="zh-CN"/>
              </w:rPr>
            </w:pPr>
            <w:r>
              <w:rPr>
                <w:rFonts w:hint="eastAsia"/>
                <w:b w:val="0"/>
                <w:bCs w:val="0"/>
                <w:color w:val="auto"/>
                <w:szCs w:val="26"/>
                <w:highlight w:val="none"/>
                <w:lang w:val="en-US" w:eastAsia="zh-CN"/>
              </w:rPr>
              <w:t>挤压</w:t>
            </w:r>
            <w:r>
              <w:rPr>
                <w:rFonts w:hint="default"/>
                <w:b w:val="0"/>
                <w:bCs w:val="0"/>
                <w:color w:val="auto"/>
                <w:szCs w:val="26"/>
                <w:highlight w:val="none"/>
                <w:lang w:val="en-US" w:eastAsia="zh-CN"/>
              </w:rPr>
              <w:t>过程中会产生非甲烷总烃、颗粒物、臭气浓度等，</w:t>
            </w:r>
            <w:r>
              <w:rPr>
                <w:rFonts w:hint="eastAsia"/>
                <w:b w:val="0"/>
                <w:bCs w:val="0"/>
                <w:color w:val="auto"/>
                <w:szCs w:val="26"/>
                <w:highlight w:val="none"/>
                <w:lang w:val="en-US" w:eastAsia="zh-CN"/>
              </w:rPr>
              <w:t>VOCs的源强根据美国国家环保局 EPA 编制的《空气污染物排放系数汇编》（俗称 AP-42）中橡胶制品业排放因子列表（浙江省发布的《浙江省重点行业VOCs污染排放源排放量计算方法》也推荐了该方法）表1-3、表1-4中给出的丁腈橡胶的排放系数为2.30E-04kg/kg-丁腈橡胶；挤压过程同时产生少量颗粒物，颗粒物源强参照HJ1122附录G.1颗粒物</w:t>
            </w:r>
            <w:r>
              <w:rPr>
                <w:rFonts w:hint="default"/>
                <w:b w:val="0"/>
                <w:bCs w:val="0"/>
                <w:color w:val="auto"/>
                <w:szCs w:val="26"/>
                <w:highlight w:val="none"/>
                <w:lang w:val="en-US" w:eastAsia="zh-CN"/>
              </w:rPr>
              <w:t>的产生量为</w:t>
            </w:r>
            <w:r>
              <w:rPr>
                <w:rFonts w:hint="eastAsia"/>
                <w:b w:val="0"/>
                <w:bCs w:val="0"/>
                <w:color w:val="auto"/>
                <w:szCs w:val="26"/>
                <w:highlight w:val="none"/>
                <w:lang w:val="en-US" w:eastAsia="zh-CN"/>
              </w:rPr>
              <w:t>5.037</w:t>
            </w:r>
            <w:r>
              <w:rPr>
                <w:rFonts w:hint="default"/>
                <w:b w:val="0"/>
                <w:bCs w:val="0"/>
                <w:color w:val="auto"/>
                <w:szCs w:val="26"/>
                <w:highlight w:val="none"/>
                <w:lang w:val="en-US" w:eastAsia="zh-CN"/>
              </w:rPr>
              <w:t>千克/吨三胶-原料，</w:t>
            </w:r>
            <w:r>
              <w:rPr>
                <w:rFonts w:hint="eastAsia"/>
                <w:b w:val="0"/>
                <w:bCs w:val="0"/>
                <w:color w:val="auto"/>
                <w:szCs w:val="26"/>
                <w:highlight w:val="none"/>
                <w:lang w:val="en-US" w:eastAsia="zh-CN"/>
              </w:rPr>
              <w:t>根据物料平衡，进入挤压工序的丁腈</w:t>
            </w:r>
            <w:r>
              <w:rPr>
                <w:rFonts w:hint="default"/>
                <w:b w:val="0"/>
                <w:bCs w:val="0"/>
                <w:color w:val="auto"/>
                <w:szCs w:val="26"/>
                <w:highlight w:val="none"/>
                <w:lang w:val="en-US" w:eastAsia="zh-CN"/>
              </w:rPr>
              <w:t>橡胶的量约为</w:t>
            </w:r>
            <w:r>
              <w:rPr>
                <w:rFonts w:hint="eastAsia"/>
                <w:b w:val="0"/>
                <w:bCs w:val="0"/>
                <w:color w:val="auto"/>
                <w:szCs w:val="26"/>
                <w:highlight w:val="none"/>
                <w:lang w:val="en-US" w:eastAsia="zh-CN"/>
              </w:rPr>
              <w:t>4.86</w:t>
            </w:r>
            <w:r>
              <w:rPr>
                <w:rFonts w:hint="default"/>
                <w:b w:val="0"/>
                <w:bCs w:val="0"/>
                <w:color w:val="auto"/>
                <w:szCs w:val="26"/>
                <w:highlight w:val="none"/>
                <w:lang w:val="en-US" w:eastAsia="zh-CN"/>
              </w:rPr>
              <w:t>t/a，则颗粒物的产生量约为</w:t>
            </w:r>
            <w:r>
              <w:rPr>
                <w:rFonts w:hint="eastAsia"/>
                <w:b w:val="0"/>
                <w:bCs w:val="0"/>
                <w:color w:val="auto"/>
                <w:szCs w:val="26"/>
                <w:highlight w:val="none"/>
                <w:lang w:val="en-US" w:eastAsia="zh-CN"/>
              </w:rPr>
              <w:t>0.024t/a</w:t>
            </w:r>
            <w:r>
              <w:rPr>
                <w:rFonts w:hint="default"/>
                <w:b w:val="0"/>
                <w:bCs w:val="0"/>
                <w:color w:val="auto"/>
                <w:szCs w:val="26"/>
                <w:highlight w:val="none"/>
                <w:lang w:val="en-US" w:eastAsia="zh-CN"/>
              </w:rPr>
              <w:t>，非甲烷总烃的产生量约为</w:t>
            </w:r>
            <w:r>
              <w:rPr>
                <w:rFonts w:hint="eastAsia"/>
                <w:b w:val="0"/>
                <w:bCs w:val="0"/>
                <w:color w:val="auto"/>
                <w:szCs w:val="26"/>
                <w:highlight w:val="none"/>
                <w:lang w:val="en-US" w:eastAsia="zh-CN"/>
              </w:rPr>
              <w:t>0.0007t</w:t>
            </w:r>
            <w:r>
              <w:rPr>
                <w:rFonts w:hint="default"/>
                <w:b w:val="0"/>
                <w:bCs w:val="0"/>
                <w:color w:val="auto"/>
                <w:szCs w:val="26"/>
                <w:highlight w:val="none"/>
                <w:lang w:val="en-US" w:eastAsia="zh-CN"/>
              </w:rPr>
              <w:t>/a</w:t>
            </w:r>
            <w:r>
              <w:rPr>
                <w:rFonts w:hint="eastAsia"/>
                <w:b w:val="0"/>
                <w:bCs w:val="0"/>
                <w:color w:val="auto"/>
                <w:szCs w:val="26"/>
                <w:highlight w:val="none"/>
                <w:lang w:val="en-US" w:eastAsia="zh-CN"/>
              </w:rPr>
              <w:t>。</w:t>
            </w:r>
          </w:p>
          <w:p w14:paraId="352F976A">
            <w:pPr>
              <w:pStyle w:val="74"/>
              <w:keepNext w:val="0"/>
              <w:keepLines w:val="0"/>
              <w:suppressLineNumbers w:val="0"/>
              <w:spacing w:before="0" w:beforeAutospacing="0" w:after="0" w:afterAutospacing="0"/>
              <w:ind w:left="0" w:right="0" w:firstLine="520"/>
              <w:rPr>
                <w:rFonts w:hint="default"/>
                <w:b w:val="0"/>
                <w:bCs w:val="0"/>
                <w:color w:val="auto"/>
                <w:szCs w:val="26"/>
                <w:highlight w:val="none"/>
                <w:lang w:val="en-US" w:eastAsia="zh-CN"/>
              </w:rPr>
            </w:pPr>
            <w:r>
              <w:rPr>
                <w:rFonts w:hint="eastAsia"/>
                <w:b w:val="0"/>
                <w:bCs w:val="0"/>
                <w:color w:val="auto"/>
                <w:szCs w:val="26"/>
                <w:highlight w:val="none"/>
                <w:lang w:val="en-US" w:eastAsia="zh-CN"/>
              </w:rPr>
              <w:t>搅拌机、挤压机均设置</w:t>
            </w:r>
            <w:r>
              <w:rPr>
                <w:rFonts w:hint="default"/>
                <w:b w:val="0"/>
                <w:bCs w:val="0"/>
                <w:color w:val="auto"/>
                <w:szCs w:val="26"/>
                <w:highlight w:val="none"/>
                <w:lang w:val="en-US" w:eastAsia="zh-CN"/>
              </w:rPr>
              <w:t>集气罩收集，</w:t>
            </w:r>
            <w:r>
              <w:rPr>
                <w:rFonts w:hint="eastAsia"/>
                <w:b w:val="0"/>
                <w:bCs w:val="0"/>
                <w:color w:val="auto"/>
                <w:szCs w:val="26"/>
                <w:highlight w:val="none"/>
                <w:lang w:val="en-US" w:eastAsia="zh-CN"/>
              </w:rPr>
              <w:t>收集效率按80%计，参照HJ1122附录G.1工业废气量为8900标立方米/吨三胶。</w:t>
            </w:r>
            <w:r>
              <w:rPr>
                <w:rFonts w:hint="default"/>
                <w:b w:val="0"/>
                <w:bCs w:val="0"/>
                <w:color w:val="auto"/>
                <w:szCs w:val="26"/>
                <w:highlight w:val="none"/>
                <w:lang w:val="en-US" w:eastAsia="zh-CN"/>
              </w:rPr>
              <w:t>经</w:t>
            </w:r>
            <w:r>
              <w:rPr>
                <w:rFonts w:hint="eastAsia"/>
                <w:b w:val="0"/>
                <w:bCs w:val="0"/>
                <w:color w:val="auto"/>
                <w:szCs w:val="26"/>
                <w:highlight w:val="none"/>
                <w:lang w:val="en-US" w:eastAsia="zh-CN"/>
              </w:rPr>
              <w:t>“滤筒除尘”预处理（参照《滤筒式除尘器》（JB/T10341-2014），滤筒除尘根据滤料不同除尘效率在99.5%~99.99%之间，保守按照99.5%取值）</w:t>
            </w:r>
            <w:r>
              <w:rPr>
                <w:rFonts w:hint="default"/>
                <w:b w:val="0"/>
                <w:bCs w:val="0"/>
                <w:color w:val="auto"/>
                <w:szCs w:val="26"/>
                <w:highlight w:val="none"/>
                <w:lang w:val="en-US" w:eastAsia="zh-CN"/>
              </w:rPr>
              <w:t>，再进入</w:t>
            </w:r>
            <w:r>
              <w:rPr>
                <w:rFonts w:hint="eastAsia"/>
                <w:b w:val="0"/>
                <w:bCs w:val="0"/>
                <w:color w:val="auto"/>
                <w:szCs w:val="26"/>
                <w:highlight w:val="none"/>
                <w:lang w:val="en-US" w:eastAsia="zh-CN"/>
              </w:rPr>
              <w:t>1</w:t>
            </w:r>
            <w:r>
              <w:rPr>
                <w:rFonts w:hint="default"/>
                <w:b w:val="0"/>
                <w:bCs w:val="0"/>
                <w:color w:val="auto"/>
                <w:szCs w:val="26"/>
                <w:highlight w:val="none"/>
                <w:lang w:val="en-US" w:eastAsia="zh-CN"/>
              </w:rPr>
              <w:t>套</w:t>
            </w:r>
            <w:r>
              <w:rPr>
                <w:rFonts w:hint="eastAsia"/>
                <w:b w:val="0"/>
                <w:bCs w:val="0"/>
                <w:color w:val="auto"/>
                <w:szCs w:val="26"/>
                <w:highlight w:val="none"/>
                <w:lang w:val="en-US" w:eastAsia="zh-CN"/>
              </w:rPr>
              <w:t>“两级活性炭吸附”系统进行</w:t>
            </w:r>
            <w:r>
              <w:rPr>
                <w:rFonts w:hint="default"/>
                <w:b w:val="0"/>
                <w:bCs w:val="0"/>
                <w:color w:val="auto"/>
                <w:szCs w:val="26"/>
                <w:highlight w:val="none"/>
                <w:lang w:val="en-US" w:eastAsia="zh-CN"/>
              </w:rPr>
              <w:t>处理，</w:t>
            </w:r>
            <w:r>
              <w:rPr>
                <w:rFonts w:hint="eastAsia"/>
                <w:b w:val="0"/>
                <w:bCs w:val="0"/>
                <w:color w:val="auto"/>
                <w:szCs w:val="26"/>
                <w:highlight w:val="none"/>
                <w:lang w:val="en-US" w:eastAsia="zh-CN"/>
              </w:rPr>
              <w:t>处理效率参照“产排污系数手册”中活性炭吸附对挥发性有机物的处理效率为50%，则两级处理总效率为75%，</w:t>
            </w:r>
            <w:r>
              <w:rPr>
                <w:rFonts w:hint="default"/>
                <w:b w:val="0"/>
                <w:bCs w:val="0"/>
                <w:color w:val="auto"/>
                <w:szCs w:val="26"/>
                <w:highlight w:val="none"/>
                <w:lang w:val="en-US" w:eastAsia="zh-CN"/>
              </w:rPr>
              <w:t>处理后通过15m高DA00</w:t>
            </w:r>
            <w:r>
              <w:rPr>
                <w:rFonts w:hint="eastAsia"/>
                <w:b w:val="0"/>
                <w:bCs w:val="0"/>
                <w:color w:val="auto"/>
                <w:szCs w:val="26"/>
                <w:highlight w:val="none"/>
                <w:lang w:val="en-US" w:eastAsia="zh-CN"/>
              </w:rPr>
              <w:t>4</w:t>
            </w:r>
            <w:r>
              <w:rPr>
                <w:rFonts w:hint="default"/>
                <w:b w:val="0"/>
                <w:bCs w:val="0"/>
                <w:color w:val="auto"/>
                <w:szCs w:val="26"/>
                <w:highlight w:val="none"/>
                <w:lang w:val="en-US" w:eastAsia="zh-CN"/>
              </w:rPr>
              <w:t>排气筒排放。</w:t>
            </w:r>
          </w:p>
          <w:p w14:paraId="020371A7">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p>
          <w:p w14:paraId="60874557">
            <w:pPr>
              <w:pStyle w:val="86"/>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rPr>
                <w:rFonts w:hint="default"/>
                <w:color w:val="auto"/>
                <w:sz w:val="26"/>
                <w:szCs w:val="26"/>
                <w:highlight w:val="none"/>
              </w:rPr>
            </w:pPr>
            <w:r>
              <w:rPr>
                <w:rFonts w:hint="eastAsia"/>
                <w:color w:val="auto"/>
                <w:sz w:val="26"/>
                <w:szCs w:val="26"/>
                <w:highlight w:val="none"/>
              </w:rPr>
              <w:t>表</w:t>
            </w:r>
            <w:r>
              <w:rPr>
                <w:rFonts w:hint="eastAsia"/>
                <w:color w:val="auto"/>
                <w:sz w:val="26"/>
                <w:szCs w:val="26"/>
                <w:highlight w:val="none"/>
                <w:lang w:val="en-US" w:eastAsia="zh-CN"/>
              </w:rPr>
              <w:t xml:space="preserve">4.2-4   </w:t>
            </w:r>
            <w:r>
              <w:rPr>
                <w:rFonts w:hint="eastAsia"/>
                <w:color w:val="auto"/>
                <w:sz w:val="26"/>
                <w:szCs w:val="26"/>
                <w:highlight w:val="none"/>
              </w:rPr>
              <w:t xml:space="preserve"> </w:t>
            </w:r>
            <w:r>
              <w:rPr>
                <w:rFonts w:hint="eastAsia"/>
                <w:color w:val="auto"/>
                <w:sz w:val="26"/>
                <w:szCs w:val="26"/>
                <w:highlight w:val="none"/>
                <w:lang w:val="en-US" w:eastAsia="zh-CN"/>
              </w:rPr>
              <w:t>搅拌、挤压</w:t>
            </w:r>
            <w:r>
              <w:rPr>
                <w:rFonts w:hint="eastAsia"/>
                <w:color w:val="auto"/>
                <w:sz w:val="26"/>
                <w:szCs w:val="26"/>
                <w:highlight w:val="none"/>
              </w:rPr>
              <w:t>废气产生、排放情况</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436"/>
              <w:gridCol w:w="821"/>
              <w:gridCol w:w="608"/>
              <w:gridCol w:w="821"/>
              <w:gridCol w:w="821"/>
              <w:gridCol w:w="1486"/>
              <w:gridCol w:w="1028"/>
              <w:gridCol w:w="800"/>
              <w:gridCol w:w="825"/>
              <w:gridCol w:w="822"/>
            </w:tblGrid>
            <w:tr w14:paraId="09C1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9" w:type="pct"/>
                  <w:gridSpan w:val="2"/>
                  <w:vMerge w:val="restart"/>
                  <w:noWrap w:val="0"/>
                  <w:vAlign w:val="center"/>
                </w:tcPr>
                <w:p w14:paraId="3EF00DC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污染源</w:t>
                  </w:r>
                </w:p>
              </w:tc>
              <w:tc>
                <w:tcPr>
                  <w:tcW w:w="461" w:type="pct"/>
                  <w:vMerge w:val="restart"/>
                  <w:noWrap w:val="0"/>
                  <w:vAlign w:val="center"/>
                </w:tcPr>
                <w:p w14:paraId="469E3E9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产生量</w:t>
                  </w:r>
                </w:p>
                <w:p w14:paraId="02CC0A8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t/a</w:t>
                  </w:r>
                </w:p>
              </w:tc>
              <w:tc>
                <w:tcPr>
                  <w:tcW w:w="341" w:type="pct"/>
                  <w:noWrap w:val="0"/>
                  <w:vAlign w:val="center"/>
                </w:tcPr>
                <w:p w14:paraId="19DD447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p>
              </w:tc>
              <w:tc>
                <w:tcPr>
                  <w:tcW w:w="922" w:type="pct"/>
                  <w:gridSpan w:val="2"/>
                  <w:noWrap w:val="0"/>
                  <w:vAlign w:val="center"/>
                </w:tcPr>
                <w:p w14:paraId="12969942">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收集进入废气治理设施</w:t>
                  </w:r>
                </w:p>
              </w:tc>
              <w:tc>
                <w:tcPr>
                  <w:tcW w:w="834" w:type="pct"/>
                  <w:vMerge w:val="restart"/>
                  <w:noWrap w:val="0"/>
                  <w:vAlign w:val="center"/>
                </w:tcPr>
                <w:p w14:paraId="43FD5E1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收集、治理措施</w:t>
                  </w:r>
                </w:p>
              </w:tc>
              <w:tc>
                <w:tcPr>
                  <w:tcW w:w="1489" w:type="pct"/>
                  <w:gridSpan w:val="3"/>
                  <w:noWrap w:val="0"/>
                  <w:vAlign w:val="center"/>
                </w:tcPr>
                <w:p w14:paraId="3067D63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污染物有组织排放情况</w:t>
                  </w:r>
                </w:p>
              </w:tc>
              <w:tc>
                <w:tcPr>
                  <w:tcW w:w="461" w:type="pct"/>
                  <w:noWrap w:val="0"/>
                  <w:vAlign w:val="center"/>
                </w:tcPr>
                <w:p w14:paraId="688DC3DA">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无组织排放量</w:t>
                  </w:r>
                </w:p>
              </w:tc>
            </w:tr>
            <w:tr w14:paraId="5FA1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9" w:type="pct"/>
                  <w:gridSpan w:val="2"/>
                  <w:vMerge w:val="continue"/>
                  <w:noWrap w:val="0"/>
                  <w:vAlign w:val="center"/>
                </w:tcPr>
                <w:p w14:paraId="74309D33">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c>
                <w:tcPr>
                  <w:tcW w:w="461" w:type="pct"/>
                  <w:vMerge w:val="continue"/>
                  <w:noWrap w:val="0"/>
                  <w:vAlign w:val="center"/>
                </w:tcPr>
                <w:p w14:paraId="4093E2BA">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c>
                <w:tcPr>
                  <w:tcW w:w="341" w:type="pct"/>
                  <w:noWrap w:val="0"/>
                  <w:vAlign w:val="center"/>
                </w:tcPr>
                <w:p w14:paraId="4C1EB9AC">
                  <w:pPr>
                    <w:pStyle w:val="86"/>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r>
                    <w:rPr>
                      <w:rFonts w:hint="eastAsia"/>
                      <w:color w:val="auto"/>
                      <w:sz w:val="20"/>
                      <w:szCs w:val="20"/>
                      <w:highlight w:val="none"/>
                      <w:lang w:val="en-US" w:eastAsia="zh-CN"/>
                    </w:rPr>
                    <w:t>最大产生</w:t>
                  </w:r>
                  <w:r>
                    <w:rPr>
                      <w:rFonts w:hint="default"/>
                      <w:color w:val="auto"/>
                      <w:sz w:val="20"/>
                      <w:szCs w:val="20"/>
                      <w:highlight w:val="none"/>
                    </w:rPr>
                    <w:t>速率kg/h</w:t>
                  </w:r>
                </w:p>
              </w:tc>
              <w:tc>
                <w:tcPr>
                  <w:tcW w:w="461" w:type="pct"/>
                  <w:noWrap w:val="0"/>
                  <w:vAlign w:val="center"/>
                </w:tcPr>
                <w:p w14:paraId="5D4D0EC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最大</w:t>
                  </w:r>
                  <w:r>
                    <w:rPr>
                      <w:rFonts w:hint="default"/>
                      <w:color w:val="auto"/>
                      <w:sz w:val="20"/>
                      <w:szCs w:val="20"/>
                      <w:highlight w:val="none"/>
                      <w:lang w:val="en-US" w:eastAsia="zh-CN"/>
                    </w:rPr>
                    <w:t>产生浓度</w:t>
                  </w:r>
                  <w:r>
                    <w:rPr>
                      <w:rFonts w:hint="default"/>
                      <w:color w:val="auto"/>
                      <w:sz w:val="20"/>
                      <w:szCs w:val="20"/>
                      <w:highlight w:val="none"/>
                    </w:rPr>
                    <w:t>mg/m</w:t>
                  </w:r>
                  <w:r>
                    <w:rPr>
                      <w:rFonts w:hint="default"/>
                      <w:color w:val="auto"/>
                      <w:sz w:val="20"/>
                      <w:szCs w:val="20"/>
                      <w:highlight w:val="none"/>
                      <w:vertAlign w:val="superscript"/>
                    </w:rPr>
                    <w:t>3</w:t>
                  </w:r>
                </w:p>
              </w:tc>
              <w:tc>
                <w:tcPr>
                  <w:tcW w:w="461" w:type="pct"/>
                  <w:noWrap w:val="0"/>
                  <w:vAlign w:val="center"/>
                </w:tcPr>
                <w:p w14:paraId="4EF98CF8">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产生量t/a</w:t>
                  </w:r>
                </w:p>
              </w:tc>
              <w:tc>
                <w:tcPr>
                  <w:tcW w:w="834" w:type="pct"/>
                  <w:vMerge w:val="continue"/>
                  <w:noWrap w:val="0"/>
                  <w:vAlign w:val="center"/>
                </w:tcPr>
                <w:p w14:paraId="65DD3FBE">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c>
                <w:tcPr>
                  <w:tcW w:w="577" w:type="pct"/>
                  <w:noWrap w:val="0"/>
                  <w:vAlign w:val="center"/>
                </w:tcPr>
                <w:p w14:paraId="36518F6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最大</w:t>
                  </w:r>
                  <w:r>
                    <w:rPr>
                      <w:rFonts w:hint="default"/>
                      <w:color w:val="auto"/>
                      <w:sz w:val="20"/>
                      <w:szCs w:val="20"/>
                      <w:highlight w:val="none"/>
                    </w:rPr>
                    <w:t>排放速率kg/h</w:t>
                  </w:r>
                </w:p>
              </w:tc>
              <w:tc>
                <w:tcPr>
                  <w:tcW w:w="449" w:type="pct"/>
                  <w:noWrap w:val="0"/>
                  <w:vAlign w:val="center"/>
                </w:tcPr>
                <w:p w14:paraId="1D318102">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eastAsia"/>
                      <w:color w:val="auto"/>
                      <w:sz w:val="20"/>
                      <w:szCs w:val="20"/>
                      <w:highlight w:val="none"/>
                      <w:lang w:val="en-US" w:eastAsia="zh-CN"/>
                    </w:rPr>
                    <w:t>最大</w:t>
                  </w:r>
                  <w:r>
                    <w:rPr>
                      <w:rFonts w:hint="default"/>
                      <w:color w:val="auto"/>
                      <w:sz w:val="20"/>
                      <w:szCs w:val="20"/>
                      <w:highlight w:val="none"/>
                    </w:rPr>
                    <w:t>排放浓度</w:t>
                  </w:r>
                </w:p>
                <w:p w14:paraId="0695A2A1">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mg/m</w:t>
                  </w:r>
                  <w:r>
                    <w:rPr>
                      <w:rFonts w:hint="default"/>
                      <w:color w:val="auto"/>
                      <w:sz w:val="20"/>
                      <w:szCs w:val="20"/>
                      <w:highlight w:val="none"/>
                      <w:vertAlign w:val="superscript"/>
                    </w:rPr>
                    <w:t>3</w:t>
                  </w:r>
                </w:p>
              </w:tc>
              <w:tc>
                <w:tcPr>
                  <w:tcW w:w="461" w:type="pct"/>
                  <w:noWrap w:val="0"/>
                  <w:vAlign w:val="center"/>
                </w:tcPr>
                <w:p w14:paraId="6302B3BE">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排放量</w:t>
                  </w:r>
                </w:p>
                <w:p w14:paraId="14AF02E0">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t/a</w:t>
                  </w:r>
                </w:p>
              </w:tc>
              <w:tc>
                <w:tcPr>
                  <w:tcW w:w="461" w:type="pct"/>
                  <w:noWrap w:val="0"/>
                  <w:vAlign w:val="center"/>
                </w:tcPr>
                <w:p w14:paraId="67CE5EDB">
                  <w:pPr>
                    <w:pStyle w:val="86"/>
                    <w:keepNext w:val="0"/>
                    <w:keepLines w:val="0"/>
                    <w:suppressLineNumbers w:val="0"/>
                    <w:bidi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t/a</w:t>
                  </w:r>
                </w:p>
              </w:tc>
            </w:tr>
            <w:tr w14:paraId="5A29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 w:type="pct"/>
                  <w:noWrap w:val="0"/>
                  <w:vAlign w:val="center"/>
                </w:tcPr>
                <w:p w14:paraId="41AFCB9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搅拌</w:t>
                  </w:r>
                </w:p>
              </w:tc>
              <w:tc>
                <w:tcPr>
                  <w:tcW w:w="244" w:type="pct"/>
                  <w:vMerge w:val="restart"/>
                  <w:noWrap w:val="0"/>
                  <w:vAlign w:val="center"/>
                </w:tcPr>
                <w:p w14:paraId="0CAEDCD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颗粒物</w:t>
                  </w:r>
                </w:p>
              </w:tc>
              <w:tc>
                <w:tcPr>
                  <w:tcW w:w="461" w:type="pct"/>
                  <w:noWrap w:val="0"/>
                  <w:vAlign w:val="center"/>
                </w:tcPr>
                <w:p w14:paraId="6E79099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0.026 </w:t>
                  </w:r>
                </w:p>
              </w:tc>
              <w:tc>
                <w:tcPr>
                  <w:tcW w:w="341" w:type="pct"/>
                  <w:noWrap w:val="0"/>
                  <w:vAlign w:val="center"/>
                </w:tcPr>
                <w:p w14:paraId="09EE3041">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0.01 </w:t>
                  </w:r>
                </w:p>
              </w:tc>
              <w:tc>
                <w:tcPr>
                  <w:tcW w:w="461" w:type="pct"/>
                  <w:noWrap w:val="0"/>
                  <w:vAlign w:val="center"/>
                </w:tcPr>
                <w:p w14:paraId="5E9BE518">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475.60 </w:t>
                  </w:r>
                </w:p>
              </w:tc>
              <w:tc>
                <w:tcPr>
                  <w:tcW w:w="461" w:type="pct"/>
                  <w:noWrap w:val="0"/>
                  <w:vAlign w:val="center"/>
                </w:tcPr>
                <w:p w14:paraId="067DCDE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0.021 </w:t>
                  </w:r>
                </w:p>
              </w:tc>
              <w:tc>
                <w:tcPr>
                  <w:tcW w:w="834" w:type="pct"/>
                  <w:vMerge w:val="restart"/>
                  <w:noWrap w:val="0"/>
                  <w:vAlign w:val="center"/>
                </w:tcPr>
                <w:p w14:paraId="77063A21">
                  <w:pPr>
                    <w:pStyle w:val="86"/>
                    <w:keepNext w:val="0"/>
                    <w:keepLines w:val="0"/>
                    <w:suppressLineNumbers w:val="0"/>
                    <w:bidi w:val="0"/>
                    <w:spacing w:before="0" w:beforeAutospacing="0" w:after="0" w:afterAutospacing="0"/>
                    <w:ind w:left="0" w:right="0"/>
                    <w:jc w:val="both"/>
                    <w:rPr>
                      <w:rFonts w:hint="default"/>
                      <w:color w:val="auto"/>
                      <w:sz w:val="20"/>
                      <w:szCs w:val="20"/>
                      <w:highlight w:val="none"/>
                      <w:lang w:eastAsia="zh-CN"/>
                    </w:rPr>
                  </w:pPr>
                  <w:r>
                    <w:rPr>
                      <w:rFonts w:hint="default"/>
                      <w:color w:val="auto"/>
                      <w:sz w:val="20"/>
                      <w:szCs w:val="20"/>
                      <w:highlight w:val="none"/>
                    </w:rPr>
                    <w:t>搅拌机、挤压机产生的废气设置集气罩收集，废气收集后进入一套“滤筒除尘+两级活性炭吸附”系统处理后，接入1根15m高的排气筒DA004有组织排放。</w:t>
                  </w:r>
                </w:p>
              </w:tc>
              <w:tc>
                <w:tcPr>
                  <w:tcW w:w="577" w:type="pct"/>
                  <w:noWrap w:val="0"/>
                  <w:vAlign w:val="center"/>
                </w:tcPr>
                <w:p w14:paraId="4B9CC963">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3.78E-05</w:t>
                  </w:r>
                </w:p>
              </w:tc>
              <w:tc>
                <w:tcPr>
                  <w:tcW w:w="449" w:type="pct"/>
                  <w:noWrap w:val="0"/>
                  <w:vAlign w:val="center"/>
                </w:tcPr>
                <w:p w14:paraId="537E04CE">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 xml:space="preserve">2.38 </w:t>
                  </w:r>
                </w:p>
              </w:tc>
              <w:tc>
                <w:tcPr>
                  <w:tcW w:w="461" w:type="pct"/>
                  <w:noWrap w:val="0"/>
                  <w:vAlign w:val="center"/>
                </w:tcPr>
                <w:p w14:paraId="645F768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1</w:t>
                  </w:r>
                  <w:r>
                    <w:rPr>
                      <w:rFonts w:hint="default"/>
                      <w:color w:val="auto"/>
                      <w:sz w:val="20"/>
                      <w:szCs w:val="20"/>
                      <w:highlight w:val="none"/>
                      <w:lang w:val="en-US" w:eastAsia="zh-CN"/>
                    </w:rPr>
                    <w:t xml:space="preserve"> </w:t>
                  </w:r>
                </w:p>
              </w:tc>
              <w:tc>
                <w:tcPr>
                  <w:tcW w:w="461" w:type="pct"/>
                  <w:noWrap w:val="0"/>
                  <w:vAlign w:val="center"/>
                </w:tcPr>
                <w:p w14:paraId="401DF1D2">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0.005 </w:t>
                  </w:r>
                </w:p>
              </w:tc>
            </w:tr>
            <w:tr w14:paraId="4E2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 w:type="pct"/>
                  <w:vMerge w:val="restart"/>
                  <w:noWrap w:val="0"/>
                  <w:vAlign w:val="center"/>
                </w:tcPr>
                <w:p w14:paraId="24B54F07">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挤压</w:t>
                  </w:r>
                </w:p>
              </w:tc>
              <w:tc>
                <w:tcPr>
                  <w:tcW w:w="244" w:type="pct"/>
                  <w:vMerge w:val="continue"/>
                  <w:noWrap w:val="0"/>
                  <w:vAlign w:val="center"/>
                </w:tcPr>
                <w:p w14:paraId="5BD2A55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p>
              </w:tc>
              <w:tc>
                <w:tcPr>
                  <w:tcW w:w="461" w:type="pct"/>
                  <w:noWrap w:val="0"/>
                  <w:vAlign w:val="center"/>
                </w:tcPr>
                <w:p w14:paraId="1EF7A9A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0.024 </w:t>
                  </w:r>
                </w:p>
              </w:tc>
              <w:tc>
                <w:tcPr>
                  <w:tcW w:w="341" w:type="pct"/>
                  <w:noWrap w:val="0"/>
                  <w:vAlign w:val="center"/>
                </w:tcPr>
                <w:p w14:paraId="06BC1F02">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0.01 </w:t>
                  </w:r>
                </w:p>
              </w:tc>
              <w:tc>
                <w:tcPr>
                  <w:tcW w:w="461" w:type="pct"/>
                  <w:noWrap w:val="0"/>
                  <w:vAlign w:val="center"/>
                </w:tcPr>
                <w:p w14:paraId="1F78932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452.76 </w:t>
                  </w:r>
                </w:p>
              </w:tc>
              <w:tc>
                <w:tcPr>
                  <w:tcW w:w="461" w:type="pct"/>
                  <w:noWrap w:val="0"/>
                  <w:vAlign w:val="center"/>
                </w:tcPr>
                <w:p w14:paraId="42AD02D2">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0.020 </w:t>
                  </w:r>
                </w:p>
              </w:tc>
              <w:tc>
                <w:tcPr>
                  <w:tcW w:w="834" w:type="pct"/>
                  <w:vMerge w:val="continue"/>
                  <w:noWrap w:val="0"/>
                  <w:vAlign w:val="center"/>
                </w:tcPr>
                <w:p w14:paraId="3A89E40F">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c>
                <w:tcPr>
                  <w:tcW w:w="577" w:type="pct"/>
                  <w:noWrap w:val="0"/>
                  <w:vAlign w:val="center"/>
                </w:tcPr>
                <w:p w14:paraId="290D28A0">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3.60E-05</w:t>
                  </w:r>
                </w:p>
              </w:tc>
              <w:tc>
                <w:tcPr>
                  <w:tcW w:w="449" w:type="pct"/>
                  <w:noWrap w:val="0"/>
                  <w:vAlign w:val="center"/>
                </w:tcPr>
                <w:p w14:paraId="7461DE10">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 xml:space="preserve">2.26 </w:t>
                  </w:r>
                </w:p>
              </w:tc>
              <w:tc>
                <w:tcPr>
                  <w:tcW w:w="461" w:type="pct"/>
                  <w:noWrap w:val="0"/>
                  <w:vAlign w:val="center"/>
                </w:tcPr>
                <w:p w14:paraId="5BC0E168">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1</w:t>
                  </w:r>
                  <w:r>
                    <w:rPr>
                      <w:rFonts w:hint="default"/>
                      <w:color w:val="auto"/>
                      <w:sz w:val="20"/>
                      <w:szCs w:val="20"/>
                      <w:highlight w:val="none"/>
                      <w:lang w:val="en-US" w:eastAsia="zh-CN"/>
                    </w:rPr>
                    <w:t xml:space="preserve"> </w:t>
                  </w:r>
                </w:p>
              </w:tc>
              <w:tc>
                <w:tcPr>
                  <w:tcW w:w="461" w:type="pct"/>
                  <w:noWrap w:val="0"/>
                  <w:vAlign w:val="center"/>
                </w:tcPr>
                <w:p w14:paraId="73F02F9D">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0.005 </w:t>
                  </w:r>
                </w:p>
              </w:tc>
            </w:tr>
            <w:tr w14:paraId="2D14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4" w:type="pct"/>
                  <w:vMerge w:val="continue"/>
                  <w:noWrap w:val="0"/>
                  <w:vAlign w:val="center"/>
                </w:tcPr>
                <w:p w14:paraId="58387E1D">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p>
              </w:tc>
              <w:tc>
                <w:tcPr>
                  <w:tcW w:w="244" w:type="pct"/>
                  <w:noWrap w:val="0"/>
                  <w:vAlign w:val="center"/>
                </w:tcPr>
                <w:p w14:paraId="4528855C">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非甲烷总烃</w:t>
                  </w:r>
                </w:p>
              </w:tc>
              <w:tc>
                <w:tcPr>
                  <w:tcW w:w="461" w:type="pct"/>
                  <w:noWrap w:val="0"/>
                  <w:vAlign w:val="center"/>
                </w:tcPr>
                <w:p w14:paraId="4CF44C9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w:t>
                  </w:r>
                  <w:r>
                    <w:rPr>
                      <w:rFonts w:hint="eastAsia"/>
                      <w:color w:val="auto"/>
                      <w:sz w:val="20"/>
                      <w:szCs w:val="20"/>
                      <w:highlight w:val="none"/>
                      <w:lang w:val="en-US" w:eastAsia="zh-CN"/>
                    </w:rPr>
                    <w:t>07</w:t>
                  </w:r>
                  <w:r>
                    <w:rPr>
                      <w:rFonts w:hint="default"/>
                      <w:color w:val="auto"/>
                      <w:sz w:val="20"/>
                      <w:szCs w:val="20"/>
                      <w:highlight w:val="none"/>
                      <w:lang w:val="en-US" w:eastAsia="zh-CN"/>
                    </w:rPr>
                    <w:t xml:space="preserve"> </w:t>
                  </w:r>
                </w:p>
              </w:tc>
              <w:tc>
                <w:tcPr>
                  <w:tcW w:w="341" w:type="pct"/>
                  <w:noWrap w:val="0"/>
                  <w:vAlign w:val="center"/>
                </w:tcPr>
                <w:p w14:paraId="09EDCB99">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lang w:val="en-US" w:eastAsia="zh-CN"/>
                    </w:rPr>
                  </w:pPr>
                  <w:r>
                    <w:rPr>
                      <w:rFonts w:hint="default" w:ascii="Times New Roman" w:hAnsi="Times New Roman" w:eastAsia="宋体" w:cs="Times New Roman"/>
                      <w:i w:val="0"/>
                      <w:iCs w:val="0"/>
                      <w:color w:val="auto"/>
                      <w:kern w:val="0"/>
                      <w:sz w:val="20"/>
                      <w:szCs w:val="20"/>
                      <w:u w:val="none"/>
                      <w:lang w:val="en-US" w:eastAsia="zh-CN" w:bidi="ar"/>
                    </w:rPr>
                    <w:t xml:space="preserve">0.00 </w:t>
                  </w:r>
                </w:p>
              </w:tc>
              <w:tc>
                <w:tcPr>
                  <w:tcW w:w="461" w:type="pct"/>
                  <w:noWrap w:val="0"/>
                  <w:vAlign w:val="center"/>
                </w:tcPr>
                <w:p w14:paraId="0570A90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13.39 </w:t>
                  </w:r>
                </w:p>
              </w:tc>
              <w:tc>
                <w:tcPr>
                  <w:tcW w:w="461" w:type="pct"/>
                  <w:noWrap w:val="0"/>
                  <w:vAlign w:val="center"/>
                </w:tcPr>
                <w:p w14:paraId="5BBD069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w:t>
                  </w:r>
                  <w:r>
                    <w:rPr>
                      <w:rFonts w:hint="eastAsia"/>
                      <w:color w:val="auto"/>
                      <w:sz w:val="20"/>
                      <w:szCs w:val="20"/>
                      <w:highlight w:val="none"/>
                      <w:lang w:val="en-US" w:eastAsia="zh-CN"/>
                    </w:rPr>
                    <w:t>06</w:t>
                  </w:r>
                  <w:r>
                    <w:rPr>
                      <w:rFonts w:hint="default"/>
                      <w:color w:val="auto"/>
                      <w:sz w:val="20"/>
                      <w:szCs w:val="20"/>
                      <w:highlight w:val="none"/>
                      <w:lang w:val="en-US" w:eastAsia="zh-CN"/>
                    </w:rPr>
                    <w:t xml:space="preserve"> </w:t>
                  </w:r>
                </w:p>
              </w:tc>
              <w:tc>
                <w:tcPr>
                  <w:tcW w:w="834" w:type="pct"/>
                  <w:vMerge w:val="continue"/>
                  <w:noWrap w:val="0"/>
                  <w:vAlign w:val="center"/>
                </w:tcPr>
                <w:p w14:paraId="50929056">
                  <w:pPr>
                    <w:pStyle w:val="86"/>
                    <w:keepNext w:val="0"/>
                    <w:keepLines w:val="0"/>
                    <w:suppressLineNumbers w:val="0"/>
                    <w:bidi w:val="0"/>
                    <w:spacing w:before="0" w:beforeAutospacing="0" w:after="0" w:afterAutospacing="0"/>
                    <w:ind w:left="0" w:right="0"/>
                    <w:rPr>
                      <w:rFonts w:hint="default"/>
                      <w:color w:val="auto"/>
                      <w:sz w:val="20"/>
                      <w:szCs w:val="20"/>
                      <w:highlight w:val="none"/>
                    </w:rPr>
                  </w:pPr>
                </w:p>
              </w:tc>
              <w:tc>
                <w:tcPr>
                  <w:tcW w:w="577" w:type="pct"/>
                  <w:noWrap w:val="0"/>
                  <w:vAlign w:val="center"/>
                </w:tcPr>
                <w:p w14:paraId="4862F891">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5.32E-05</w:t>
                  </w:r>
                </w:p>
              </w:tc>
              <w:tc>
                <w:tcPr>
                  <w:tcW w:w="449" w:type="pct"/>
                  <w:noWrap w:val="0"/>
                  <w:vAlign w:val="center"/>
                </w:tcPr>
                <w:p w14:paraId="19C5A33F">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 xml:space="preserve">3.35 </w:t>
                  </w:r>
                </w:p>
              </w:tc>
              <w:tc>
                <w:tcPr>
                  <w:tcW w:w="461" w:type="pct"/>
                  <w:noWrap w:val="0"/>
                  <w:vAlign w:val="center"/>
                </w:tcPr>
                <w:p w14:paraId="629AF5F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1</w:t>
                  </w:r>
                  <w:r>
                    <w:rPr>
                      <w:rFonts w:hint="default"/>
                      <w:color w:val="auto"/>
                      <w:sz w:val="20"/>
                      <w:szCs w:val="20"/>
                      <w:highlight w:val="none"/>
                      <w:lang w:val="en-US" w:eastAsia="zh-CN"/>
                    </w:rPr>
                    <w:t xml:space="preserve"> </w:t>
                  </w:r>
                </w:p>
              </w:tc>
              <w:tc>
                <w:tcPr>
                  <w:tcW w:w="461" w:type="pct"/>
                  <w:noWrap w:val="0"/>
                  <w:vAlign w:val="center"/>
                </w:tcPr>
                <w:p w14:paraId="1F3714C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1</w:t>
                  </w:r>
                  <w:r>
                    <w:rPr>
                      <w:rFonts w:hint="default"/>
                      <w:color w:val="auto"/>
                      <w:sz w:val="20"/>
                      <w:szCs w:val="20"/>
                      <w:highlight w:val="none"/>
                      <w:lang w:val="en-US" w:eastAsia="zh-CN"/>
                    </w:rPr>
                    <w:t xml:space="preserve"> </w:t>
                  </w:r>
                </w:p>
              </w:tc>
            </w:tr>
            <w:tr w14:paraId="253E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44" w:type="pct"/>
                  <w:vMerge w:val="restart"/>
                  <w:noWrap w:val="0"/>
                  <w:vAlign w:val="center"/>
                </w:tcPr>
                <w:p w14:paraId="0CA05E51">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合计</w:t>
                  </w:r>
                </w:p>
              </w:tc>
              <w:tc>
                <w:tcPr>
                  <w:tcW w:w="244" w:type="pct"/>
                  <w:noWrap w:val="0"/>
                  <w:vAlign w:val="center"/>
                </w:tcPr>
                <w:p w14:paraId="6A824C4E">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颗粒物</w:t>
                  </w:r>
                </w:p>
              </w:tc>
              <w:tc>
                <w:tcPr>
                  <w:tcW w:w="461" w:type="pct"/>
                  <w:noWrap w:val="0"/>
                  <w:vAlign w:val="center"/>
                </w:tcPr>
                <w:p w14:paraId="112EE613">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0.050 </w:t>
                  </w:r>
                </w:p>
              </w:tc>
              <w:tc>
                <w:tcPr>
                  <w:tcW w:w="341" w:type="pct"/>
                  <w:noWrap w:val="0"/>
                  <w:vAlign w:val="center"/>
                </w:tcPr>
                <w:p w14:paraId="34821DCF">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eastAsia"/>
                      <w:color w:val="auto"/>
                      <w:sz w:val="20"/>
                      <w:szCs w:val="20"/>
                      <w:highlight w:val="none"/>
                      <w:lang w:val="en-US" w:eastAsia="zh-CN"/>
                    </w:rPr>
                    <w:t>0.01</w:t>
                  </w:r>
                </w:p>
              </w:tc>
              <w:tc>
                <w:tcPr>
                  <w:tcW w:w="461" w:type="pct"/>
                  <w:noWrap w:val="0"/>
                  <w:vAlign w:val="center"/>
                </w:tcPr>
                <w:p w14:paraId="60C3F75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928.36 </w:t>
                  </w:r>
                </w:p>
              </w:tc>
              <w:tc>
                <w:tcPr>
                  <w:tcW w:w="461" w:type="pct"/>
                  <w:noWrap w:val="0"/>
                  <w:vAlign w:val="center"/>
                </w:tcPr>
                <w:p w14:paraId="58C9D968">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0.040 </w:t>
                  </w:r>
                </w:p>
              </w:tc>
              <w:tc>
                <w:tcPr>
                  <w:tcW w:w="834" w:type="pct"/>
                  <w:noWrap w:val="0"/>
                  <w:vAlign w:val="center"/>
                </w:tcPr>
                <w:p w14:paraId="6BD1D852">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w:t>
                  </w:r>
                </w:p>
              </w:tc>
              <w:tc>
                <w:tcPr>
                  <w:tcW w:w="577" w:type="pct"/>
                  <w:noWrap w:val="0"/>
                  <w:vAlign w:val="center"/>
                </w:tcPr>
                <w:p w14:paraId="403A8710">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7.38E-05</w:t>
                  </w:r>
                </w:p>
              </w:tc>
              <w:tc>
                <w:tcPr>
                  <w:tcW w:w="449" w:type="pct"/>
                  <w:noWrap w:val="0"/>
                  <w:vAlign w:val="center"/>
                </w:tcPr>
                <w:p w14:paraId="062D4F9A">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 xml:space="preserve">4.64 </w:t>
                  </w:r>
                </w:p>
              </w:tc>
              <w:tc>
                <w:tcPr>
                  <w:tcW w:w="461" w:type="pct"/>
                  <w:noWrap w:val="0"/>
                  <w:vAlign w:val="center"/>
                </w:tcPr>
                <w:p w14:paraId="5C7C061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2</w:t>
                  </w:r>
                </w:p>
              </w:tc>
              <w:tc>
                <w:tcPr>
                  <w:tcW w:w="461" w:type="pct"/>
                  <w:noWrap w:val="0"/>
                  <w:vAlign w:val="center"/>
                </w:tcPr>
                <w:p w14:paraId="729D973B">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0.010 </w:t>
                  </w:r>
                </w:p>
              </w:tc>
            </w:tr>
            <w:tr w14:paraId="1770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44" w:type="pct"/>
                  <w:vMerge w:val="continue"/>
                  <w:noWrap w:val="0"/>
                  <w:vAlign w:val="center"/>
                </w:tcPr>
                <w:p w14:paraId="4F523E9A">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p>
              </w:tc>
              <w:tc>
                <w:tcPr>
                  <w:tcW w:w="244" w:type="pct"/>
                  <w:noWrap w:val="0"/>
                  <w:vAlign w:val="center"/>
                </w:tcPr>
                <w:p w14:paraId="6CC4768F">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非甲烷总烃</w:t>
                  </w:r>
                </w:p>
              </w:tc>
              <w:tc>
                <w:tcPr>
                  <w:tcW w:w="461" w:type="pct"/>
                  <w:noWrap w:val="0"/>
                  <w:vAlign w:val="center"/>
                </w:tcPr>
                <w:p w14:paraId="6D1145C6">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0.001 </w:t>
                  </w:r>
                </w:p>
              </w:tc>
              <w:tc>
                <w:tcPr>
                  <w:tcW w:w="341" w:type="pct"/>
                  <w:noWrap w:val="0"/>
                  <w:vAlign w:val="center"/>
                </w:tcPr>
                <w:p w14:paraId="078876B8">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eastAsia"/>
                      <w:color w:val="auto"/>
                      <w:sz w:val="20"/>
                      <w:szCs w:val="20"/>
                      <w:highlight w:val="none"/>
                      <w:lang w:val="en-US" w:eastAsia="zh-CN"/>
                    </w:rPr>
                    <w:t>0.00</w:t>
                  </w:r>
                </w:p>
              </w:tc>
              <w:tc>
                <w:tcPr>
                  <w:tcW w:w="461" w:type="pct"/>
                  <w:noWrap w:val="0"/>
                  <w:vAlign w:val="center"/>
                </w:tcPr>
                <w:p w14:paraId="216D50BC">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 xml:space="preserve">13.39 </w:t>
                  </w:r>
                </w:p>
              </w:tc>
              <w:tc>
                <w:tcPr>
                  <w:tcW w:w="461" w:type="pct"/>
                  <w:noWrap w:val="0"/>
                  <w:vAlign w:val="center"/>
                </w:tcPr>
                <w:p w14:paraId="2620A493">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w:t>
                  </w:r>
                  <w:r>
                    <w:rPr>
                      <w:rFonts w:hint="eastAsia"/>
                      <w:color w:val="auto"/>
                      <w:sz w:val="20"/>
                      <w:szCs w:val="20"/>
                      <w:highlight w:val="none"/>
                      <w:lang w:val="en-US" w:eastAsia="zh-CN"/>
                    </w:rPr>
                    <w:t>06</w:t>
                  </w:r>
                  <w:r>
                    <w:rPr>
                      <w:rFonts w:hint="default"/>
                      <w:color w:val="auto"/>
                      <w:sz w:val="20"/>
                      <w:szCs w:val="20"/>
                      <w:highlight w:val="none"/>
                      <w:lang w:val="en-US" w:eastAsia="zh-CN"/>
                    </w:rPr>
                    <w:t xml:space="preserve"> </w:t>
                  </w:r>
                </w:p>
              </w:tc>
              <w:tc>
                <w:tcPr>
                  <w:tcW w:w="834" w:type="pct"/>
                  <w:noWrap w:val="0"/>
                  <w:vAlign w:val="center"/>
                </w:tcPr>
                <w:p w14:paraId="72B3CD4F">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w:t>
                  </w:r>
                </w:p>
              </w:tc>
              <w:tc>
                <w:tcPr>
                  <w:tcW w:w="577" w:type="pct"/>
                  <w:noWrap w:val="0"/>
                  <w:vAlign w:val="center"/>
                </w:tcPr>
                <w:p w14:paraId="7C01B600">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5.32E-05</w:t>
                  </w:r>
                </w:p>
              </w:tc>
              <w:tc>
                <w:tcPr>
                  <w:tcW w:w="449" w:type="pct"/>
                  <w:noWrap w:val="0"/>
                  <w:vAlign w:val="center"/>
                </w:tcPr>
                <w:p w14:paraId="75AD7EE5">
                  <w:pPr>
                    <w:pStyle w:val="86"/>
                    <w:keepNext w:val="0"/>
                    <w:keepLines w:val="0"/>
                    <w:suppressLineNumbers w:val="0"/>
                    <w:bidi w:val="0"/>
                    <w:spacing w:before="0" w:beforeAutospacing="0" w:after="0" w:afterAutospacing="0"/>
                    <w:ind w:left="0" w:leftChars="0" w:right="0" w:rightChars="0" w:firstLine="0" w:firstLineChars="0"/>
                    <w:rPr>
                      <w:rFonts w:hint="default"/>
                      <w:color w:val="auto"/>
                      <w:sz w:val="20"/>
                      <w:szCs w:val="20"/>
                      <w:highlight w:val="none"/>
                      <w:lang w:val="en-US" w:eastAsia="zh-CN"/>
                    </w:rPr>
                  </w:pPr>
                  <w:r>
                    <w:rPr>
                      <w:rFonts w:hint="default"/>
                      <w:color w:val="auto"/>
                      <w:sz w:val="20"/>
                      <w:szCs w:val="20"/>
                      <w:highlight w:val="none"/>
                      <w:lang w:val="en-US" w:eastAsia="zh-CN"/>
                    </w:rPr>
                    <w:t xml:space="preserve">3.35 </w:t>
                  </w:r>
                </w:p>
              </w:tc>
              <w:tc>
                <w:tcPr>
                  <w:tcW w:w="461" w:type="pct"/>
                  <w:noWrap w:val="0"/>
                  <w:vAlign w:val="center"/>
                </w:tcPr>
                <w:p w14:paraId="453E84D0">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1</w:t>
                  </w:r>
                </w:p>
              </w:tc>
              <w:tc>
                <w:tcPr>
                  <w:tcW w:w="461" w:type="pct"/>
                  <w:noWrap w:val="0"/>
                  <w:vAlign w:val="center"/>
                </w:tcPr>
                <w:p w14:paraId="573C9F4C">
                  <w:pPr>
                    <w:pStyle w:val="86"/>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default"/>
                      <w:color w:val="auto"/>
                      <w:sz w:val="20"/>
                      <w:szCs w:val="20"/>
                      <w:highlight w:val="none"/>
                      <w:lang w:val="en-US" w:eastAsia="zh-CN"/>
                    </w:rPr>
                    <w:t>0.000</w:t>
                  </w:r>
                  <w:r>
                    <w:rPr>
                      <w:rFonts w:hint="eastAsia"/>
                      <w:color w:val="auto"/>
                      <w:sz w:val="20"/>
                      <w:szCs w:val="20"/>
                      <w:highlight w:val="none"/>
                      <w:lang w:val="en-US" w:eastAsia="zh-CN"/>
                    </w:rPr>
                    <w:t>1</w:t>
                  </w:r>
                  <w:r>
                    <w:rPr>
                      <w:rFonts w:hint="default"/>
                      <w:color w:val="auto"/>
                      <w:sz w:val="20"/>
                      <w:szCs w:val="20"/>
                      <w:highlight w:val="none"/>
                      <w:lang w:val="en-US" w:eastAsia="zh-CN"/>
                    </w:rPr>
                    <w:t xml:space="preserve"> </w:t>
                  </w:r>
                </w:p>
              </w:tc>
            </w:tr>
          </w:tbl>
          <w:p w14:paraId="2C5671D9">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p>
          <w:p w14:paraId="691D313C">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单位胶料基准排气量：由《橡胶制品工业污染物排放标准》（GB27632-2011），基准排气量为2000m</w:t>
            </w:r>
            <w:r>
              <w:rPr>
                <w:rFonts w:hint="default"/>
                <w:color w:val="auto"/>
                <w:highlight w:val="none"/>
                <w:vertAlign w:val="superscript"/>
              </w:rPr>
              <w:t>3</w:t>
            </w:r>
            <w:r>
              <w:rPr>
                <w:rFonts w:hint="default"/>
                <w:color w:val="auto"/>
                <w:highlight w:val="none"/>
              </w:rPr>
              <w:t>/t胶。根据《关于橡胶行业执行标准问题的复函》（环函〔2014〕244号），项目生产过程</w:t>
            </w:r>
            <w:r>
              <w:rPr>
                <w:rFonts w:hint="eastAsia"/>
                <w:color w:val="auto"/>
                <w:highlight w:val="none"/>
                <w:lang w:val="en-US" w:eastAsia="zh-CN"/>
              </w:rPr>
              <w:t>包含搅拌、挤压2</w:t>
            </w:r>
            <w:r>
              <w:rPr>
                <w:rFonts w:hint="default"/>
                <w:color w:val="auto"/>
                <w:highlight w:val="none"/>
              </w:rPr>
              <w:t>段设施，故单位胶料基准排气量约为：</w:t>
            </w:r>
            <w:r>
              <w:rPr>
                <w:rFonts w:hint="eastAsia"/>
                <w:color w:val="auto"/>
                <w:highlight w:val="none"/>
                <w:lang w:val="en-US" w:eastAsia="zh-CN"/>
              </w:rPr>
              <w:t>2</w:t>
            </w:r>
            <w:r>
              <w:rPr>
                <w:rFonts w:hint="default"/>
                <w:color w:val="auto"/>
                <w:highlight w:val="none"/>
              </w:rPr>
              <w:t>×2000=</w:t>
            </w:r>
            <w:r>
              <w:rPr>
                <w:rFonts w:hint="eastAsia"/>
                <w:color w:val="auto"/>
                <w:highlight w:val="none"/>
                <w:lang w:val="en-US" w:eastAsia="zh-CN"/>
              </w:rPr>
              <w:t>4000</w:t>
            </w:r>
            <w:r>
              <w:rPr>
                <w:rFonts w:hint="default"/>
                <w:color w:val="auto"/>
                <w:highlight w:val="none"/>
              </w:rPr>
              <w:t>m</w:t>
            </w:r>
            <w:r>
              <w:rPr>
                <w:rFonts w:hint="default"/>
                <w:color w:val="auto"/>
                <w:highlight w:val="none"/>
                <w:vertAlign w:val="superscript"/>
              </w:rPr>
              <w:t>3</w:t>
            </w:r>
            <w:r>
              <w:rPr>
                <w:rFonts w:hint="default"/>
                <w:color w:val="auto"/>
                <w:highlight w:val="none"/>
              </w:rPr>
              <w:t>/t胶。</w:t>
            </w:r>
          </w:p>
          <w:p w14:paraId="45AE07CC">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根据《橡胶制品工业污染物排放标准》（GB27632-2011）中浓度换算公式：</w:t>
            </w:r>
          </w:p>
          <w:p w14:paraId="08E202AF">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drawing>
                <wp:anchor distT="0" distB="0" distL="0" distR="0" simplePos="0" relativeHeight="251663360" behindDoc="0" locked="0" layoutInCell="1" allowOverlap="1">
                  <wp:simplePos x="0" y="0"/>
                  <wp:positionH relativeFrom="column">
                    <wp:posOffset>1526540</wp:posOffset>
                  </wp:positionH>
                  <wp:positionV relativeFrom="paragraph">
                    <wp:posOffset>71120</wp:posOffset>
                  </wp:positionV>
                  <wp:extent cx="1972310" cy="647700"/>
                  <wp:effectExtent l="0" t="0" r="8890" b="0"/>
                  <wp:wrapNone/>
                  <wp:docPr id="416" name="IM 416"/>
                  <wp:cNvGraphicFramePr/>
                  <a:graphic xmlns:a="http://schemas.openxmlformats.org/drawingml/2006/main">
                    <a:graphicData uri="http://schemas.openxmlformats.org/drawingml/2006/picture">
                      <pic:pic xmlns:pic="http://schemas.openxmlformats.org/drawingml/2006/picture">
                        <pic:nvPicPr>
                          <pic:cNvPr id="416" name="IM 416"/>
                          <pic:cNvPicPr/>
                        </pic:nvPicPr>
                        <pic:blipFill>
                          <a:blip r:embed="rId20"/>
                          <a:stretch>
                            <a:fillRect/>
                          </a:stretch>
                        </pic:blipFill>
                        <pic:spPr>
                          <a:xfrm>
                            <a:off x="0" y="0"/>
                            <a:ext cx="1972056" cy="647700"/>
                          </a:xfrm>
                          <a:prstGeom prst="rect">
                            <a:avLst/>
                          </a:prstGeom>
                        </pic:spPr>
                      </pic:pic>
                    </a:graphicData>
                  </a:graphic>
                </wp:anchor>
              </w:drawing>
            </w:r>
          </w:p>
          <w:p w14:paraId="1B24EC95">
            <w:pPr>
              <w:pStyle w:val="74"/>
              <w:keepNext w:val="0"/>
              <w:keepLines w:val="0"/>
              <w:suppressLineNumbers w:val="0"/>
              <w:bidi w:val="0"/>
              <w:spacing w:before="0" w:beforeAutospacing="0" w:after="0" w:afterAutospacing="0"/>
              <w:ind w:left="0" w:right="0"/>
              <w:rPr>
                <w:rFonts w:hint="default"/>
                <w:color w:val="auto"/>
                <w:highlight w:val="none"/>
              </w:rPr>
            </w:pPr>
          </w:p>
          <w:p w14:paraId="69242195">
            <w:pPr>
              <w:pStyle w:val="74"/>
              <w:keepNext w:val="0"/>
              <w:keepLines w:val="0"/>
              <w:suppressLineNumbers w:val="0"/>
              <w:bidi w:val="0"/>
              <w:spacing w:before="0" w:beforeAutospacing="0" w:after="0" w:afterAutospacing="0"/>
              <w:ind w:left="0" w:right="0"/>
              <w:rPr>
                <w:rFonts w:hint="default"/>
                <w:color w:val="auto"/>
                <w:highlight w:val="none"/>
              </w:rPr>
            </w:pPr>
          </w:p>
          <w:p w14:paraId="65A8706D">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ρ</w:t>
            </w:r>
            <w:r>
              <w:rPr>
                <w:rFonts w:hint="default"/>
                <w:color w:val="auto"/>
                <w:highlight w:val="none"/>
                <w:vertAlign w:val="subscript"/>
              </w:rPr>
              <w:t>基</w:t>
            </w:r>
            <w:r>
              <w:rPr>
                <w:rFonts w:hint="default"/>
                <w:color w:val="auto"/>
                <w:highlight w:val="none"/>
              </w:rPr>
              <w:t>—大气污染物基准排气量排放浓度，mg/m</w:t>
            </w:r>
            <w:r>
              <w:rPr>
                <w:rFonts w:hint="default"/>
                <w:color w:val="auto"/>
                <w:highlight w:val="none"/>
                <w:vertAlign w:val="superscript"/>
              </w:rPr>
              <w:t>3</w:t>
            </w:r>
            <w:r>
              <w:rPr>
                <w:rFonts w:hint="default"/>
                <w:color w:val="auto"/>
                <w:highlight w:val="none"/>
              </w:rPr>
              <w:t>；</w:t>
            </w:r>
          </w:p>
          <w:p w14:paraId="4E16A201">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Q</w:t>
            </w:r>
            <w:r>
              <w:rPr>
                <w:rFonts w:hint="default"/>
                <w:color w:val="auto"/>
                <w:highlight w:val="none"/>
                <w:vertAlign w:val="subscript"/>
              </w:rPr>
              <w:t>总</w:t>
            </w:r>
            <w:r>
              <w:rPr>
                <w:rFonts w:hint="default"/>
                <w:color w:val="auto"/>
                <w:highlight w:val="none"/>
              </w:rPr>
              <w:t>—实测排气总量，m</w:t>
            </w:r>
            <w:r>
              <w:rPr>
                <w:rFonts w:hint="default"/>
                <w:color w:val="auto"/>
                <w:highlight w:val="none"/>
                <w:vertAlign w:val="superscript"/>
              </w:rPr>
              <w:t>3</w:t>
            </w:r>
            <w:r>
              <w:rPr>
                <w:rFonts w:hint="default"/>
                <w:color w:val="auto"/>
                <w:highlight w:val="none"/>
              </w:rPr>
              <w:t>；</w:t>
            </w:r>
          </w:p>
          <w:p w14:paraId="32386A94">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Y</w:t>
            </w:r>
            <w:r>
              <w:rPr>
                <w:rFonts w:hint="default"/>
                <w:color w:val="auto"/>
                <w:highlight w:val="none"/>
                <w:vertAlign w:val="subscript"/>
              </w:rPr>
              <w:t>i</w:t>
            </w:r>
            <w:r>
              <w:rPr>
                <w:rFonts w:hint="default"/>
                <w:color w:val="auto"/>
                <w:highlight w:val="none"/>
              </w:rPr>
              <w:t>—第i种产品胶料消耗量，t；</w:t>
            </w:r>
          </w:p>
          <w:p w14:paraId="2F986173">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Q</w:t>
            </w:r>
            <w:r>
              <w:rPr>
                <w:rFonts w:hint="default"/>
                <w:color w:val="auto"/>
                <w:highlight w:val="none"/>
                <w:vertAlign w:val="subscript"/>
              </w:rPr>
              <w:t>i基</w:t>
            </w:r>
            <w:r>
              <w:rPr>
                <w:rFonts w:hint="default"/>
                <w:color w:val="auto"/>
                <w:highlight w:val="none"/>
              </w:rPr>
              <w:t>—第i种产品单位胶料基准排气量，m</w:t>
            </w:r>
            <w:r>
              <w:rPr>
                <w:rFonts w:hint="default"/>
                <w:color w:val="auto"/>
                <w:highlight w:val="none"/>
                <w:vertAlign w:val="superscript"/>
              </w:rPr>
              <w:t>3</w:t>
            </w:r>
            <w:r>
              <w:rPr>
                <w:rFonts w:hint="default"/>
                <w:color w:val="auto"/>
                <w:highlight w:val="none"/>
              </w:rPr>
              <w:t>/t；</w:t>
            </w:r>
          </w:p>
          <w:p w14:paraId="3B394656">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ρ</w:t>
            </w:r>
            <w:r>
              <w:rPr>
                <w:rFonts w:hint="default"/>
                <w:color w:val="auto"/>
                <w:highlight w:val="none"/>
                <w:vertAlign w:val="subscript"/>
              </w:rPr>
              <w:t>实</w:t>
            </w:r>
            <w:r>
              <w:rPr>
                <w:rFonts w:hint="default"/>
                <w:color w:val="auto"/>
                <w:highlight w:val="none"/>
              </w:rPr>
              <w:t>—实测大气污染物排放浓度。</w:t>
            </w:r>
          </w:p>
          <w:p w14:paraId="30707411">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基准气量排放浓度换算</w:t>
            </w:r>
            <w:r>
              <w:rPr>
                <w:rFonts w:hint="eastAsia"/>
                <w:color w:val="auto"/>
                <w:highlight w:val="none"/>
                <w:lang w:eastAsia="zh-CN"/>
              </w:rPr>
              <w:t>：根</w:t>
            </w:r>
            <w:r>
              <w:rPr>
                <w:rFonts w:hint="default"/>
                <w:color w:val="auto"/>
                <w:highlight w:val="none"/>
              </w:rPr>
              <w:t>据《橡胶制品工业污染物排放标准》（GB27632-2011）表5基准排气量要求，计算出本项目年用原辅料计入胶量约为</w:t>
            </w:r>
            <w:r>
              <w:rPr>
                <w:rFonts w:hint="eastAsia"/>
                <w:color w:val="auto"/>
                <w:highlight w:val="none"/>
                <w:lang w:val="en-US" w:eastAsia="zh-CN"/>
              </w:rPr>
              <w:t>4.86</w:t>
            </w:r>
            <w:r>
              <w:rPr>
                <w:rFonts w:hint="default"/>
                <w:color w:val="auto"/>
                <w:highlight w:val="none"/>
              </w:rPr>
              <w:t>t/a，根据</w:t>
            </w:r>
            <w:r>
              <w:rPr>
                <w:rFonts w:hint="eastAsia"/>
                <w:color w:val="auto"/>
                <w:highlight w:val="none"/>
                <w:lang w:val="en-US" w:eastAsia="zh-CN"/>
              </w:rPr>
              <w:t>挤压</w:t>
            </w:r>
            <w:r>
              <w:rPr>
                <w:rFonts w:hint="default"/>
                <w:color w:val="auto"/>
                <w:highlight w:val="none"/>
              </w:rPr>
              <w:t>工艺，</w:t>
            </w:r>
            <w:r>
              <w:rPr>
                <w:rFonts w:hint="eastAsia"/>
                <w:color w:val="auto"/>
                <w:highlight w:val="none"/>
                <w:lang w:val="en-US" w:eastAsia="zh-CN"/>
              </w:rPr>
              <w:t>丁腈橡胶</w:t>
            </w:r>
            <w:r>
              <w:rPr>
                <w:rFonts w:hint="default"/>
                <w:color w:val="auto"/>
                <w:highlight w:val="none"/>
              </w:rPr>
              <w:t>原料</w:t>
            </w:r>
            <w:r>
              <w:rPr>
                <w:rFonts w:hint="eastAsia"/>
                <w:color w:val="auto"/>
                <w:highlight w:val="none"/>
                <w:lang w:val="en-US" w:eastAsia="zh-CN"/>
              </w:rPr>
              <w:t>加工为2</w:t>
            </w:r>
            <w:r>
              <w:rPr>
                <w:rFonts w:hint="default"/>
                <w:color w:val="auto"/>
                <w:highlight w:val="none"/>
              </w:rPr>
              <w:t>段设施，则计算该</w:t>
            </w:r>
            <w:r>
              <w:rPr>
                <w:rFonts w:hint="eastAsia"/>
                <w:color w:val="auto"/>
                <w:highlight w:val="none"/>
                <w:lang w:val="en-US" w:eastAsia="zh-CN"/>
              </w:rPr>
              <w:t>用</w:t>
            </w:r>
            <w:r>
              <w:rPr>
                <w:rFonts w:hint="default"/>
                <w:color w:val="auto"/>
                <w:highlight w:val="none"/>
              </w:rPr>
              <w:t>胶量前提下的“基准排气量”为：（</w:t>
            </w:r>
            <w:r>
              <w:rPr>
                <w:rFonts w:hint="eastAsia"/>
                <w:color w:val="auto"/>
                <w:highlight w:val="none"/>
                <w:lang w:val="en-US" w:eastAsia="zh-CN"/>
              </w:rPr>
              <w:t>4.86</w:t>
            </w:r>
            <w:r>
              <w:rPr>
                <w:rFonts w:hint="default"/>
                <w:color w:val="auto"/>
                <w:highlight w:val="none"/>
              </w:rPr>
              <w:t>÷</w:t>
            </w:r>
            <w:r>
              <w:rPr>
                <w:rFonts w:hint="eastAsia"/>
                <w:color w:val="auto"/>
                <w:highlight w:val="none"/>
                <w:lang w:val="en-US" w:eastAsia="zh-CN"/>
              </w:rPr>
              <w:t>2720</w:t>
            </w:r>
            <w:r>
              <w:rPr>
                <w:rFonts w:hint="default"/>
                <w:color w:val="auto"/>
                <w:highlight w:val="none"/>
              </w:rPr>
              <w:t>）×</w:t>
            </w:r>
            <w:r>
              <w:rPr>
                <w:rFonts w:hint="eastAsia"/>
                <w:color w:val="auto"/>
                <w:highlight w:val="none"/>
                <w:lang w:val="en-US" w:eastAsia="zh-CN"/>
              </w:rPr>
              <w:t>2</w:t>
            </w:r>
            <w:r>
              <w:rPr>
                <w:rFonts w:hint="default"/>
                <w:color w:val="auto"/>
                <w:highlight w:val="none"/>
              </w:rPr>
              <w:t>×2000=</w:t>
            </w:r>
            <w:r>
              <w:rPr>
                <w:rFonts w:hint="eastAsia"/>
                <w:color w:val="auto"/>
                <w:highlight w:val="none"/>
                <w:lang w:val="en-US" w:eastAsia="zh-CN"/>
              </w:rPr>
              <w:t>7.15</w:t>
            </w:r>
            <w:r>
              <w:rPr>
                <w:rFonts w:hint="default"/>
                <w:color w:val="auto"/>
                <w:highlight w:val="none"/>
              </w:rPr>
              <w:t>Nm</w:t>
            </w:r>
            <w:r>
              <w:rPr>
                <w:rFonts w:hint="default"/>
                <w:color w:val="auto"/>
                <w:highlight w:val="none"/>
                <w:vertAlign w:val="superscript"/>
              </w:rPr>
              <w:t>3</w:t>
            </w:r>
            <w:r>
              <w:rPr>
                <w:rFonts w:hint="default"/>
                <w:color w:val="auto"/>
                <w:highlight w:val="none"/>
              </w:rPr>
              <w:t>/h。实际总排放量为</w:t>
            </w:r>
            <w:r>
              <w:rPr>
                <w:rFonts w:hint="eastAsia"/>
                <w:color w:val="auto"/>
                <w:highlight w:val="none"/>
                <w:lang w:val="en-US" w:eastAsia="zh-CN"/>
              </w:rPr>
              <w:t>15.9</w:t>
            </w:r>
            <w:r>
              <w:rPr>
                <w:rFonts w:hint="default"/>
                <w:color w:val="auto"/>
                <w:highlight w:val="none"/>
              </w:rPr>
              <w:t>Nm</w:t>
            </w:r>
            <w:r>
              <w:rPr>
                <w:rFonts w:hint="default"/>
                <w:color w:val="auto"/>
                <w:highlight w:val="none"/>
                <w:vertAlign w:val="superscript"/>
              </w:rPr>
              <w:t>3</w:t>
            </w:r>
            <w:r>
              <w:rPr>
                <w:rFonts w:hint="default"/>
                <w:color w:val="auto"/>
                <w:highlight w:val="none"/>
              </w:rPr>
              <w:t>/h，大于根据标准核算出来的“基准排气量”，需进行换算。经换算后</w:t>
            </w:r>
            <w:r>
              <w:rPr>
                <w:rFonts w:hint="eastAsia"/>
                <w:color w:val="auto"/>
                <w:highlight w:val="none"/>
                <w:lang w:val="en-US" w:eastAsia="zh-CN"/>
              </w:rPr>
              <w:t>颗粒物</w:t>
            </w:r>
            <w:r>
              <w:rPr>
                <w:rFonts w:hint="default"/>
                <w:color w:val="auto"/>
                <w:highlight w:val="none"/>
              </w:rPr>
              <w:t>“基准气量”排放浓度为</w:t>
            </w:r>
            <w:r>
              <w:rPr>
                <w:rFonts w:hint="eastAsia"/>
                <w:color w:val="auto"/>
                <w:highlight w:val="none"/>
                <w:lang w:val="en-US" w:eastAsia="zh-CN"/>
              </w:rPr>
              <w:t>10.33</w:t>
            </w:r>
            <w:r>
              <w:rPr>
                <w:rFonts w:hint="default"/>
                <w:color w:val="auto"/>
                <w:highlight w:val="none"/>
              </w:rPr>
              <w:t>mg/m</w:t>
            </w:r>
            <w:r>
              <w:rPr>
                <w:rFonts w:hint="default"/>
                <w:color w:val="auto"/>
                <w:highlight w:val="none"/>
                <w:vertAlign w:val="superscript"/>
              </w:rPr>
              <w:t>3</w:t>
            </w:r>
            <w:r>
              <w:rPr>
                <w:rFonts w:hint="default"/>
                <w:color w:val="auto"/>
                <w:highlight w:val="none"/>
              </w:rPr>
              <w:t>（小于12mg/m</w:t>
            </w:r>
            <w:r>
              <w:rPr>
                <w:rFonts w:hint="default"/>
                <w:color w:val="auto"/>
                <w:highlight w:val="none"/>
                <w:vertAlign w:val="superscript"/>
              </w:rPr>
              <w:t>3</w:t>
            </w:r>
            <w:r>
              <w:rPr>
                <w:rFonts w:hint="default"/>
                <w:color w:val="auto"/>
                <w:highlight w:val="none"/>
              </w:rPr>
              <w:t>），非甲烷总烃“基准气量”排放浓度为</w:t>
            </w:r>
            <w:r>
              <w:rPr>
                <w:rFonts w:hint="eastAsia"/>
                <w:color w:val="auto"/>
                <w:highlight w:val="none"/>
                <w:lang w:val="en-US" w:eastAsia="zh-CN"/>
              </w:rPr>
              <w:t>7.45</w:t>
            </w:r>
            <w:r>
              <w:rPr>
                <w:rFonts w:hint="default"/>
                <w:color w:val="auto"/>
                <w:highlight w:val="none"/>
              </w:rPr>
              <w:t>mg/m</w:t>
            </w:r>
            <w:r>
              <w:rPr>
                <w:rFonts w:hint="default"/>
                <w:color w:val="auto"/>
                <w:highlight w:val="none"/>
                <w:vertAlign w:val="superscript"/>
              </w:rPr>
              <w:t>3</w:t>
            </w:r>
            <w:r>
              <w:rPr>
                <w:rFonts w:hint="default"/>
                <w:color w:val="auto"/>
                <w:highlight w:val="none"/>
              </w:rPr>
              <w:t>（小于10mg/m</w:t>
            </w:r>
            <w:r>
              <w:rPr>
                <w:rFonts w:hint="default"/>
                <w:color w:val="auto"/>
                <w:highlight w:val="none"/>
                <w:vertAlign w:val="superscript"/>
              </w:rPr>
              <w:t>3</w:t>
            </w:r>
            <w:r>
              <w:rPr>
                <w:rFonts w:hint="default"/>
                <w:color w:val="auto"/>
                <w:highlight w:val="none"/>
              </w:rPr>
              <w:t>），均满足达标排放的要求。</w:t>
            </w:r>
          </w:p>
          <w:p w14:paraId="7CDB7F2D">
            <w:pPr>
              <w:pStyle w:val="74"/>
              <w:keepNext w:val="0"/>
              <w:keepLines w:val="0"/>
              <w:suppressLineNumbers w:val="0"/>
              <w:spacing w:before="0" w:beforeAutospacing="0" w:after="0" w:afterAutospacing="0"/>
              <w:ind w:left="0" w:right="0" w:firstLine="520"/>
              <w:rPr>
                <w:rFonts w:hint="default"/>
                <w:b/>
                <w:bCs/>
                <w:color w:val="auto"/>
                <w:szCs w:val="26"/>
                <w:highlight w:val="none"/>
                <w:lang w:val="en-US" w:eastAsia="zh-CN"/>
              </w:rPr>
            </w:pPr>
            <w:r>
              <w:rPr>
                <w:rFonts w:hint="eastAsia"/>
                <w:b/>
                <w:bCs/>
                <w:color w:val="auto"/>
                <w:szCs w:val="26"/>
                <w:highlight w:val="none"/>
                <w:lang w:val="en-US" w:eastAsia="zh-CN"/>
              </w:rPr>
              <w:t>（5）食堂油烟G5</w:t>
            </w:r>
          </w:p>
          <w:p w14:paraId="0AFF94A0">
            <w:pPr>
              <w:pStyle w:val="74"/>
              <w:keepNext w:val="0"/>
              <w:keepLines w:val="0"/>
              <w:suppressLineNumbers w:val="0"/>
              <w:spacing w:before="0" w:beforeAutospacing="0" w:after="0" w:afterAutospacing="0"/>
              <w:ind w:left="0" w:right="0" w:firstLine="520"/>
              <w:rPr>
                <w:rFonts w:hint="eastAsia"/>
                <w:b w:val="0"/>
                <w:bCs w:val="0"/>
                <w:color w:val="auto"/>
                <w:szCs w:val="26"/>
                <w:highlight w:val="none"/>
                <w:lang w:val="en-US" w:eastAsia="zh-CN"/>
              </w:rPr>
            </w:pPr>
            <w:r>
              <w:rPr>
                <w:rFonts w:hint="eastAsia"/>
                <w:b w:val="0"/>
                <w:bCs w:val="0"/>
                <w:color w:val="auto"/>
                <w:szCs w:val="26"/>
                <w:highlight w:val="none"/>
                <w:lang w:val="en-US" w:eastAsia="zh-CN"/>
              </w:rPr>
              <w:t>本项目建有食堂为员工提供中餐，食堂厨房年运行天数为250天，供餐约为100人次/日。根据类比调查，目前人均食用油用量约30g/人次•d，一般油烟挥发量占总耗油量的2%—4%，食堂炒、炸、煎等烹调工序较多，油烟挥发率按照3%取，则油烟产生量22.5kg/a。</w:t>
            </w:r>
          </w:p>
          <w:p w14:paraId="4B1F2BDF">
            <w:pPr>
              <w:pStyle w:val="74"/>
              <w:keepNext w:val="0"/>
              <w:keepLines w:val="0"/>
              <w:suppressLineNumbers w:val="0"/>
              <w:spacing w:before="0" w:beforeAutospacing="0" w:after="0" w:afterAutospacing="0"/>
              <w:ind w:left="0" w:right="0" w:firstLine="520"/>
              <w:rPr>
                <w:rFonts w:hint="eastAsia"/>
                <w:b w:val="0"/>
                <w:bCs w:val="0"/>
                <w:color w:val="auto"/>
                <w:szCs w:val="26"/>
                <w:highlight w:val="none"/>
                <w:lang w:val="en-US" w:eastAsia="zh-CN"/>
              </w:rPr>
            </w:pPr>
            <w:r>
              <w:rPr>
                <w:rFonts w:hint="eastAsia"/>
                <w:b w:val="0"/>
                <w:bCs w:val="0"/>
                <w:color w:val="auto"/>
                <w:szCs w:val="26"/>
                <w:highlight w:val="none"/>
                <w:lang w:val="en-US" w:eastAsia="zh-CN"/>
              </w:rPr>
              <w:t>参照《排放源统计调查产排污核算方法和系数手册（2021年6月9日）》-《生活污染源产排污系数手册》-《表3-1生活及其他大气污染物排放系数表单》－餐饮油烟-三区挥发性有机物（以非甲烷总烃计）产生系数301g/（人•年）。则非甲烷总烃产生量30.1kg/a。食堂设2个灶头，基准灶头的基准风量2000m</w:t>
            </w:r>
            <w:r>
              <w:rPr>
                <w:rFonts w:hint="eastAsia"/>
                <w:b w:val="0"/>
                <w:bCs w:val="0"/>
                <w:color w:val="auto"/>
                <w:szCs w:val="26"/>
                <w:highlight w:val="none"/>
                <w:vertAlign w:val="superscript"/>
                <w:lang w:val="en-US" w:eastAsia="zh-CN"/>
              </w:rPr>
              <w:t>3</w:t>
            </w:r>
            <w:r>
              <w:rPr>
                <w:rFonts w:hint="eastAsia"/>
                <w:b w:val="0"/>
                <w:bCs w:val="0"/>
                <w:color w:val="auto"/>
                <w:szCs w:val="26"/>
                <w:highlight w:val="none"/>
                <w:lang w:val="en-US" w:eastAsia="zh-CN"/>
              </w:rPr>
              <w:t>/h，总风量4000m</w:t>
            </w:r>
            <w:r>
              <w:rPr>
                <w:rFonts w:hint="eastAsia"/>
                <w:b w:val="0"/>
                <w:bCs w:val="0"/>
                <w:color w:val="auto"/>
                <w:szCs w:val="26"/>
                <w:highlight w:val="none"/>
                <w:vertAlign w:val="superscript"/>
                <w:lang w:val="en-US" w:eastAsia="zh-CN"/>
              </w:rPr>
              <w:t>3</w:t>
            </w:r>
            <w:r>
              <w:rPr>
                <w:rFonts w:hint="eastAsia"/>
                <w:b w:val="0"/>
                <w:bCs w:val="0"/>
                <w:color w:val="auto"/>
                <w:szCs w:val="26"/>
                <w:highlight w:val="none"/>
                <w:lang w:val="en-US" w:eastAsia="zh-CN"/>
              </w:rPr>
              <w:t>/h，按照每天灶头工作2h，每天工作250天计；安装油烟净化器，收集效率按80%计，净化设备污染物去除效率按照油烟去除效率≥90%，非甲烷总烃去除效率≥65%。</w:t>
            </w:r>
          </w:p>
          <w:p w14:paraId="4C621877">
            <w:pPr>
              <w:pStyle w:val="74"/>
              <w:keepNext w:val="0"/>
              <w:keepLines w:val="0"/>
              <w:suppressLineNumbers w:val="0"/>
              <w:spacing w:before="0" w:beforeAutospacing="0" w:after="0" w:afterAutospacing="0"/>
              <w:ind w:left="0" w:right="0" w:firstLine="520"/>
              <w:rPr>
                <w:rFonts w:hint="default" w:eastAsia="宋体"/>
                <w:b w:val="0"/>
                <w:bCs w:val="0"/>
                <w:color w:val="auto"/>
                <w:szCs w:val="26"/>
                <w:highlight w:val="none"/>
                <w:lang w:val="en-US" w:eastAsia="zh-CN"/>
              </w:rPr>
            </w:pPr>
            <w:r>
              <w:rPr>
                <w:rFonts w:hint="eastAsia"/>
                <w:b w:val="0"/>
                <w:bCs w:val="0"/>
                <w:color w:val="auto"/>
                <w:szCs w:val="26"/>
                <w:highlight w:val="none"/>
                <w:lang w:val="en-US" w:eastAsia="zh-CN"/>
              </w:rPr>
              <w:t>经计算，油烟有组织排放量约0.0018t/a，非甲烷总烃有组织排放量约0.008t/a，处理后经专用排烟管引至综合楼楼顶专用排烟管排放。</w:t>
            </w:r>
            <w:r>
              <w:rPr>
                <w:rFonts w:hint="eastAsia"/>
                <w:color w:val="auto"/>
                <w:lang w:val="en-US" w:eastAsia="zh-CN"/>
              </w:rPr>
              <w:t>油烟无组织排放量约为0.006t/a，非甲烷总烃无组织排放量约为0.0045t/a。</w:t>
            </w:r>
          </w:p>
          <w:p w14:paraId="19B55A8F">
            <w:pPr>
              <w:pStyle w:val="74"/>
              <w:keepNext w:val="0"/>
              <w:keepLines w:val="0"/>
              <w:suppressLineNumbers w:val="0"/>
              <w:spacing w:before="0" w:beforeAutospacing="0" w:after="0" w:afterAutospacing="0"/>
              <w:ind w:left="0" w:right="0" w:firstLine="52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lang w:val="en-US" w:eastAsia="zh-CN"/>
              </w:rPr>
              <w:t>危废贮存废气G6</w:t>
            </w:r>
          </w:p>
          <w:p w14:paraId="18304028">
            <w:pPr>
              <w:pStyle w:val="74"/>
              <w:keepNext w:val="0"/>
              <w:keepLines w:val="0"/>
              <w:suppressLineNumbers w:val="0"/>
              <w:spacing w:before="0" w:beforeAutospacing="0" w:after="0" w:afterAutospacing="0"/>
              <w:ind w:left="0" w:right="0" w:firstLine="520"/>
              <w:rPr>
                <w:rFonts w:hint="default"/>
                <w:color w:val="auto"/>
                <w:highlight w:val="none"/>
                <w:lang w:val="en-US" w:eastAsia="zh-CN"/>
              </w:rPr>
            </w:pPr>
            <w:r>
              <w:rPr>
                <w:rFonts w:hint="default"/>
                <w:color w:val="auto"/>
                <w:highlight w:val="none"/>
                <w:lang w:val="en-US" w:eastAsia="zh-CN"/>
              </w:rPr>
              <w:t>废矿物油</w:t>
            </w:r>
            <w:r>
              <w:rPr>
                <w:rFonts w:hint="eastAsia"/>
                <w:color w:val="auto"/>
                <w:highlight w:val="none"/>
                <w:lang w:val="en-US" w:eastAsia="zh-CN"/>
              </w:rPr>
              <w:t>、废活性炭等危险废物</w:t>
            </w:r>
            <w:r>
              <w:rPr>
                <w:rFonts w:hint="default"/>
                <w:color w:val="auto"/>
                <w:highlight w:val="none"/>
                <w:lang w:val="en-US" w:eastAsia="zh-CN"/>
              </w:rPr>
              <w:t>密闭封盖和铝灰渣</w:t>
            </w:r>
            <w:r>
              <w:rPr>
                <w:rFonts w:hint="eastAsia"/>
                <w:color w:val="auto"/>
                <w:highlight w:val="none"/>
                <w:lang w:val="en-US" w:eastAsia="zh-CN"/>
              </w:rPr>
              <w:t>在专用容器密闭，在采取</w:t>
            </w:r>
            <w:r>
              <w:rPr>
                <w:rFonts w:hint="default"/>
                <w:color w:val="auto"/>
                <w:highlight w:val="none"/>
                <w:lang w:val="en-US" w:eastAsia="zh-CN"/>
              </w:rPr>
              <w:t>规范的贮存措施</w:t>
            </w:r>
            <w:r>
              <w:rPr>
                <w:rFonts w:hint="eastAsia"/>
                <w:color w:val="auto"/>
                <w:highlight w:val="none"/>
                <w:lang w:val="en-US" w:eastAsia="zh-CN"/>
              </w:rPr>
              <w:t>的情况下</w:t>
            </w:r>
            <w:r>
              <w:rPr>
                <w:rFonts w:hint="default"/>
                <w:color w:val="auto"/>
                <w:highlight w:val="none"/>
                <w:lang w:val="en-US" w:eastAsia="zh-CN"/>
              </w:rPr>
              <w:t>，危废贮存库内污染物的产生得到了有效抑制</w:t>
            </w:r>
            <w:r>
              <w:rPr>
                <w:rFonts w:hint="eastAsia"/>
                <w:color w:val="auto"/>
                <w:highlight w:val="none"/>
                <w:lang w:val="en-US" w:eastAsia="zh-CN"/>
              </w:rPr>
              <w:t>，</w:t>
            </w:r>
            <w:r>
              <w:rPr>
                <w:rFonts w:hint="default"/>
                <w:color w:val="auto"/>
                <w:highlight w:val="none"/>
                <w:lang w:val="en-US" w:eastAsia="zh-CN"/>
              </w:rPr>
              <w:t>非甲烷总烃（NMHC）和粉尘的产生强度显著降低，产生量较小。废气总体上表现为低浓度、无组织逸散的特征，主要产生于物料进出库、搬运等作业瞬间。</w:t>
            </w:r>
          </w:p>
          <w:p w14:paraId="6163FA0E">
            <w:pPr>
              <w:pStyle w:val="74"/>
              <w:keepNext w:val="0"/>
              <w:keepLines w:val="0"/>
              <w:suppressLineNumbers w:val="0"/>
              <w:spacing w:before="0" w:beforeAutospacing="0" w:after="0" w:afterAutospacing="0"/>
              <w:ind w:left="0" w:right="0" w:firstLine="520"/>
              <w:rPr>
                <w:rFonts w:hint="default"/>
                <w:color w:val="auto"/>
                <w:highlight w:val="none"/>
                <w:lang w:val="en-US" w:eastAsia="zh-CN"/>
              </w:rPr>
            </w:pPr>
            <w:r>
              <w:rPr>
                <w:rFonts w:hint="default"/>
                <w:color w:val="auto"/>
                <w:highlight w:val="none"/>
                <w:lang w:val="en-US" w:eastAsia="zh-CN"/>
              </w:rPr>
              <w:t>因此，本次评价认定，在所述规范贮存条件下，该危废贮存库的废气产生量较小，不做定量核算。</w:t>
            </w:r>
            <w:r>
              <w:rPr>
                <w:rFonts w:hint="eastAsia"/>
                <w:color w:val="auto"/>
                <w:highlight w:val="none"/>
                <w:lang w:val="en-US" w:eastAsia="zh-CN"/>
              </w:rPr>
              <w:t>对两座危废贮存库</w:t>
            </w:r>
            <w:r>
              <w:rPr>
                <w:rFonts w:hint="default"/>
                <w:color w:val="auto"/>
                <w:highlight w:val="none"/>
                <w:lang w:val="en-US" w:eastAsia="zh-CN"/>
              </w:rPr>
              <w:t>设置</w:t>
            </w:r>
            <w:r>
              <w:rPr>
                <w:rFonts w:hint="eastAsia"/>
                <w:color w:val="auto"/>
                <w:highlight w:val="none"/>
                <w:lang w:val="en-US" w:eastAsia="zh-CN"/>
              </w:rPr>
              <w:t>废气</w:t>
            </w:r>
            <w:r>
              <w:rPr>
                <w:rFonts w:hint="default"/>
                <w:color w:val="auto"/>
                <w:highlight w:val="none"/>
                <w:lang w:val="en-US" w:eastAsia="zh-CN"/>
              </w:rPr>
              <w:t>收集系统</w:t>
            </w:r>
            <w:r>
              <w:rPr>
                <w:rFonts w:hint="eastAsia"/>
                <w:color w:val="auto"/>
                <w:highlight w:val="none"/>
                <w:lang w:val="en-US" w:eastAsia="zh-CN"/>
              </w:rPr>
              <w:t>（风量约为2000m</w:t>
            </w:r>
            <w:r>
              <w:rPr>
                <w:rFonts w:hint="eastAsia"/>
                <w:color w:val="auto"/>
                <w:highlight w:val="none"/>
                <w:vertAlign w:val="superscript"/>
                <w:lang w:val="en-US" w:eastAsia="zh-CN"/>
              </w:rPr>
              <w:t>3</w:t>
            </w:r>
            <w:r>
              <w:rPr>
                <w:rFonts w:hint="eastAsia"/>
                <w:color w:val="auto"/>
                <w:highlight w:val="none"/>
                <w:lang w:val="en-US" w:eastAsia="zh-CN"/>
              </w:rPr>
              <w:t>/h）</w:t>
            </w:r>
            <w:r>
              <w:rPr>
                <w:rFonts w:hint="default"/>
                <w:color w:val="auto"/>
                <w:highlight w:val="none"/>
                <w:lang w:val="en-US" w:eastAsia="zh-CN"/>
              </w:rPr>
              <w:t>，</w:t>
            </w:r>
            <w:r>
              <w:rPr>
                <w:rFonts w:hint="eastAsia"/>
                <w:color w:val="auto"/>
                <w:highlight w:val="none"/>
                <w:lang w:val="en-US" w:eastAsia="zh-CN"/>
              </w:rPr>
              <w:t>废气收集后进入一套“G4板式过滤器+两级活性炭”装置，处理后经1根15m高的排气筒DA005有组织排放，排放量较小，对环境影响较小。</w:t>
            </w:r>
          </w:p>
        </w:tc>
      </w:tr>
    </w:tbl>
    <w:p w14:paraId="05D22367">
      <w:pPr>
        <w:tabs>
          <w:tab w:val="left" w:pos="1040"/>
        </w:tabs>
        <w:adjustRightInd w:val="0"/>
        <w:snapToGrid w:val="0"/>
        <w:spacing w:line="360" w:lineRule="auto"/>
        <w:rPr>
          <w:b/>
          <w:color w:val="auto"/>
          <w:kern w:val="0"/>
          <w:szCs w:val="21"/>
          <w:highlight w:val="none"/>
        </w:rPr>
        <w:sectPr>
          <w:pgSz w:w="11907" w:h="16840"/>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p w14:paraId="0D5970D0">
      <w:pPr>
        <w:pStyle w:val="74"/>
        <w:ind w:firstLine="520"/>
        <w:rPr>
          <w:color w:val="auto"/>
          <w:highlight w:val="none"/>
        </w:rPr>
      </w:pPr>
    </w:p>
    <w:p w14:paraId="3BF6D1BE">
      <w:pPr>
        <w:pStyle w:val="74"/>
        <w:ind w:firstLine="522"/>
        <w:rPr>
          <w:b/>
          <w:color w:val="auto"/>
          <w:highlight w:val="none"/>
        </w:rPr>
      </w:pPr>
      <w:r>
        <w:rPr>
          <w:rFonts w:hint="eastAsia"/>
          <w:b/>
          <w:color w:val="auto"/>
          <w:highlight w:val="none"/>
        </w:rPr>
        <w:t>4</w:t>
      </w:r>
      <w:r>
        <w:rPr>
          <w:b/>
          <w:color w:val="auto"/>
          <w:highlight w:val="none"/>
        </w:rPr>
        <w:t>.2.1.</w:t>
      </w:r>
      <w:r>
        <w:rPr>
          <w:rFonts w:hint="eastAsia"/>
          <w:b/>
          <w:color w:val="auto"/>
          <w:highlight w:val="none"/>
          <w:lang w:val="en-US" w:eastAsia="zh-CN"/>
        </w:rPr>
        <w:t>2</w:t>
      </w:r>
      <w:r>
        <w:rPr>
          <w:rFonts w:hint="eastAsia"/>
          <w:b/>
          <w:color w:val="auto"/>
          <w:highlight w:val="none"/>
        </w:rPr>
        <w:t>废气排放情况</w:t>
      </w:r>
    </w:p>
    <w:p w14:paraId="3B33D915">
      <w:pPr>
        <w:pStyle w:val="74"/>
        <w:ind w:firstLine="520"/>
        <w:rPr>
          <w:color w:val="auto"/>
          <w:highlight w:val="none"/>
        </w:rPr>
      </w:pPr>
      <w:r>
        <w:rPr>
          <w:rFonts w:hint="eastAsia"/>
          <w:color w:val="auto"/>
          <w:highlight w:val="none"/>
        </w:rPr>
        <w:t>本项目废气有组织、无组织的产生及排放情况见表4</w:t>
      </w:r>
      <w:r>
        <w:rPr>
          <w:color w:val="auto"/>
          <w:highlight w:val="none"/>
        </w:rPr>
        <w:t>.2-</w:t>
      </w:r>
      <w:r>
        <w:rPr>
          <w:rFonts w:hint="eastAsia"/>
          <w:color w:val="auto"/>
          <w:highlight w:val="none"/>
          <w:lang w:val="en-US" w:eastAsia="zh-CN"/>
        </w:rPr>
        <w:t>5</w:t>
      </w:r>
      <w:r>
        <w:rPr>
          <w:rFonts w:hint="eastAsia"/>
          <w:color w:val="auto"/>
          <w:highlight w:val="none"/>
        </w:rPr>
        <w:t>、4</w:t>
      </w:r>
      <w:r>
        <w:rPr>
          <w:color w:val="auto"/>
          <w:highlight w:val="none"/>
        </w:rPr>
        <w:t>.2-</w:t>
      </w:r>
      <w:r>
        <w:rPr>
          <w:rFonts w:hint="eastAsia"/>
          <w:color w:val="auto"/>
          <w:highlight w:val="none"/>
          <w:lang w:val="en-US" w:eastAsia="zh-CN"/>
        </w:rPr>
        <w:t>6</w:t>
      </w:r>
      <w:r>
        <w:rPr>
          <w:rFonts w:hint="eastAsia"/>
          <w:color w:val="auto"/>
          <w:highlight w:val="none"/>
        </w:rPr>
        <w:t>。</w:t>
      </w:r>
    </w:p>
    <w:p w14:paraId="05E51C86">
      <w:pPr>
        <w:pStyle w:val="65"/>
        <w:rPr>
          <w:color w:val="auto"/>
          <w:highlight w:val="none"/>
        </w:rPr>
      </w:pPr>
    </w:p>
    <w:p w14:paraId="60325789">
      <w:pPr>
        <w:pStyle w:val="71"/>
        <w:snapToGrid w:val="0"/>
        <w:spacing w:line="480" w:lineRule="exact"/>
        <w:rPr>
          <w:color w:val="auto"/>
          <w:kern w:val="0"/>
          <w:sz w:val="26"/>
          <w:highlight w:val="none"/>
        </w:rPr>
      </w:pPr>
      <w:r>
        <w:rPr>
          <w:rFonts w:hint="eastAsia"/>
          <w:color w:val="auto"/>
          <w:sz w:val="26"/>
          <w:highlight w:val="none"/>
        </w:rPr>
        <w:t>表4</w:t>
      </w:r>
      <w:r>
        <w:rPr>
          <w:color w:val="auto"/>
          <w:sz w:val="26"/>
          <w:highlight w:val="none"/>
        </w:rPr>
        <w:t>.2-</w:t>
      </w:r>
      <w:r>
        <w:rPr>
          <w:rFonts w:hint="eastAsia"/>
          <w:color w:val="auto"/>
          <w:sz w:val="26"/>
          <w:highlight w:val="none"/>
          <w:lang w:val="en-US" w:eastAsia="zh-CN"/>
        </w:rPr>
        <w:t>5</w:t>
      </w:r>
      <w:r>
        <w:rPr>
          <w:color w:val="auto"/>
          <w:sz w:val="26"/>
          <w:highlight w:val="none"/>
        </w:rPr>
        <w:t xml:space="preserve">   </w:t>
      </w:r>
      <w:r>
        <w:rPr>
          <w:rFonts w:hint="eastAsia"/>
          <w:color w:val="auto"/>
          <w:sz w:val="26"/>
          <w:highlight w:val="none"/>
        </w:rPr>
        <w:t>本项目废气有组织产生、排放情况一览表</w:t>
      </w:r>
    </w:p>
    <w:tbl>
      <w:tblPr>
        <w:tblStyle w:val="2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576"/>
        <w:gridCol w:w="576"/>
        <w:gridCol w:w="817"/>
        <w:gridCol w:w="759"/>
        <w:gridCol w:w="894"/>
        <w:gridCol w:w="827"/>
        <w:gridCol w:w="630"/>
        <w:gridCol w:w="2130"/>
        <w:gridCol w:w="716"/>
        <w:gridCol w:w="1025"/>
        <w:gridCol w:w="765"/>
        <w:gridCol w:w="770"/>
        <w:gridCol w:w="840"/>
        <w:gridCol w:w="977"/>
        <w:gridCol w:w="1576"/>
        <w:gridCol w:w="816"/>
        <w:gridCol w:w="417"/>
        <w:gridCol w:w="805"/>
      </w:tblGrid>
      <w:tr w14:paraId="5074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70" w:hRule="atLeast"/>
        </w:trPr>
        <w:tc>
          <w:tcPr>
            <w:tcW w:w="180" w:type="pct"/>
            <w:vMerge w:val="restart"/>
            <w:tcBorders>
              <w:tl2br w:val="nil"/>
              <w:tr2bl w:val="nil"/>
            </w:tcBorders>
            <w:shd w:val="clear" w:color="auto" w:fill="auto"/>
            <w:vAlign w:val="center"/>
          </w:tcPr>
          <w:p w14:paraId="46DBB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生产线</w:t>
            </w:r>
            <w:r>
              <w:rPr>
                <w:rStyle w:val="89"/>
                <w:rFonts w:eastAsia="宋体"/>
                <w:b/>
                <w:bCs/>
                <w:color w:val="auto"/>
                <w:sz w:val="20"/>
                <w:szCs w:val="20"/>
                <w:highlight w:val="none"/>
                <w:lang w:val="en-US" w:eastAsia="zh-CN" w:bidi="ar"/>
              </w:rPr>
              <w:t>/</w:t>
            </w:r>
            <w:r>
              <w:rPr>
                <w:rStyle w:val="90"/>
                <w:b/>
                <w:bCs/>
                <w:color w:val="auto"/>
                <w:sz w:val="20"/>
                <w:szCs w:val="20"/>
                <w:highlight w:val="none"/>
                <w:lang w:val="en-US" w:eastAsia="zh-CN" w:bidi="ar"/>
              </w:rPr>
              <w:t>工序</w:t>
            </w:r>
          </w:p>
        </w:tc>
        <w:tc>
          <w:tcPr>
            <w:tcW w:w="180" w:type="pct"/>
            <w:vMerge w:val="restart"/>
            <w:tcBorders>
              <w:tl2br w:val="nil"/>
              <w:tr2bl w:val="nil"/>
            </w:tcBorders>
            <w:shd w:val="clear" w:color="auto" w:fill="auto"/>
            <w:vAlign w:val="center"/>
          </w:tcPr>
          <w:p w14:paraId="20DCB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污染源</w:t>
            </w:r>
          </w:p>
        </w:tc>
        <w:tc>
          <w:tcPr>
            <w:tcW w:w="256" w:type="pct"/>
            <w:vMerge w:val="restart"/>
            <w:tcBorders>
              <w:tl2br w:val="nil"/>
              <w:tr2bl w:val="nil"/>
            </w:tcBorders>
            <w:shd w:val="clear" w:color="auto" w:fill="auto"/>
            <w:vAlign w:val="center"/>
          </w:tcPr>
          <w:p w14:paraId="3F95C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污染物</w:t>
            </w:r>
          </w:p>
        </w:tc>
        <w:tc>
          <w:tcPr>
            <w:tcW w:w="780" w:type="pct"/>
            <w:gridSpan w:val="3"/>
            <w:tcBorders>
              <w:tl2br w:val="nil"/>
              <w:tr2bl w:val="nil"/>
            </w:tcBorders>
            <w:shd w:val="clear" w:color="auto" w:fill="auto"/>
            <w:vAlign w:val="center"/>
          </w:tcPr>
          <w:p w14:paraId="1D0F8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污染物产生情况</w:t>
            </w:r>
          </w:p>
        </w:tc>
        <w:tc>
          <w:tcPr>
            <w:tcW w:w="1092" w:type="pct"/>
            <w:gridSpan w:val="3"/>
            <w:tcBorders>
              <w:tl2br w:val="nil"/>
              <w:tr2bl w:val="nil"/>
            </w:tcBorders>
            <w:shd w:val="clear" w:color="auto" w:fill="auto"/>
            <w:vAlign w:val="center"/>
          </w:tcPr>
          <w:p w14:paraId="74619A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治理措施</w:t>
            </w:r>
          </w:p>
        </w:tc>
        <w:tc>
          <w:tcPr>
            <w:tcW w:w="804" w:type="pct"/>
            <w:gridSpan w:val="3"/>
            <w:tcBorders>
              <w:tl2br w:val="nil"/>
              <w:tr2bl w:val="nil"/>
            </w:tcBorders>
            <w:shd w:val="clear" w:color="auto" w:fill="auto"/>
            <w:vAlign w:val="center"/>
          </w:tcPr>
          <w:p w14:paraId="4BD5E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污染物排放情况</w:t>
            </w:r>
          </w:p>
        </w:tc>
        <w:tc>
          <w:tcPr>
            <w:tcW w:w="1064" w:type="pct"/>
            <w:gridSpan w:val="3"/>
            <w:tcBorders>
              <w:tl2br w:val="nil"/>
              <w:tr2bl w:val="nil"/>
            </w:tcBorders>
            <w:shd w:val="clear" w:color="auto" w:fill="auto"/>
            <w:vAlign w:val="center"/>
          </w:tcPr>
          <w:p w14:paraId="28DA06DB">
            <w:pPr>
              <w:keepNext w:val="0"/>
              <w:keepLines w:val="0"/>
              <w:widowControl/>
              <w:suppressLineNumbers w:val="0"/>
              <w:spacing w:before="0" w:beforeAutospacing="0" w:after="0" w:afterAutospacing="0"/>
              <w:ind w:left="0" w:right="0"/>
              <w:jc w:val="center"/>
              <w:textAlignment w:val="center"/>
              <w:rPr>
                <w:rFonts w:hint="eastAsia" w:ascii="宋体" w:hAnsi="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排放标准</w:t>
            </w:r>
          </w:p>
        </w:tc>
        <w:tc>
          <w:tcPr>
            <w:tcW w:w="256" w:type="pct"/>
            <w:vMerge w:val="restart"/>
            <w:tcBorders>
              <w:tl2br w:val="nil"/>
              <w:tr2bl w:val="nil"/>
            </w:tcBorders>
            <w:shd w:val="clear" w:color="auto" w:fill="auto"/>
            <w:vAlign w:val="center"/>
          </w:tcPr>
          <w:p w14:paraId="12F96A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highlight w:val="none"/>
                <w:u w:val="none"/>
                <w:lang w:val="en-US"/>
              </w:rPr>
            </w:pPr>
            <w:r>
              <w:rPr>
                <w:rFonts w:hint="default" w:ascii="Times New Roman" w:hAnsi="Times New Roman" w:eastAsia="宋体" w:cs="Times New Roman"/>
                <w:b/>
                <w:bCs/>
                <w:i w:val="0"/>
                <w:iCs w:val="0"/>
                <w:color w:val="auto"/>
                <w:kern w:val="0"/>
                <w:sz w:val="20"/>
                <w:szCs w:val="20"/>
                <w:highlight w:val="none"/>
                <w:u w:val="none"/>
                <w:lang w:val="en-US" w:eastAsia="zh-CN" w:bidi="ar"/>
              </w:rPr>
              <w:t>排放时间</w:t>
            </w:r>
            <w:r>
              <w:rPr>
                <w:rFonts w:hint="default" w:ascii="Times New Roman" w:hAnsi="Times New Roman" w:cs="Times New Roman"/>
                <w:b/>
                <w:bCs/>
                <w:i w:val="0"/>
                <w:iCs w:val="0"/>
                <w:color w:val="auto"/>
                <w:kern w:val="0"/>
                <w:sz w:val="20"/>
                <w:szCs w:val="20"/>
                <w:highlight w:val="none"/>
                <w:u w:val="none"/>
                <w:lang w:val="en-US" w:eastAsia="zh-CN" w:bidi="ar"/>
              </w:rPr>
              <w:t>h/a</w:t>
            </w:r>
          </w:p>
        </w:tc>
        <w:tc>
          <w:tcPr>
            <w:tcW w:w="131" w:type="pct"/>
            <w:vMerge w:val="restart"/>
            <w:tcBorders>
              <w:tl2br w:val="nil"/>
              <w:tr2bl w:val="nil"/>
            </w:tcBorders>
            <w:shd w:val="clear" w:color="auto" w:fill="auto"/>
            <w:vAlign w:val="center"/>
          </w:tcPr>
          <w:p w14:paraId="297385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排放方式</w:t>
            </w:r>
          </w:p>
        </w:tc>
        <w:tc>
          <w:tcPr>
            <w:tcW w:w="252" w:type="pct"/>
            <w:vMerge w:val="restart"/>
            <w:tcBorders>
              <w:tl2br w:val="nil"/>
              <w:tr2bl w:val="nil"/>
            </w:tcBorders>
            <w:shd w:val="clear" w:color="auto" w:fill="auto"/>
            <w:vAlign w:val="center"/>
          </w:tcPr>
          <w:p w14:paraId="65AE0A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20"/>
                <w:szCs w:val="20"/>
                <w:highlight w:val="none"/>
                <w:u w:val="none"/>
                <w:lang w:val="en-US" w:eastAsia="zh-CN" w:bidi="ar"/>
              </w:rPr>
            </w:pPr>
            <w:r>
              <w:rPr>
                <w:rFonts w:hint="default" w:ascii="Times New Roman" w:hAnsi="Times New Roman" w:cs="Times New Roman"/>
                <w:b/>
                <w:bCs/>
                <w:i w:val="0"/>
                <w:iCs w:val="0"/>
                <w:color w:val="auto"/>
                <w:kern w:val="0"/>
                <w:sz w:val="20"/>
                <w:szCs w:val="20"/>
                <w:highlight w:val="none"/>
                <w:u w:val="none"/>
                <w:lang w:val="en-US" w:eastAsia="zh-CN" w:bidi="ar"/>
              </w:rPr>
              <w:t>排放口编号</w:t>
            </w:r>
          </w:p>
        </w:tc>
      </w:tr>
      <w:tr w14:paraId="6F9E0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808" w:hRule="atLeast"/>
        </w:trPr>
        <w:tc>
          <w:tcPr>
            <w:tcW w:w="180" w:type="pct"/>
            <w:vMerge w:val="continue"/>
            <w:tcBorders>
              <w:tl2br w:val="nil"/>
              <w:tr2bl w:val="nil"/>
            </w:tcBorders>
            <w:shd w:val="clear" w:color="auto" w:fill="auto"/>
            <w:vAlign w:val="center"/>
          </w:tcPr>
          <w:p w14:paraId="3754A00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180" w:type="pct"/>
            <w:vMerge w:val="continue"/>
            <w:tcBorders>
              <w:tl2br w:val="nil"/>
              <w:tr2bl w:val="nil"/>
            </w:tcBorders>
            <w:shd w:val="clear" w:color="auto" w:fill="auto"/>
            <w:vAlign w:val="center"/>
          </w:tcPr>
          <w:p w14:paraId="1C6FCA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256" w:type="pct"/>
            <w:vMerge w:val="continue"/>
            <w:tcBorders>
              <w:tl2br w:val="nil"/>
              <w:tr2bl w:val="nil"/>
            </w:tcBorders>
            <w:shd w:val="clear" w:color="auto" w:fill="auto"/>
            <w:vAlign w:val="center"/>
          </w:tcPr>
          <w:p w14:paraId="3B845AE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highlight w:val="none"/>
                <w:u w:val="none"/>
              </w:rPr>
            </w:pPr>
          </w:p>
        </w:tc>
        <w:tc>
          <w:tcPr>
            <w:tcW w:w="239" w:type="pct"/>
            <w:tcBorders>
              <w:tl2br w:val="nil"/>
              <w:tr2bl w:val="nil"/>
            </w:tcBorders>
            <w:shd w:val="clear" w:color="auto" w:fill="auto"/>
            <w:vAlign w:val="center"/>
          </w:tcPr>
          <w:p w14:paraId="7D82F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最大产生速率</w:t>
            </w:r>
            <w:r>
              <w:rPr>
                <w:rStyle w:val="89"/>
                <w:rFonts w:eastAsia="宋体"/>
                <w:b/>
                <w:bCs/>
                <w:color w:val="auto"/>
                <w:sz w:val="20"/>
                <w:szCs w:val="20"/>
                <w:highlight w:val="none"/>
                <w:lang w:val="en-US" w:eastAsia="zh-CN" w:bidi="ar"/>
              </w:rPr>
              <w:t>kg/h</w:t>
            </w:r>
          </w:p>
        </w:tc>
        <w:tc>
          <w:tcPr>
            <w:tcW w:w="281" w:type="pct"/>
            <w:tcBorders>
              <w:tl2br w:val="nil"/>
              <w:tr2bl w:val="nil"/>
            </w:tcBorders>
            <w:shd w:val="clear" w:color="auto" w:fill="auto"/>
            <w:vAlign w:val="center"/>
          </w:tcPr>
          <w:p w14:paraId="2E4C4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最大产生浓度</w:t>
            </w:r>
            <w:r>
              <w:rPr>
                <w:rStyle w:val="89"/>
                <w:rFonts w:eastAsia="宋体"/>
                <w:b/>
                <w:bCs/>
                <w:color w:val="auto"/>
                <w:sz w:val="20"/>
                <w:szCs w:val="20"/>
                <w:highlight w:val="none"/>
                <w:lang w:val="en-US" w:eastAsia="zh-CN" w:bidi="ar"/>
              </w:rPr>
              <w:t>mg/m³</w:t>
            </w:r>
          </w:p>
        </w:tc>
        <w:tc>
          <w:tcPr>
            <w:tcW w:w="258" w:type="pct"/>
            <w:tcBorders>
              <w:tl2br w:val="nil"/>
              <w:tr2bl w:val="nil"/>
            </w:tcBorders>
            <w:shd w:val="clear" w:color="auto" w:fill="auto"/>
            <w:vAlign w:val="center"/>
          </w:tcPr>
          <w:p w14:paraId="50041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产生量</w:t>
            </w:r>
          </w:p>
          <w:p w14:paraId="733876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t/a</w:t>
            </w:r>
          </w:p>
        </w:tc>
        <w:tc>
          <w:tcPr>
            <w:tcW w:w="198" w:type="pct"/>
            <w:tcBorders>
              <w:tl2br w:val="nil"/>
              <w:tr2bl w:val="nil"/>
            </w:tcBorders>
            <w:shd w:val="clear" w:color="auto" w:fill="auto"/>
            <w:vAlign w:val="center"/>
          </w:tcPr>
          <w:p w14:paraId="3F1B7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收集</w:t>
            </w:r>
          </w:p>
          <w:p w14:paraId="5A7A8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效率</w:t>
            </w:r>
          </w:p>
        </w:tc>
        <w:tc>
          <w:tcPr>
            <w:tcW w:w="669" w:type="pct"/>
            <w:tcBorders>
              <w:tl2br w:val="nil"/>
              <w:tr2bl w:val="nil"/>
            </w:tcBorders>
            <w:shd w:val="clear" w:color="auto" w:fill="auto"/>
            <w:vAlign w:val="center"/>
          </w:tcPr>
          <w:p w14:paraId="58740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处理工艺</w:t>
            </w:r>
          </w:p>
        </w:tc>
        <w:tc>
          <w:tcPr>
            <w:tcW w:w="224" w:type="pct"/>
            <w:tcBorders>
              <w:tl2br w:val="nil"/>
              <w:tr2bl w:val="nil"/>
            </w:tcBorders>
            <w:shd w:val="clear" w:color="auto" w:fill="auto"/>
            <w:vAlign w:val="center"/>
          </w:tcPr>
          <w:p w14:paraId="12111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是否为可行性技术</w:t>
            </w:r>
          </w:p>
        </w:tc>
        <w:tc>
          <w:tcPr>
            <w:tcW w:w="322" w:type="pct"/>
            <w:tcBorders>
              <w:tl2br w:val="nil"/>
              <w:tr2bl w:val="nil"/>
            </w:tcBorders>
            <w:shd w:val="clear" w:color="auto" w:fill="auto"/>
            <w:vAlign w:val="center"/>
          </w:tcPr>
          <w:p w14:paraId="65B276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最大排放速率</w:t>
            </w:r>
            <w:r>
              <w:rPr>
                <w:rStyle w:val="89"/>
                <w:rFonts w:eastAsia="宋体"/>
                <w:b/>
                <w:bCs/>
                <w:color w:val="auto"/>
                <w:sz w:val="20"/>
                <w:szCs w:val="20"/>
                <w:highlight w:val="none"/>
                <w:lang w:val="en-US" w:eastAsia="zh-CN" w:bidi="ar"/>
              </w:rPr>
              <w:t>kg/h</w:t>
            </w:r>
          </w:p>
        </w:tc>
        <w:tc>
          <w:tcPr>
            <w:tcW w:w="240" w:type="pct"/>
            <w:tcBorders>
              <w:tl2br w:val="nil"/>
              <w:tr2bl w:val="nil"/>
            </w:tcBorders>
            <w:shd w:val="clear" w:color="auto" w:fill="auto"/>
            <w:vAlign w:val="center"/>
          </w:tcPr>
          <w:p w14:paraId="1E214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最大排放浓度</w:t>
            </w:r>
            <w:r>
              <w:rPr>
                <w:rStyle w:val="89"/>
                <w:rFonts w:eastAsia="宋体"/>
                <w:b/>
                <w:bCs/>
                <w:color w:val="auto"/>
                <w:sz w:val="20"/>
                <w:szCs w:val="20"/>
                <w:highlight w:val="none"/>
                <w:lang w:val="en-US" w:eastAsia="zh-CN" w:bidi="ar"/>
              </w:rPr>
              <w:t>mg/m³</w:t>
            </w:r>
          </w:p>
        </w:tc>
        <w:tc>
          <w:tcPr>
            <w:tcW w:w="241" w:type="pct"/>
            <w:tcBorders>
              <w:tl2br w:val="nil"/>
              <w:tr2bl w:val="nil"/>
            </w:tcBorders>
            <w:shd w:val="clear" w:color="auto" w:fill="auto"/>
            <w:vAlign w:val="center"/>
          </w:tcPr>
          <w:p w14:paraId="0144A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排放量</w:t>
            </w:r>
          </w:p>
          <w:p w14:paraId="1334C9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t/a</w:t>
            </w:r>
          </w:p>
        </w:tc>
        <w:tc>
          <w:tcPr>
            <w:tcW w:w="263" w:type="pct"/>
            <w:tcBorders>
              <w:tl2br w:val="nil"/>
              <w:tr2bl w:val="nil"/>
            </w:tcBorders>
            <w:shd w:val="clear" w:color="auto" w:fill="auto"/>
            <w:vAlign w:val="center"/>
          </w:tcPr>
          <w:p w14:paraId="15A47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速率（kg/h）</w:t>
            </w:r>
          </w:p>
        </w:tc>
        <w:tc>
          <w:tcPr>
            <w:tcW w:w="306" w:type="pct"/>
            <w:tcBorders>
              <w:tl2br w:val="nil"/>
              <w:tr2bl w:val="nil"/>
            </w:tcBorders>
            <w:shd w:val="clear" w:color="auto" w:fill="auto"/>
            <w:vAlign w:val="center"/>
          </w:tcPr>
          <w:p w14:paraId="426B3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default" w:ascii="Times New Roman" w:hAnsi="Times New Roman" w:eastAsia="宋体" w:cs="Times New Roman"/>
                <w:b/>
                <w:bCs/>
                <w:i w:val="0"/>
                <w:iCs w:val="0"/>
                <w:color w:val="auto"/>
                <w:kern w:val="0"/>
                <w:sz w:val="16"/>
                <w:szCs w:val="16"/>
                <w:u w:val="none"/>
                <w:lang w:val="en-US" w:eastAsia="zh-CN" w:bidi="ar"/>
              </w:rPr>
              <w:t>浓度（mg/m³）</w:t>
            </w:r>
          </w:p>
        </w:tc>
        <w:tc>
          <w:tcPr>
            <w:tcW w:w="493" w:type="pct"/>
            <w:tcBorders>
              <w:tl2br w:val="nil"/>
              <w:tr2bl w:val="nil"/>
            </w:tcBorders>
            <w:shd w:val="clear" w:color="auto" w:fill="auto"/>
            <w:vAlign w:val="center"/>
          </w:tcPr>
          <w:p w14:paraId="72708B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6"/>
                <w:szCs w:val="16"/>
                <w:u w:val="none"/>
                <w:lang w:val="en-US" w:eastAsia="zh-CN" w:bidi="ar"/>
              </w:rPr>
            </w:pPr>
            <w:r>
              <w:rPr>
                <w:rFonts w:hint="eastAsia" w:ascii="Times New Roman" w:hAnsi="Times New Roman" w:eastAsia="宋体" w:cs="Times New Roman"/>
                <w:b/>
                <w:bCs/>
                <w:i w:val="0"/>
                <w:iCs w:val="0"/>
                <w:color w:val="auto"/>
                <w:kern w:val="0"/>
                <w:sz w:val="16"/>
                <w:szCs w:val="16"/>
                <w:u w:val="none"/>
                <w:lang w:val="en-US" w:eastAsia="zh-CN" w:bidi="ar"/>
              </w:rPr>
              <w:t>执行标准</w:t>
            </w:r>
          </w:p>
        </w:tc>
        <w:tc>
          <w:tcPr>
            <w:tcW w:w="256" w:type="pct"/>
            <w:vMerge w:val="continue"/>
            <w:tcBorders>
              <w:tl2br w:val="nil"/>
              <w:tr2bl w:val="nil"/>
            </w:tcBorders>
            <w:shd w:val="clear" w:color="auto" w:fill="auto"/>
            <w:vAlign w:val="center"/>
          </w:tcPr>
          <w:p w14:paraId="0D0D3BC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131" w:type="pct"/>
            <w:vMerge w:val="continue"/>
            <w:tcBorders>
              <w:tl2br w:val="nil"/>
              <w:tr2bl w:val="nil"/>
            </w:tcBorders>
            <w:shd w:val="clear" w:color="auto" w:fill="auto"/>
            <w:vAlign w:val="center"/>
          </w:tcPr>
          <w:p w14:paraId="4775D6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252" w:type="pct"/>
            <w:vMerge w:val="continue"/>
            <w:tcBorders>
              <w:tl2br w:val="nil"/>
              <w:tr2bl w:val="nil"/>
            </w:tcBorders>
            <w:shd w:val="clear" w:color="auto" w:fill="auto"/>
            <w:vAlign w:val="center"/>
          </w:tcPr>
          <w:p w14:paraId="2DE079E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r>
      <w:tr w14:paraId="3B9EE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85" w:hRule="atLeast"/>
        </w:trPr>
        <w:tc>
          <w:tcPr>
            <w:tcW w:w="180" w:type="pct"/>
            <w:vMerge w:val="restart"/>
            <w:tcBorders>
              <w:tl2br w:val="nil"/>
              <w:tr2bl w:val="nil"/>
            </w:tcBorders>
            <w:shd w:val="clear" w:color="auto" w:fill="auto"/>
            <w:vAlign w:val="center"/>
          </w:tcPr>
          <w:p w14:paraId="59F7E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热熔</w:t>
            </w:r>
            <w:r>
              <w:rPr>
                <w:rFonts w:hint="eastAsia" w:ascii="宋体" w:hAnsi="宋体" w:cs="宋体"/>
                <w:i w:val="0"/>
                <w:iCs w:val="0"/>
                <w:color w:val="auto"/>
                <w:kern w:val="0"/>
                <w:sz w:val="18"/>
                <w:szCs w:val="18"/>
                <w:highlight w:val="none"/>
                <w:u w:val="none"/>
                <w:lang w:val="en-US" w:eastAsia="zh-CN" w:bidi="ar"/>
              </w:rPr>
              <w:t>、除渣</w:t>
            </w:r>
          </w:p>
        </w:tc>
        <w:tc>
          <w:tcPr>
            <w:tcW w:w="180" w:type="pct"/>
            <w:vMerge w:val="restart"/>
            <w:tcBorders>
              <w:tl2br w:val="nil"/>
              <w:tr2bl w:val="nil"/>
            </w:tcBorders>
            <w:shd w:val="clear" w:color="auto" w:fill="auto"/>
            <w:vAlign w:val="center"/>
          </w:tcPr>
          <w:p w14:paraId="25667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热熔</w:t>
            </w:r>
            <w:r>
              <w:rPr>
                <w:rFonts w:hint="eastAsia" w:ascii="宋体" w:hAnsi="宋体" w:cs="宋体"/>
                <w:i w:val="0"/>
                <w:iCs w:val="0"/>
                <w:color w:val="auto"/>
                <w:kern w:val="0"/>
                <w:sz w:val="18"/>
                <w:szCs w:val="18"/>
                <w:highlight w:val="none"/>
                <w:u w:val="none"/>
                <w:lang w:val="en-US" w:eastAsia="zh-CN" w:bidi="ar"/>
              </w:rPr>
              <w:t>、除渣</w:t>
            </w:r>
          </w:p>
        </w:tc>
        <w:tc>
          <w:tcPr>
            <w:tcW w:w="256" w:type="pct"/>
            <w:tcBorders>
              <w:tl2br w:val="nil"/>
              <w:tr2bl w:val="nil"/>
            </w:tcBorders>
            <w:shd w:val="clear" w:color="auto" w:fill="auto"/>
            <w:vAlign w:val="center"/>
          </w:tcPr>
          <w:p w14:paraId="17BC7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颗粒物</w:t>
            </w:r>
          </w:p>
        </w:tc>
        <w:tc>
          <w:tcPr>
            <w:tcW w:w="239" w:type="pct"/>
            <w:tcBorders>
              <w:tl2br w:val="nil"/>
              <w:tr2bl w:val="nil"/>
            </w:tcBorders>
            <w:shd w:val="clear" w:color="auto" w:fill="auto"/>
            <w:vAlign w:val="center"/>
          </w:tcPr>
          <w:p w14:paraId="32536F9B">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lang w:val="en-US"/>
              </w:rPr>
            </w:pPr>
            <w:r>
              <w:rPr>
                <w:rFonts w:hint="eastAsia"/>
                <w:color w:val="auto"/>
                <w:sz w:val="20"/>
                <w:szCs w:val="20"/>
                <w:highlight w:val="none"/>
                <w:lang w:val="en-US" w:eastAsia="zh-CN"/>
              </w:rPr>
              <w:t>0.09</w:t>
            </w:r>
          </w:p>
        </w:tc>
        <w:tc>
          <w:tcPr>
            <w:tcW w:w="281" w:type="pct"/>
            <w:tcBorders>
              <w:tl2br w:val="nil"/>
              <w:tr2bl w:val="nil"/>
            </w:tcBorders>
            <w:shd w:val="clear" w:color="auto" w:fill="auto"/>
            <w:vAlign w:val="center"/>
          </w:tcPr>
          <w:p w14:paraId="3821D85E">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rPr>
            </w:pPr>
            <w:r>
              <w:rPr>
                <w:rFonts w:hint="default"/>
                <w:color w:val="auto"/>
                <w:sz w:val="20"/>
                <w:szCs w:val="20"/>
                <w:highlight w:val="none"/>
                <w:lang w:val="en-US" w:eastAsia="zh-CN"/>
              </w:rPr>
              <w:t xml:space="preserve">2.9 </w:t>
            </w:r>
          </w:p>
        </w:tc>
        <w:tc>
          <w:tcPr>
            <w:tcW w:w="258" w:type="pct"/>
            <w:tcBorders>
              <w:tl2br w:val="nil"/>
              <w:tr2bl w:val="nil"/>
            </w:tcBorders>
            <w:shd w:val="clear" w:color="auto" w:fill="auto"/>
            <w:vAlign w:val="center"/>
          </w:tcPr>
          <w:p w14:paraId="77C8B4CC">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lang w:val="en-US"/>
              </w:rPr>
            </w:pPr>
            <w:r>
              <w:rPr>
                <w:rFonts w:hint="default"/>
                <w:color w:val="auto"/>
                <w:sz w:val="20"/>
                <w:szCs w:val="20"/>
                <w:highlight w:val="none"/>
                <w:lang w:val="en-US" w:eastAsia="zh-CN"/>
              </w:rPr>
              <w:t>0.5</w:t>
            </w:r>
            <w:r>
              <w:rPr>
                <w:rFonts w:hint="eastAsia"/>
                <w:color w:val="auto"/>
                <w:sz w:val="20"/>
                <w:szCs w:val="20"/>
                <w:highlight w:val="none"/>
                <w:lang w:val="en-US" w:eastAsia="zh-CN"/>
              </w:rPr>
              <w:t>31</w:t>
            </w:r>
            <w:r>
              <w:rPr>
                <w:rFonts w:hint="default"/>
                <w:color w:val="auto"/>
                <w:sz w:val="20"/>
                <w:szCs w:val="20"/>
                <w:highlight w:val="none"/>
                <w:lang w:val="en-US" w:eastAsia="zh-CN"/>
              </w:rPr>
              <w:t xml:space="preserve"> </w:t>
            </w:r>
          </w:p>
        </w:tc>
        <w:tc>
          <w:tcPr>
            <w:tcW w:w="198" w:type="pct"/>
            <w:vMerge w:val="restart"/>
            <w:tcBorders>
              <w:tl2br w:val="nil"/>
              <w:tr2bl w:val="nil"/>
            </w:tcBorders>
            <w:shd w:val="clear" w:color="auto" w:fill="auto"/>
            <w:vAlign w:val="center"/>
          </w:tcPr>
          <w:p w14:paraId="0D7742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80%</w:t>
            </w:r>
          </w:p>
        </w:tc>
        <w:tc>
          <w:tcPr>
            <w:tcW w:w="669" w:type="pct"/>
            <w:tcBorders>
              <w:tl2br w:val="nil"/>
              <w:tr2bl w:val="nil"/>
            </w:tcBorders>
            <w:shd w:val="clear" w:color="auto" w:fill="auto"/>
            <w:vAlign w:val="center"/>
          </w:tcPr>
          <w:p w14:paraId="7FE76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耐高温袋式除尘器</w:t>
            </w:r>
          </w:p>
        </w:tc>
        <w:tc>
          <w:tcPr>
            <w:tcW w:w="224" w:type="pct"/>
            <w:tcBorders>
              <w:tl2br w:val="nil"/>
              <w:tr2bl w:val="nil"/>
            </w:tcBorders>
            <w:shd w:val="clear" w:color="auto" w:fill="auto"/>
            <w:vAlign w:val="center"/>
          </w:tcPr>
          <w:p w14:paraId="3085F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是</w:t>
            </w:r>
          </w:p>
        </w:tc>
        <w:tc>
          <w:tcPr>
            <w:tcW w:w="322" w:type="pct"/>
            <w:tcBorders>
              <w:tl2br w:val="nil"/>
              <w:tr2bl w:val="nil"/>
            </w:tcBorders>
            <w:shd w:val="clear" w:color="auto" w:fill="auto"/>
            <w:vAlign w:val="center"/>
          </w:tcPr>
          <w:p w14:paraId="5DD8E212">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rPr>
            </w:pPr>
            <w:r>
              <w:rPr>
                <w:rFonts w:hint="default"/>
                <w:color w:val="auto"/>
                <w:sz w:val="20"/>
                <w:szCs w:val="20"/>
                <w:highlight w:val="none"/>
                <w:lang w:val="en-US" w:eastAsia="zh-CN"/>
              </w:rPr>
              <w:t xml:space="preserve">0.004 </w:t>
            </w:r>
          </w:p>
        </w:tc>
        <w:tc>
          <w:tcPr>
            <w:tcW w:w="240" w:type="pct"/>
            <w:tcBorders>
              <w:tl2br w:val="nil"/>
              <w:tr2bl w:val="nil"/>
            </w:tcBorders>
            <w:shd w:val="clear" w:color="auto" w:fill="auto"/>
            <w:vAlign w:val="center"/>
          </w:tcPr>
          <w:p w14:paraId="134AC75B">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rPr>
            </w:pPr>
            <w:r>
              <w:rPr>
                <w:rFonts w:hint="default"/>
                <w:color w:val="auto"/>
                <w:sz w:val="20"/>
                <w:szCs w:val="20"/>
                <w:highlight w:val="none"/>
                <w:lang w:val="en-US" w:eastAsia="zh-CN"/>
              </w:rPr>
              <w:t>0.1</w:t>
            </w:r>
          </w:p>
        </w:tc>
        <w:tc>
          <w:tcPr>
            <w:tcW w:w="241" w:type="pct"/>
            <w:tcBorders>
              <w:tl2br w:val="nil"/>
              <w:tr2bl w:val="nil"/>
            </w:tcBorders>
            <w:shd w:val="clear" w:color="auto" w:fill="auto"/>
            <w:vAlign w:val="center"/>
          </w:tcPr>
          <w:p w14:paraId="572A9AF7">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lang w:val="en-US"/>
              </w:rPr>
            </w:pPr>
            <w:r>
              <w:rPr>
                <w:rFonts w:hint="default"/>
                <w:color w:val="auto"/>
                <w:sz w:val="20"/>
                <w:szCs w:val="20"/>
                <w:highlight w:val="none"/>
                <w:lang w:val="en-US" w:eastAsia="zh-CN"/>
              </w:rPr>
              <w:t>0.02</w:t>
            </w:r>
            <w:r>
              <w:rPr>
                <w:rFonts w:hint="eastAsia"/>
                <w:color w:val="auto"/>
                <w:sz w:val="20"/>
                <w:szCs w:val="20"/>
                <w:highlight w:val="none"/>
                <w:lang w:val="en-US" w:eastAsia="zh-CN"/>
              </w:rPr>
              <w:t>7</w:t>
            </w:r>
          </w:p>
        </w:tc>
        <w:tc>
          <w:tcPr>
            <w:tcW w:w="263" w:type="pct"/>
            <w:tcBorders>
              <w:tl2br w:val="nil"/>
              <w:tr2bl w:val="nil"/>
            </w:tcBorders>
            <w:shd w:val="clear" w:color="auto" w:fill="auto"/>
            <w:vAlign w:val="center"/>
          </w:tcPr>
          <w:p w14:paraId="405495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tl2br w:val="nil"/>
              <w:tr2bl w:val="nil"/>
            </w:tcBorders>
            <w:shd w:val="clear" w:color="auto" w:fill="auto"/>
            <w:vAlign w:val="center"/>
          </w:tcPr>
          <w:p w14:paraId="24C206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30</w:t>
            </w:r>
          </w:p>
        </w:tc>
        <w:tc>
          <w:tcPr>
            <w:tcW w:w="493" w:type="pct"/>
            <w:tcBorders>
              <w:tl2br w:val="nil"/>
              <w:tr2bl w:val="nil"/>
            </w:tcBorders>
            <w:shd w:val="clear" w:color="auto" w:fill="auto"/>
            <w:vAlign w:val="center"/>
          </w:tcPr>
          <w:p w14:paraId="4D114D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GB39726-2020</w:t>
            </w:r>
          </w:p>
        </w:tc>
        <w:tc>
          <w:tcPr>
            <w:tcW w:w="256" w:type="pct"/>
            <w:vMerge w:val="restart"/>
            <w:tcBorders>
              <w:tl2br w:val="nil"/>
              <w:tr2bl w:val="nil"/>
            </w:tcBorders>
            <w:shd w:val="clear" w:color="auto" w:fill="auto"/>
            <w:vAlign w:val="center"/>
          </w:tcPr>
          <w:p w14:paraId="44D83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6000</w:t>
            </w:r>
          </w:p>
        </w:tc>
        <w:tc>
          <w:tcPr>
            <w:tcW w:w="131" w:type="pct"/>
            <w:vMerge w:val="restart"/>
            <w:tcBorders>
              <w:tl2br w:val="nil"/>
              <w:tr2bl w:val="nil"/>
            </w:tcBorders>
            <w:shd w:val="clear" w:color="auto" w:fill="auto"/>
            <w:vAlign w:val="center"/>
          </w:tcPr>
          <w:p w14:paraId="758E0A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连续排放</w:t>
            </w:r>
          </w:p>
        </w:tc>
        <w:tc>
          <w:tcPr>
            <w:tcW w:w="252" w:type="pct"/>
            <w:vMerge w:val="restart"/>
            <w:tcBorders>
              <w:tl2br w:val="nil"/>
              <w:tr2bl w:val="nil"/>
            </w:tcBorders>
            <w:shd w:val="clear" w:color="auto" w:fill="auto"/>
            <w:vAlign w:val="center"/>
          </w:tcPr>
          <w:p w14:paraId="68D77D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cs="Times New Roman"/>
                <w:i w:val="0"/>
                <w:iCs w:val="0"/>
                <w:color w:val="auto"/>
                <w:kern w:val="0"/>
                <w:sz w:val="20"/>
                <w:szCs w:val="20"/>
                <w:highlight w:val="none"/>
                <w:u w:val="none"/>
                <w:lang w:val="en-US" w:eastAsia="zh-CN" w:bidi="ar"/>
              </w:rPr>
              <w:t>DA001</w:t>
            </w:r>
          </w:p>
        </w:tc>
      </w:tr>
      <w:tr w14:paraId="6E210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85" w:hRule="atLeast"/>
        </w:trPr>
        <w:tc>
          <w:tcPr>
            <w:tcW w:w="180" w:type="pct"/>
            <w:vMerge w:val="continue"/>
            <w:tcBorders>
              <w:tl2br w:val="nil"/>
              <w:tr2bl w:val="nil"/>
            </w:tcBorders>
            <w:shd w:val="clear" w:color="auto" w:fill="auto"/>
            <w:vAlign w:val="center"/>
          </w:tcPr>
          <w:p w14:paraId="39717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80" w:type="pct"/>
            <w:vMerge w:val="continue"/>
            <w:tcBorders>
              <w:tl2br w:val="nil"/>
              <w:tr2bl w:val="nil"/>
            </w:tcBorders>
            <w:shd w:val="clear" w:color="auto" w:fill="auto"/>
            <w:vAlign w:val="center"/>
          </w:tcPr>
          <w:p w14:paraId="486F1F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56" w:type="pct"/>
            <w:tcBorders>
              <w:tl2br w:val="nil"/>
              <w:tr2bl w:val="nil"/>
            </w:tcBorders>
            <w:shd w:val="clear" w:color="auto" w:fill="auto"/>
            <w:vAlign w:val="center"/>
          </w:tcPr>
          <w:p w14:paraId="370368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氯化氢</w:t>
            </w:r>
          </w:p>
        </w:tc>
        <w:tc>
          <w:tcPr>
            <w:tcW w:w="239" w:type="pct"/>
            <w:tcBorders>
              <w:tl2br w:val="nil"/>
              <w:tr2bl w:val="nil"/>
            </w:tcBorders>
            <w:shd w:val="clear" w:color="auto" w:fill="auto"/>
            <w:vAlign w:val="center"/>
          </w:tcPr>
          <w:p w14:paraId="2A6A37BD">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0.122</w:t>
            </w:r>
          </w:p>
        </w:tc>
        <w:tc>
          <w:tcPr>
            <w:tcW w:w="281" w:type="pct"/>
            <w:tcBorders>
              <w:tl2br w:val="nil"/>
              <w:tr2bl w:val="nil"/>
            </w:tcBorders>
            <w:shd w:val="clear" w:color="auto" w:fill="auto"/>
            <w:vAlign w:val="center"/>
          </w:tcPr>
          <w:p w14:paraId="1A4964FD">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4.05</w:t>
            </w:r>
          </w:p>
        </w:tc>
        <w:tc>
          <w:tcPr>
            <w:tcW w:w="258" w:type="pct"/>
            <w:tcBorders>
              <w:tl2br w:val="nil"/>
              <w:tr2bl w:val="nil"/>
            </w:tcBorders>
            <w:shd w:val="clear" w:color="auto" w:fill="auto"/>
            <w:vAlign w:val="center"/>
          </w:tcPr>
          <w:p w14:paraId="26D101FE">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0.0456</w:t>
            </w:r>
          </w:p>
        </w:tc>
        <w:tc>
          <w:tcPr>
            <w:tcW w:w="198" w:type="pct"/>
            <w:vMerge w:val="continue"/>
            <w:tcBorders>
              <w:tl2br w:val="nil"/>
              <w:tr2bl w:val="nil"/>
            </w:tcBorders>
            <w:shd w:val="clear" w:color="auto" w:fill="auto"/>
            <w:vAlign w:val="center"/>
          </w:tcPr>
          <w:p w14:paraId="540B49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669" w:type="pct"/>
            <w:tcBorders>
              <w:tl2br w:val="nil"/>
              <w:tr2bl w:val="nil"/>
            </w:tcBorders>
            <w:shd w:val="clear" w:color="auto" w:fill="auto"/>
            <w:vAlign w:val="center"/>
          </w:tcPr>
          <w:p w14:paraId="0DEB3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（产生量较小，收集后高空排放）</w:t>
            </w:r>
          </w:p>
        </w:tc>
        <w:tc>
          <w:tcPr>
            <w:tcW w:w="224" w:type="pct"/>
            <w:tcBorders>
              <w:tl2br w:val="nil"/>
              <w:tr2bl w:val="nil"/>
            </w:tcBorders>
            <w:shd w:val="clear" w:color="auto" w:fill="auto"/>
            <w:vAlign w:val="center"/>
          </w:tcPr>
          <w:p w14:paraId="04BA81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322" w:type="pct"/>
            <w:tcBorders>
              <w:tl2br w:val="nil"/>
              <w:tr2bl w:val="nil"/>
            </w:tcBorders>
            <w:shd w:val="clear" w:color="auto" w:fill="auto"/>
            <w:vAlign w:val="center"/>
          </w:tcPr>
          <w:p w14:paraId="05683B7D">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0.122</w:t>
            </w:r>
          </w:p>
        </w:tc>
        <w:tc>
          <w:tcPr>
            <w:tcW w:w="240" w:type="pct"/>
            <w:tcBorders>
              <w:tl2br w:val="nil"/>
              <w:tr2bl w:val="nil"/>
            </w:tcBorders>
            <w:shd w:val="clear" w:color="auto" w:fill="auto"/>
            <w:vAlign w:val="center"/>
          </w:tcPr>
          <w:p w14:paraId="0E295BDE">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4.05</w:t>
            </w:r>
          </w:p>
        </w:tc>
        <w:tc>
          <w:tcPr>
            <w:tcW w:w="241" w:type="pct"/>
            <w:tcBorders>
              <w:tl2br w:val="nil"/>
              <w:tr2bl w:val="nil"/>
            </w:tcBorders>
            <w:shd w:val="clear" w:color="auto" w:fill="auto"/>
            <w:vAlign w:val="center"/>
          </w:tcPr>
          <w:p w14:paraId="6234947F">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0.0456</w:t>
            </w:r>
          </w:p>
        </w:tc>
        <w:tc>
          <w:tcPr>
            <w:tcW w:w="263" w:type="pct"/>
            <w:tcBorders>
              <w:tl2br w:val="nil"/>
              <w:tr2bl w:val="nil"/>
            </w:tcBorders>
            <w:shd w:val="clear" w:color="auto" w:fill="auto"/>
            <w:vAlign w:val="center"/>
          </w:tcPr>
          <w:p w14:paraId="67D653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0.26</w:t>
            </w:r>
          </w:p>
        </w:tc>
        <w:tc>
          <w:tcPr>
            <w:tcW w:w="306" w:type="pct"/>
            <w:tcBorders>
              <w:tl2br w:val="nil"/>
              <w:tr2bl w:val="nil"/>
            </w:tcBorders>
            <w:shd w:val="clear" w:color="auto" w:fill="auto"/>
            <w:vAlign w:val="center"/>
          </w:tcPr>
          <w:p w14:paraId="6B26DE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100</w:t>
            </w:r>
          </w:p>
        </w:tc>
        <w:tc>
          <w:tcPr>
            <w:tcW w:w="493" w:type="pct"/>
            <w:tcBorders>
              <w:tl2br w:val="nil"/>
              <w:tr2bl w:val="nil"/>
            </w:tcBorders>
            <w:shd w:val="clear" w:color="auto" w:fill="auto"/>
            <w:vAlign w:val="center"/>
          </w:tcPr>
          <w:p w14:paraId="515448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DB 50/418-2016</w:t>
            </w:r>
          </w:p>
        </w:tc>
        <w:tc>
          <w:tcPr>
            <w:tcW w:w="256" w:type="pct"/>
            <w:vMerge w:val="continue"/>
            <w:tcBorders>
              <w:tl2br w:val="nil"/>
              <w:tr2bl w:val="nil"/>
            </w:tcBorders>
            <w:shd w:val="clear" w:color="auto" w:fill="auto"/>
            <w:vAlign w:val="center"/>
          </w:tcPr>
          <w:p w14:paraId="6CB06B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131" w:type="pct"/>
            <w:vMerge w:val="continue"/>
            <w:tcBorders>
              <w:tl2br w:val="nil"/>
              <w:tr2bl w:val="nil"/>
            </w:tcBorders>
            <w:shd w:val="clear" w:color="auto" w:fill="auto"/>
            <w:vAlign w:val="center"/>
          </w:tcPr>
          <w:p w14:paraId="20E7D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52" w:type="pct"/>
            <w:vMerge w:val="continue"/>
            <w:tcBorders>
              <w:tl2br w:val="nil"/>
              <w:tr2bl w:val="nil"/>
            </w:tcBorders>
            <w:shd w:val="clear" w:color="auto" w:fill="auto"/>
            <w:vAlign w:val="center"/>
          </w:tcPr>
          <w:p w14:paraId="57458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4EB3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25" w:hRule="atLeast"/>
        </w:trPr>
        <w:tc>
          <w:tcPr>
            <w:tcW w:w="180" w:type="pct"/>
            <w:tcBorders>
              <w:tl2br w:val="nil"/>
              <w:tr2bl w:val="nil"/>
            </w:tcBorders>
            <w:shd w:val="clear" w:color="auto" w:fill="auto"/>
            <w:vAlign w:val="center"/>
          </w:tcPr>
          <w:p w14:paraId="542D6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抛丸、磨加工</w:t>
            </w:r>
          </w:p>
        </w:tc>
        <w:tc>
          <w:tcPr>
            <w:tcW w:w="180" w:type="pct"/>
            <w:tcBorders>
              <w:tl2br w:val="nil"/>
              <w:tr2bl w:val="nil"/>
            </w:tcBorders>
            <w:shd w:val="clear" w:color="auto" w:fill="auto"/>
            <w:vAlign w:val="center"/>
          </w:tcPr>
          <w:p w14:paraId="51E21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抛丸、磨加工粉尘</w:t>
            </w:r>
          </w:p>
        </w:tc>
        <w:tc>
          <w:tcPr>
            <w:tcW w:w="256" w:type="pct"/>
            <w:tcBorders>
              <w:tl2br w:val="nil"/>
              <w:tr2bl w:val="nil"/>
            </w:tcBorders>
            <w:shd w:val="clear" w:color="auto" w:fill="auto"/>
            <w:vAlign w:val="center"/>
          </w:tcPr>
          <w:p w14:paraId="1AF8E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颗粒物</w:t>
            </w:r>
          </w:p>
        </w:tc>
        <w:tc>
          <w:tcPr>
            <w:tcW w:w="239" w:type="pct"/>
            <w:tcBorders>
              <w:tl2br w:val="nil"/>
              <w:tr2bl w:val="nil"/>
            </w:tcBorders>
            <w:shd w:val="clear" w:color="auto" w:fill="auto"/>
            <w:vAlign w:val="center"/>
          </w:tcPr>
          <w:p w14:paraId="260AB79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olor w:val="auto"/>
                <w:sz w:val="20"/>
                <w:szCs w:val="20"/>
                <w:highlight w:val="none"/>
                <w:lang w:val="en-US" w:eastAsia="zh-CN"/>
              </w:rPr>
              <w:t>2.13</w:t>
            </w:r>
          </w:p>
        </w:tc>
        <w:tc>
          <w:tcPr>
            <w:tcW w:w="281" w:type="pct"/>
            <w:tcBorders>
              <w:tl2br w:val="nil"/>
              <w:tr2bl w:val="nil"/>
            </w:tcBorders>
            <w:shd w:val="clear" w:color="auto" w:fill="auto"/>
            <w:vAlign w:val="center"/>
          </w:tcPr>
          <w:p w14:paraId="053A986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0"/>
                <w:szCs w:val="20"/>
                <w:highlight w:val="none"/>
                <w:lang w:val="en-US" w:eastAsia="zh-CN" w:bidi="ar-SA"/>
              </w:rPr>
            </w:pPr>
            <w:r>
              <w:rPr>
                <w:rFonts w:hint="eastAsia"/>
                <w:color w:val="auto"/>
                <w:sz w:val="20"/>
                <w:szCs w:val="20"/>
                <w:highlight w:val="none"/>
                <w:lang w:val="en-US" w:eastAsia="zh-CN"/>
              </w:rPr>
              <w:t>106.5</w:t>
            </w:r>
          </w:p>
        </w:tc>
        <w:tc>
          <w:tcPr>
            <w:tcW w:w="258" w:type="pct"/>
            <w:tcBorders>
              <w:tl2br w:val="nil"/>
              <w:tr2bl w:val="nil"/>
            </w:tcBorders>
            <w:shd w:val="clear" w:color="auto" w:fill="auto"/>
            <w:vAlign w:val="center"/>
          </w:tcPr>
          <w:p w14:paraId="475E83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0"/>
                <w:szCs w:val="20"/>
                <w:highlight w:val="none"/>
                <w:lang w:val="en-US" w:eastAsia="zh-CN" w:bidi="ar-SA"/>
              </w:rPr>
            </w:pPr>
            <w:r>
              <w:rPr>
                <w:rFonts w:hint="eastAsia" w:cs="Times New Roman"/>
                <w:i w:val="0"/>
                <w:iCs w:val="0"/>
                <w:color w:val="auto"/>
                <w:kern w:val="0"/>
                <w:sz w:val="20"/>
                <w:szCs w:val="20"/>
                <w:highlight w:val="none"/>
                <w:u w:val="none"/>
                <w:lang w:val="en-US" w:eastAsia="zh-CN" w:bidi="ar"/>
              </w:rPr>
              <w:t>4.258</w:t>
            </w:r>
          </w:p>
        </w:tc>
        <w:tc>
          <w:tcPr>
            <w:tcW w:w="198" w:type="pct"/>
            <w:tcBorders>
              <w:tl2br w:val="nil"/>
              <w:tr2bl w:val="nil"/>
            </w:tcBorders>
            <w:shd w:val="clear" w:color="auto" w:fill="auto"/>
            <w:vAlign w:val="center"/>
          </w:tcPr>
          <w:p w14:paraId="721C66B6">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抛丸机</w:t>
            </w:r>
            <w:r>
              <w:rPr>
                <w:rFonts w:hint="eastAsia" w:cs="Times New Roman"/>
                <w:i w:val="0"/>
                <w:iCs w:val="0"/>
                <w:color w:val="auto"/>
                <w:sz w:val="20"/>
                <w:szCs w:val="20"/>
                <w:highlight w:val="none"/>
                <w:u w:val="none"/>
                <w:lang w:val="en-US" w:eastAsia="zh-CN"/>
              </w:rPr>
              <w:t>全密闭</w:t>
            </w:r>
            <w:r>
              <w:rPr>
                <w:rFonts w:hint="eastAsia" w:ascii="Times New Roman" w:hAnsi="Times New Roman" w:eastAsia="宋体" w:cs="Times New Roman"/>
                <w:i w:val="0"/>
                <w:iCs w:val="0"/>
                <w:color w:val="auto"/>
                <w:sz w:val="20"/>
                <w:szCs w:val="20"/>
                <w:highlight w:val="none"/>
                <w:u w:val="none"/>
                <w:lang w:val="en-US" w:eastAsia="zh-CN"/>
              </w:rPr>
              <w:t>95%</w:t>
            </w:r>
          </w:p>
          <w:p w14:paraId="09D7B19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其他：80%</w:t>
            </w:r>
          </w:p>
        </w:tc>
        <w:tc>
          <w:tcPr>
            <w:tcW w:w="669" w:type="pct"/>
            <w:tcBorders>
              <w:tl2br w:val="nil"/>
              <w:tr2bl w:val="nil"/>
            </w:tcBorders>
            <w:shd w:val="clear" w:color="auto" w:fill="auto"/>
            <w:vAlign w:val="center"/>
          </w:tcPr>
          <w:p w14:paraId="315C843F">
            <w:pPr>
              <w:keepNext w:val="0"/>
              <w:keepLines w:val="0"/>
              <w:suppressLineNumbers w:val="0"/>
              <w:spacing w:before="0" w:beforeAutospacing="0" w:after="0" w:afterAutospacing="0"/>
              <w:ind w:left="0" w:right="0"/>
              <w:jc w:val="both"/>
              <w:rPr>
                <w:rFonts w:hint="eastAsia" w:ascii="Times New Roman" w:hAnsi="Times New Roman" w:eastAsia="宋体" w:cs="Times New Roman"/>
                <w:i w:val="0"/>
                <w:iCs w:val="0"/>
                <w:color w:val="auto"/>
                <w:sz w:val="20"/>
                <w:szCs w:val="20"/>
                <w:highlight w:val="none"/>
                <w:u w:val="none"/>
                <w:lang w:eastAsia="zh-CN"/>
              </w:rPr>
            </w:pPr>
            <w:r>
              <w:rPr>
                <w:rFonts w:hint="eastAsia" w:ascii="Times New Roman" w:hAnsi="Times New Roman" w:eastAsia="宋体" w:cs="Times New Roman"/>
                <w:i w:val="0"/>
                <w:iCs w:val="0"/>
                <w:color w:val="auto"/>
                <w:sz w:val="20"/>
                <w:szCs w:val="20"/>
                <w:highlight w:val="none"/>
                <w:u w:val="none"/>
                <w:lang w:eastAsia="zh-CN"/>
              </w:rPr>
              <w:t>4台抛丸机经设备自带的4套“旋风+滤筒”防爆除尘系统处理</w:t>
            </w:r>
            <w:r>
              <w:rPr>
                <w:rFonts w:hint="eastAsia" w:cs="Times New Roman"/>
                <w:i w:val="0"/>
                <w:iCs w:val="0"/>
                <w:color w:val="auto"/>
                <w:sz w:val="20"/>
                <w:szCs w:val="20"/>
                <w:highlight w:val="none"/>
                <w:u w:val="none"/>
                <w:lang w:val="en-US" w:eastAsia="zh-CN"/>
              </w:rPr>
              <w:t>;</w:t>
            </w:r>
            <w:r>
              <w:rPr>
                <w:rFonts w:hint="eastAsia" w:ascii="Times New Roman" w:hAnsi="Times New Roman" w:eastAsia="宋体" w:cs="Times New Roman"/>
                <w:i w:val="0"/>
                <w:iCs w:val="0"/>
                <w:color w:val="auto"/>
                <w:sz w:val="20"/>
                <w:szCs w:val="20"/>
                <w:highlight w:val="none"/>
                <w:u w:val="none"/>
                <w:lang w:eastAsia="zh-CN"/>
              </w:rPr>
              <w:t>一台磨加工设备产生的粉尘经单独的一套防爆袋式除尘系统（编号为1#）处理；其余1台抛丸机、其他磨加工设备产生的粉尘一起进入一套袋式防爆除尘系统（编号为2#）处理</w:t>
            </w:r>
            <w:r>
              <w:rPr>
                <w:rFonts w:hint="eastAsia" w:cs="Times New Roman"/>
                <w:i w:val="0"/>
                <w:iCs w:val="0"/>
                <w:color w:val="auto"/>
                <w:sz w:val="20"/>
                <w:szCs w:val="20"/>
                <w:highlight w:val="none"/>
                <w:u w:val="none"/>
                <w:lang w:eastAsia="zh-CN"/>
              </w:rPr>
              <w:t>。</w:t>
            </w:r>
          </w:p>
        </w:tc>
        <w:tc>
          <w:tcPr>
            <w:tcW w:w="224" w:type="pct"/>
            <w:tcBorders>
              <w:tl2br w:val="nil"/>
              <w:tr2bl w:val="nil"/>
            </w:tcBorders>
            <w:shd w:val="clear" w:color="auto" w:fill="auto"/>
            <w:vAlign w:val="center"/>
          </w:tcPr>
          <w:p w14:paraId="338C544E">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eastAsia="zh-CN"/>
              </w:rPr>
            </w:pPr>
            <w:r>
              <w:rPr>
                <w:rFonts w:hint="eastAsia" w:ascii="Times New Roman" w:hAnsi="Times New Roman" w:eastAsia="宋体" w:cs="Times New Roman"/>
                <w:i w:val="0"/>
                <w:iCs w:val="0"/>
                <w:color w:val="auto"/>
                <w:sz w:val="20"/>
                <w:szCs w:val="20"/>
                <w:highlight w:val="none"/>
                <w:u w:val="none"/>
                <w:lang w:eastAsia="zh-CN"/>
              </w:rPr>
              <w:t>是</w:t>
            </w:r>
          </w:p>
        </w:tc>
        <w:tc>
          <w:tcPr>
            <w:tcW w:w="322" w:type="pct"/>
            <w:tcBorders>
              <w:tl2br w:val="nil"/>
              <w:tr2bl w:val="nil"/>
            </w:tcBorders>
            <w:shd w:val="clear" w:color="auto" w:fill="auto"/>
            <w:vAlign w:val="center"/>
          </w:tcPr>
          <w:p w14:paraId="05E7D7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cs="Times New Roman"/>
                <w:i w:val="0"/>
                <w:iCs w:val="0"/>
                <w:color w:val="auto"/>
                <w:kern w:val="0"/>
                <w:sz w:val="20"/>
                <w:szCs w:val="20"/>
                <w:highlight w:val="none"/>
                <w:u w:val="none"/>
                <w:lang w:val="en-US" w:eastAsia="zh-CN" w:bidi="ar"/>
              </w:rPr>
              <w:t>0.05</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240" w:type="pct"/>
            <w:tcBorders>
              <w:tl2br w:val="nil"/>
              <w:tr2bl w:val="nil"/>
            </w:tcBorders>
            <w:shd w:val="clear" w:color="auto" w:fill="auto"/>
            <w:vAlign w:val="center"/>
          </w:tcPr>
          <w:p w14:paraId="13278A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cs="Times New Roman"/>
                <w:i w:val="0"/>
                <w:iCs w:val="0"/>
                <w:color w:val="auto"/>
                <w:kern w:val="0"/>
                <w:sz w:val="20"/>
                <w:szCs w:val="20"/>
                <w:highlight w:val="none"/>
                <w:u w:val="none"/>
                <w:lang w:val="en-US" w:eastAsia="zh-CN" w:bidi="ar"/>
              </w:rPr>
              <w:t>2.6</w:t>
            </w:r>
          </w:p>
        </w:tc>
        <w:tc>
          <w:tcPr>
            <w:tcW w:w="241" w:type="pct"/>
            <w:tcBorders>
              <w:tl2br w:val="nil"/>
              <w:tr2bl w:val="nil"/>
            </w:tcBorders>
            <w:shd w:val="clear" w:color="auto" w:fill="auto"/>
            <w:vAlign w:val="center"/>
          </w:tcPr>
          <w:p w14:paraId="68C4AF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cs="Times New Roman"/>
                <w:i w:val="0"/>
                <w:iCs w:val="0"/>
                <w:color w:val="auto"/>
                <w:kern w:val="0"/>
                <w:sz w:val="20"/>
                <w:szCs w:val="20"/>
                <w:highlight w:val="none"/>
                <w:u w:val="none"/>
                <w:lang w:val="en-US" w:eastAsia="zh-CN" w:bidi="ar"/>
              </w:rPr>
              <w:t>0.104</w:t>
            </w:r>
          </w:p>
        </w:tc>
        <w:tc>
          <w:tcPr>
            <w:tcW w:w="263" w:type="pct"/>
            <w:tcBorders>
              <w:tl2br w:val="nil"/>
              <w:tr2bl w:val="nil"/>
            </w:tcBorders>
            <w:shd w:val="clear" w:color="auto" w:fill="auto"/>
            <w:vAlign w:val="center"/>
          </w:tcPr>
          <w:p w14:paraId="15A844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tl2br w:val="nil"/>
              <w:tr2bl w:val="nil"/>
            </w:tcBorders>
            <w:shd w:val="clear" w:color="auto" w:fill="auto"/>
            <w:vAlign w:val="center"/>
          </w:tcPr>
          <w:p w14:paraId="271C3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30</w:t>
            </w:r>
          </w:p>
        </w:tc>
        <w:tc>
          <w:tcPr>
            <w:tcW w:w="493" w:type="pct"/>
            <w:tcBorders>
              <w:tl2br w:val="nil"/>
              <w:tr2bl w:val="nil"/>
            </w:tcBorders>
            <w:shd w:val="clear" w:color="auto" w:fill="auto"/>
            <w:vAlign w:val="center"/>
          </w:tcPr>
          <w:p w14:paraId="032D72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GB39726-2020</w:t>
            </w:r>
          </w:p>
        </w:tc>
        <w:tc>
          <w:tcPr>
            <w:tcW w:w="256" w:type="pct"/>
            <w:tcBorders>
              <w:tl2br w:val="nil"/>
              <w:tr2bl w:val="nil"/>
            </w:tcBorders>
            <w:shd w:val="clear" w:color="auto" w:fill="auto"/>
            <w:vAlign w:val="center"/>
          </w:tcPr>
          <w:p w14:paraId="7F7B385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2000</w:t>
            </w:r>
          </w:p>
        </w:tc>
        <w:tc>
          <w:tcPr>
            <w:tcW w:w="131" w:type="pct"/>
            <w:tcBorders>
              <w:tl2br w:val="nil"/>
              <w:tr2bl w:val="nil"/>
            </w:tcBorders>
            <w:shd w:val="clear" w:color="auto" w:fill="auto"/>
            <w:vAlign w:val="center"/>
          </w:tcPr>
          <w:p w14:paraId="6841E6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连续排放</w:t>
            </w:r>
          </w:p>
        </w:tc>
        <w:tc>
          <w:tcPr>
            <w:tcW w:w="252" w:type="pct"/>
            <w:tcBorders>
              <w:tl2br w:val="nil"/>
              <w:tr2bl w:val="nil"/>
            </w:tcBorders>
            <w:shd w:val="clear" w:color="auto" w:fill="auto"/>
            <w:vAlign w:val="center"/>
          </w:tcPr>
          <w:p w14:paraId="4CFBA3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cs="Times New Roman"/>
                <w:i w:val="0"/>
                <w:iCs w:val="0"/>
                <w:color w:val="auto"/>
                <w:kern w:val="0"/>
                <w:sz w:val="20"/>
                <w:szCs w:val="20"/>
                <w:highlight w:val="none"/>
                <w:u w:val="none"/>
                <w:lang w:val="en-US" w:eastAsia="zh-CN" w:bidi="ar"/>
              </w:rPr>
              <w:t>DA003</w:t>
            </w:r>
          </w:p>
        </w:tc>
      </w:tr>
      <w:tr w14:paraId="33E2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25" w:hRule="atLeast"/>
        </w:trPr>
        <w:tc>
          <w:tcPr>
            <w:tcW w:w="180" w:type="pct"/>
            <w:tcBorders>
              <w:tl2br w:val="nil"/>
              <w:tr2bl w:val="nil"/>
            </w:tcBorders>
            <w:shd w:val="clear" w:color="auto" w:fill="auto"/>
            <w:vAlign w:val="center"/>
          </w:tcPr>
          <w:p w14:paraId="19531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浸胶、压铸脱模、热压固化</w:t>
            </w:r>
          </w:p>
        </w:tc>
        <w:tc>
          <w:tcPr>
            <w:tcW w:w="180" w:type="pct"/>
            <w:tcBorders>
              <w:tl2br w:val="nil"/>
              <w:tr2bl w:val="nil"/>
            </w:tcBorders>
            <w:shd w:val="clear" w:color="auto" w:fill="auto"/>
            <w:vAlign w:val="center"/>
          </w:tcPr>
          <w:p w14:paraId="0F80B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浸胶、压铸脱模、热压固化</w:t>
            </w:r>
          </w:p>
        </w:tc>
        <w:tc>
          <w:tcPr>
            <w:tcW w:w="256" w:type="pct"/>
            <w:tcBorders>
              <w:tl2br w:val="nil"/>
              <w:tr2bl w:val="nil"/>
            </w:tcBorders>
            <w:shd w:val="clear" w:color="auto" w:fill="auto"/>
            <w:vAlign w:val="center"/>
          </w:tcPr>
          <w:p w14:paraId="5CFB89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NMHC</w:t>
            </w:r>
          </w:p>
        </w:tc>
        <w:tc>
          <w:tcPr>
            <w:tcW w:w="239" w:type="pct"/>
            <w:tcBorders>
              <w:tl2br w:val="nil"/>
              <w:tr2bl w:val="nil"/>
            </w:tcBorders>
            <w:shd w:val="clear" w:color="auto" w:fill="auto"/>
            <w:vAlign w:val="center"/>
          </w:tcPr>
          <w:p w14:paraId="6A09E0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cs="Times New Roman"/>
                <w:i w:val="0"/>
                <w:iCs w:val="0"/>
                <w:color w:val="auto"/>
                <w:kern w:val="0"/>
                <w:sz w:val="19"/>
                <w:szCs w:val="19"/>
                <w:highlight w:val="none"/>
                <w:u w:val="none"/>
                <w:lang w:val="en-US" w:eastAsia="zh-CN" w:bidi="ar"/>
              </w:rPr>
              <w:t>6.08</w:t>
            </w:r>
          </w:p>
        </w:tc>
        <w:tc>
          <w:tcPr>
            <w:tcW w:w="281" w:type="pct"/>
            <w:tcBorders>
              <w:tl2br w:val="nil"/>
              <w:tr2bl w:val="nil"/>
            </w:tcBorders>
            <w:shd w:val="clear" w:color="auto" w:fill="auto"/>
            <w:vAlign w:val="center"/>
          </w:tcPr>
          <w:p w14:paraId="6F1A32E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121.7 </w:t>
            </w:r>
          </w:p>
        </w:tc>
        <w:tc>
          <w:tcPr>
            <w:tcW w:w="258" w:type="pct"/>
            <w:tcBorders>
              <w:tl2br w:val="nil"/>
              <w:tr2bl w:val="nil"/>
            </w:tcBorders>
            <w:shd w:val="clear" w:color="auto" w:fill="auto"/>
            <w:vAlign w:val="center"/>
          </w:tcPr>
          <w:p w14:paraId="4C2177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19"/>
                <w:szCs w:val="19"/>
                <w:highlight w:val="none"/>
                <w:u w:val="none"/>
                <w:lang w:val="en-US" w:eastAsia="zh-CN" w:bidi="ar"/>
              </w:rPr>
              <w:t xml:space="preserve">12.303 </w:t>
            </w:r>
          </w:p>
        </w:tc>
        <w:tc>
          <w:tcPr>
            <w:tcW w:w="198" w:type="pct"/>
            <w:tcBorders>
              <w:tl2br w:val="nil"/>
              <w:tr2bl w:val="nil"/>
            </w:tcBorders>
            <w:shd w:val="clear" w:color="auto" w:fill="auto"/>
            <w:vAlign w:val="center"/>
          </w:tcPr>
          <w:p w14:paraId="7084F00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80%</w:t>
            </w:r>
          </w:p>
        </w:tc>
        <w:tc>
          <w:tcPr>
            <w:tcW w:w="669" w:type="pct"/>
            <w:tcBorders>
              <w:tl2br w:val="nil"/>
              <w:tr2bl w:val="nil"/>
            </w:tcBorders>
            <w:shd w:val="clear" w:color="auto" w:fill="auto"/>
            <w:vAlign w:val="center"/>
          </w:tcPr>
          <w:p w14:paraId="77901C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压铸脱模产生的有机废气（以非甲烷总烃计）、热压和固化产生的有机废气（以非甲烷总烃计）进入1套“干式过滤+活性炭吸附”处理，浸胶废气（主要成分为乙醇，以非甲烷总烃计）进入一套水喷淋塔处理</w:t>
            </w:r>
          </w:p>
        </w:tc>
        <w:tc>
          <w:tcPr>
            <w:tcW w:w="224" w:type="pct"/>
            <w:tcBorders>
              <w:tl2br w:val="nil"/>
              <w:tr2bl w:val="nil"/>
            </w:tcBorders>
            <w:shd w:val="clear" w:color="auto" w:fill="auto"/>
            <w:vAlign w:val="center"/>
          </w:tcPr>
          <w:p w14:paraId="6B5725D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是</w:t>
            </w:r>
          </w:p>
        </w:tc>
        <w:tc>
          <w:tcPr>
            <w:tcW w:w="322" w:type="pct"/>
            <w:tcBorders>
              <w:tl2br w:val="nil"/>
              <w:tr2bl w:val="nil"/>
            </w:tcBorders>
            <w:shd w:val="clear" w:color="auto" w:fill="auto"/>
            <w:vAlign w:val="center"/>
          </w:tcPr>
          <w:p w14:paraId="7D2B43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r>
              <w:rPr>
                <w:rFonts w:hint="eastAsia" w:cs="Times New Roman"/>
                <w:i w:val="0"/>
                <w:iCs w:val="0"/>
                <w:color w:val="auto"/>
                <w:kern w:val="0"/>
                <w:sz w:val="20"/>
                <w:szCs w:val="20"/>
                <w:highlight w:val="none"/>
                <w:u w:val="none"/>
                <w:lang w:val="en-US" w:eastAsia="zh-CN" w:bidi="ar"/>
              </w:rPr>
              <w:t>.7</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240" w:type="pct"/>
            <w:tcBorders>
              <w:tl2br w:val="nil"/>
              <w:tr2bl w:val="nil"/>
            </w:tcBorders>
            <w:shd w:val="clear" w:color="auto" w:fill="auto"/>
            <w:vAlign w:val="center"/>
          </w:tcPr>
          <w:p w14:paraId="4DD3A4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13.1</w:t>
            </w:r>
            <w:r>
              <w:rPr>
                <w:rFonts w:hint="eastAsia" w:cs="Times New Roman"/>
                <w:i w:val="0"/>
                <w:iCs w:val="0"/>
                <w:color w:val="auto"/>
                <w:kern w:val="0"/>
                <w:sz w:val="20"/>
                <w:szCs w:val="20"/>
                <w:highlight w:val="none"/>
                <w:u w:val="none"/>
                <w:lang w:val="en-US" w:eastAsia="zh-CN" w:bidi="ar"/>
              </w:rPr>
              <w:t>3</w:t>
            </w:r>
          </w:p>
        </w:tc>
        <w:tc>
          <w:tcPr>
            <w:tcW w:w="241" w:type="pct"/>
            <w:tcBorders>
              <w:tl2br w:val="nil"/>
              <w:tr2bl w:val="nil"/>
            </w:tcBorders>
            <w:shd w:val="clear" w:color="auto" w:fill="auto"/>
            <w:vAlign w:val="center"/>
          </w:tcPr>
          <w:p w14:paraId="396897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1.40</w:t>
            </w:r>
            <w:r>
              <w:rPr>
                <w:rFonts w:hint="eastAsia" w:cs="Times New Roman"/>
                <w:i w:val="0"/>
                <w:iCs w:val="0"/>
                <w:color w:val="auto"/>
                <w:kern w:val="0"/>
                <w:sz w:val="20"/>
                <w:szCs w:val="20"/>
                <w:highlight w:val="none"/>
                <w:u w:val="none"/>
                <w:lang w:val="en-US" w:eastAsia="zh-CN" w:bidi="ar"/>
              </w:rPr>
              <w:t>4</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263" w:type="pct"/>
            <w:tcBorders>
              <w:tl2br w:val="nil"/>
              <w:tr2bl w:val="nil"/>
            </w:tcBorders>
            <w:shd w:val="clear" w:color="auto" w:fill="auto"/>
            <w:vAlign w:val="center"/>
          </w:tcPr>
          <w:p w14:paraId="67AF95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w:t>
            </w:r>
          </w:p>
        </w:tc>
        <w:tc>
          <w:tcPr>
            <w:tcW w:w="306" w:type="pct"/>
            <w:tcBorders>
              <w:tl2br w:val="nil"/>
              <w:tr2bl w:val="nil"/>
            </w:tcBorders>
            <w:shd w:val="clear" w:color="auto" w:fill="auto"/>
            <w:vAlign w:val="center"/>
          </w:tcPr>
          <w:p w14:paraId="2F3846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120</w:t>
            </w:r>
          </w:p>
        </w:tc>
        <w:tc>
          <w:tcPr>
            <w:tcW w:w="493" w:type="pct"/>
            <w:tcBorders>
              <w:tl2br w:val="nil"/>
              <w:tr2bl w:val="nil"/>
            </w:tcBorders>
            <w:shd w:val="clear" w:color="auto" w:fill="auto"/>
            <w:vAlign w:val="center"/>
          </w:tcPr>
          <w:p w14:paraId="7A8864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DB50/418-2016</w:t>
            </w:r>
          </w:p>
        </w:tc>
        <w:tc>
          <w:tcPr>
            <w:tcW w:w="256" w:type="pct"/>
            <w:tcBorders>
              <w:tl2br w:val="nil"/>
              <w:tr2bl w:val="nil"/>
            </w:tcBorders>
            <w:shd w:val="clear" w:color="auto" w:fill="auto"/>
            <w:vAlign w:val="center"/>
          </w:tcPr>
          <w:p w14:paraId="6883184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脱模6000，其余2000</w:t>
            </w:r>
          </w:p>
        </w:tc>
        <w:tc>
          <w:tcPr>
            <w:tcW w:w="131" w:type="pct"/>
            <w:tcBorders>
              <w:tl2br w:val="nil"/>
              <w:tr2bl w:val="nil"/>
            </w:tcBorders>
            <w:shd w:val="clear" w:color="auto" w:fill="auto"/>
            <w:vAlign w:val="center"/>
          </w:tcPr>
          <w:p w14:paraId="0E4049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连续排放</w:t>
            </w:r>
          </w:p>
        </w:tc>
        <w:tc>
          <w:tcPr>
            <w:tcW w:w="252" w:type="pct"/>
            <w:tcBorders>
              <w:tl2br w:val="nil"/>
              <w:tr2bl w:val="nil"/>
            </w:tcBorders>
            <w:shd w:val="clear" w:color="auto" w:fill="auto"/>
            <w:vAlign w:val="center"/>
          </w:tcPr>
          <w:p w14:paraId="66E137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cs="Times New Roman"/>
                <w:i w:val="0"/>
                <w:iCs w:val="0"/>
                <w:color w:val="auto"/>
                <w:kern w:val="0"/>
                <w:sz w:val="20"/>
                <w:szCs w:val="20"/>
                <w:highlight w:val="none"/>
                <w:u w:val="none"/>
                <w:lang w:val="en-US" w:eastAsia="zh-CN" w:bidi="ar"/>
              </w:rPr>
              <w:t>DA002</w:t>
            </w:r>
          </w:p>
        </w:tc>
      </w:tr>
      <w:tr w14:paraId="426AF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70" w:hRule="atLeast"/>
        </w:trPr>
        <w:tc>
          <w:tcPr>
            <w:tcW w:w="180" w:type="pct"/>
            <w:vMerge w:val="restart"/>
            <w:tcBorders>
              <w:tl2br w:val="nil"/>
              <w:tr2bl w:val="nil"/>
            </w:tcBorders>
            <w:shd w:val="clear" w:color="auto" w:fill="auto"/>
            <w:vAlign w:val="center"/>
          </w:tcPr>
          <w:p w14:paraId="188F1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搅拌、挤压</w:t>
            </w:r>
          </w:p>
        </w:tc>
        <w:tc>
          <w:tcPr>
            <w:tcW w:w="180" w:type="pct"/>
            <w:vMerge w:val="restart"/>
            <w:tcBorders>
              <w:tl2br w:val="nil"/>
              <w:tr2bl w:val="nil"/>
            </w:tcBorders>
            <w:shd w:val="clear" w:color="auto" w:fill="auto"/>
            <w:vAlign w:val="center"/>
          </w:tcPr>
          <w:p w14:paraId="2321F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搅拌、挤压</w:t>
            </w:r>
          </w:p>
        </w:tc>
        <w:tc>
          <w:tcPr>
            <w:tcW w:w="256" w:type="pct"/>
            <w:tcBorders>
              <w:tl2br w:val="nil"/>
              <w:tr2bl w:val="nil"/>
            </w:tcBorders>
            <w:shd w:val="clear" w:color="auto" w:fill="auto"/>
            <w:vAlign w:val="center"/>
          </w:tcPr>
          <w:p w14:paraId="77FD3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颗粒物</w:t>
            </w:r>
          </w:p>
        </w:tc>
        <w:tc>
          <w:tcPr>
            <w:tcW w:w="239" w:type="pct"/>
            <w:tcBorders>
              <w:tl2br w:val="nil"/>
              <w:tr2bl w:val="nil"/>
            </w:tcBorders>
            <w:shd w:val="clear" w:color="auto" w:fill="auto"/>
            <w:vAlign w:val="center"/>
          </w:tcPr>
          <w:p w14:paraId="2854E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0.01 </w:t>
            </w:r>
          </w:p>
        </w:tc>
        <w:tc>
          <w:tcPr>
            <w:tcW w:w="281" w:type="pct"/>
            <w:tcBorders>
              <w:tl2br w:val="nil"/>
              <w:tr2bl w:val="nil"/>
            </w:tcBorders>
            <w:shd w:val="clear" w:color="auto" w:fill="auto"/>
            <w:vAlign w:val="center"/>
          </w:tcPr>
          <w:p w14:paraId="09F391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928.4 </w:t>
            </w:r>
          </w:p>
        </w:tc>
        <w:tc>
          <w:tcPr>
            <w:tcW w:w="258" w:type="pct"/>
            <w:tcBorders>
              <w:tl2br w:val="nil"/>
              <w:tr2bl w:val="nil"/>
            </w:tcBorders>
            <w:shd w:val="clear" w:color="auto" w:fill="auto"/>
            <w:vAlign w:val="center"/>
          </w:tcPr>
          <w:p w14:paraId="7F3DD4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0.040 </w:t>
            </w:r>
          </w:p>
        </w:tc>
        <w:tc>
          <w:tcPr>
            <w:tcW w:w="198" w:type="pct"/>
            <w:vMerge w:val="restart"/>
            <w:tcBorders>
              <w:tl2br w:val="nil"/>
              <w:tr2bl w:val="nil"/>
            </w:tcBorders>
            <w:shd w:val="clear" w:color="auto" w:fill="auto"/>
            <w:vAlign w:val="center"/>
          </w:tcPr>
          <w:p w14:paraId="4AF76AB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80%</w:t>
            </w:r>
          </w:p>
        </w:tc>
        <w:tc>
          <w:tcPr>
            <w:tcW w:w="669" w:type="pct"/>
            <w:vMerge w:val="restart"/>
            <w:tcBorders>
              <w:tl2br w:val="nil"/>
              <w:tr2bl w:val="nil"/>
            </w:tcBorders>
            <w:shd w:val="clear" w:color="auto" w:fill="auto"/>
            <w:vAlign w:val="center"/>
          </w:tcPr>
          <w:p w14:paraId="3D7FBA39">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sz w:val="20"/>
                <w:szCs w:val="20"/>
                <w:highlight w:val="none"/>
                <w:u w:val="none"/>
              </w:rPr>
              <w:t>滤筒除尘+两级活性炭吸附</w:t>
            </w:r>
          </w:p>
        </w:tc>
        <w:tc>
          <w:tcPr>
            <w:tcW w:w="224" w:type="pct"/>
            <w:tcBorders>
              <w:tl2br w:val="nil"/>
              <w:tr2bl w:val="nil"/>
            </w:tcBorders>
            <w:shd w:val="clear" w:color="auto" w:fill="auto"/>
            <w:vAlign w:val="center"/>
          </w:tcPr>
          <w:p w14:paraId="3D54DB5B">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eastAsia="zh-CN"/>
              </w:rPr>
            </w:pPr>
            <w:r>
              <w:rPr>
                <w:rFonts w:hint="eastAsia" w:ascii="Times New Roman" w:hAnsi="Times New Roman" w:eastAsia="宋体" w:cs="Times New Roman"/>
                <w:i w:val="0"/>
                <w:iCs w:val="0"/>
                <w:color w:val="auto"/>
                <w:sz w:val="20"/>
                <w:szCs w:val="20"/>
                <w:highlight w:val="none"/>
                <w:u w:val="none"/>
                <w:lang w:eastAsia="zh-CN"/>
              </w:rPr>
              <w:t>是</w:t>
            </w:r>
          </w:p>
        </w:tc>
        <w:tc>
          <w:tcPr>
            <w:tcW w:w="322" w:type="pct"/>
            <w:tcBorders>
              <w:tl2br w:val="nil"/>
              <w:tr2bl w:val="nil"/>
            </w:tcBorders>
            <w:shd w:val="clear" w:color="auto" w:fill="auto"/>
            <w:vAlign w:val="center"/>
          </w:tcPr>
          <w:p w14:paraId="2A205087">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rPr>
            </w:pPr>
            <w:r>
              <w:rPr>
                <w:rFonts w:hint="default"/>
                <w:color w:val="auto"/>
                <w:sz w:val="20"/>
                <w:szCs w:val="20"/>
                <w:highlight w:val="none"/>
                <w:lang w:val="en-US" w:eastAsia="zh-CN"/>
              </w:rPr>
              <w:t>7.38E-05</w:t>
            </w:r>
          </w:p>
        </w:tc>
        <w:tc>
          <w:tcPr>
            <w:tcW w:w="240" w:type="pct"/>
            <w:tcBorders>
              <w:tl2br w:val="nil"/>
              <w:tr2bl w:val="nil"/>
            </w:tcBorders>
            <w:shd w:val="clear" w:color="auto" w:fill="auto"/>
            <w:vAlign w:val="center"/>
          </w:tcPr>
          <w:p w14:paraId="22416B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w:t>
            </w:r>
            <w:r>
              <w:rPr>
                <w:rFonts w:hint="eastAsia" w:cs="Times New Roman"/>
                <w:i w:val="0"/>
                <w:iCs w:val="0"/>
                <w:color w:val="auto"/>
                <w:kern w:val="0"/>
                <w:sz w:val="20"/>
                <w:szCs w:val="20"/>
                <w:highlight w:val="none"/>
                <w:u w:val="none"/>
                <w:lang w:val="en-US" w:eastAsia="zh-CN" w:bidi="ar"/>
              </w:rPr>
              <w:t>4</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241" w:type="pct"/>
            <w:tcBorders>
              <w:tl2br w:val="nil"/>
              <w:tr2bl w:val="nil"/>
            </w:tcBorders>
            <w:shd w:val="clear" w:color="auto" w:fill="auto"/>
            <w:vAlign w:val="center"/>
          </w:tcPr>
          <w:p w14:paraId="09125B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0.0002 </w:t>
            </w:r>
          </w:p>
        </w:tc>
        <w:tc>
          <w:tcPr>
            <w:tcW w:w="263" w:type="pct"/>
            <w:tcBorders>
              <w:tl2br w:val="nil"/>
              <w:tr2bl w:val="nil"/>
            </w:tcBorders>
            <w:shd w:val="clear" w:color="auto" w:fill="auto"/>
            <w:vAlign w:val="center"/>
          </w:tcPr>
          <w:p w14:paraId="556953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tl2br w:val="nil"/>
              <w:tr2bl w:val="nil"/>
            </w:tcBorders>
            <w:shd w:val="clear" w:color="auto" w:fill="auto"/>
            <w:vAlign w:val="center"/>
          </w:tcPr>
          <w:p w14:paraId="3378EB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12</w:t>
            </w:r>
          </w:p>
        </w:tc>
        <w:tc>
          <w:tcPr>
            <w:tcW w:w="493" w:type="pct"/>
            <w:vMerge w:val="restart"/>
            <w:tcBorders>
              <w:tl2br w:val="nil"/>
              <w:tr2bl w:val="nil"/>
            </w:tcBorders>
            <w:shd w:val="clear" w:color="auto" w:fill="auto"/>
            <w:vAlign w:val="center"/>
          </w:tcPr>
          <w:p w14:paraId="65B67B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GB27632-2011</w:t>
            </w:r>
          </w:p>
        </w:tc>
        <w:tc>
          <w:tcPr>
            <w:tcW w:w="256" w:type="pct"/>
            <w:vMerge w:val="restart"/>
            <w:tcBorders>
              <w:tl2br w:val="nil"/>
              <w:tr2bl w:val="nil"/>
            </w:tcBorders>
            <w:shd w:val="clear" w:color="auto" w:fill="auto"/>
            <w:vAlign w:val="center"/>
          </w:tcPr>
          <w:p w14:paraId="44E87FB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sz w:val="20"/>
                <w:szCs w:val="20"/>
                <w:highlight w:val="none"/>
                <w:u w:val="none"/>
                <w:lang w:val="en-US" w:eastAsia="zh-CN"/>
              </w:rPr>
              <w:t>2720</w:t>
            </w:r>
          </w:p>
        </w:tc>
        <w:tc>
          <w:tcPr>
            <w:tcW w:w="131" w:type="pct"/>
            <w:vMerge w:val="restart"/>
            <w:tcBorders>
              <w:tl2br w:val="nil"/>
              <w:tr2bl w:val="nil"/>
            </w:tcBorders>
            <w:shd w:val="clear" w:color="auto" w:fill="auto"/>
            <w:vAlign w:val="center"/>
          </w:tcPr>
          <w:p w14:paraId="2BDCF7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连续排放</w:t>
            </w:r>
          </w:p>
        </w:tc>
        <w:tc>
          <w:tcPr>
            <w:tcW w:w="252" w:type="pct"/>
            <w:vMerge w:val="restart"/>
            <w:tcBorders>
              <w:tl2br w:val="nil"/>
              <w:tr2bl w:val="nil"/>
            </w:tcBorders>
            <w:shd w:val="clear" w:color="auto" w:fill="auto"/>
            <w:vAlign w:val="center"/>
          </w:tcPr>
          <w:p w14:paraId="16831A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cs="Times New Roman"/>
                <w:i w:val="0"/>
                <w:iCs w:val="0"/>
                <w:color w:val="auto"/>
                <w:kern w:val="0"/>
                <w:sz w:val="20"/>
                <w:szCs w:val="20"/>
                <w:highlight w:val="none"/>
                <w:u w:val="none"/>
                <w:lang w:val="en-US" w:eastAsia="zh-CN" w:bidi="ar"/>
              </w:rPr>
              <w:t>DA004</w:t>
            </w:r>
          </w:p>
        </w:tc>
      </w:tr>
      <w:tr w14:paraId="5CF8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4" w:hRule="atLeast"/>
        </w:trPr>
        <w:tc>
          <w:tcPr>
            <w:tcW w:w="180" w:type="pct"/>
            <w:vMerge w:val="continue"/>
            <w:tcBorders>
              <w:tl2br w:val="nil"/>
              <w:tr2bl w:val="nil"/>
            </w:tcBorders>
            <w:shd w:val="clear" w:color="auto" w:fill="auto"/>
            <w:vAlign w:val="center"/>
          </w:tcPr>
          <w:p w14:paraId="0CD16E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80" w:type="pct"/>
            <w:vMerge w:val="continue"/>
            <w:tcBorders>
              <w:tl2br w:val="nil"/>
              <w:tr2bl w:val="nil"/>
            </w:tcBorders>
            <w:shd w:val="clear" w:color="auto" w:fill="auto"/>
            <w:vAlign w:val="center"/>
          </w:tcPr>
          <w:p w14:paraId="219946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56" w:type="pct"/>
            <w:tcBorders>
              <w:tl2br w:val="nil"/>
              <w:tr2bl w:val="nil"/>
            </w:tcBorders>
            <w:shd w:val="clear" w:color="auto" w:fill="auto"/>
            <w:vAlign w:val="center"/>
          </w:tcPr>
          <w:p w14:paraId="4F6451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NMHC</w:t>
            </w:r>
          </w:p>
        </w:tc>
        <w:tc>
          <w:tcPr>
            <w:tcW w:w="239" w:type="pct"/>
            <w:tcBorders>
              <w:tl2br w:val="nil"/>
              <w:tr2bl w:val="nil"/>
            </w:tcBorders>
            <w:shd w:val="clear" w:color="auto" w:fill="auto"/>
            <w:vAlign w:val="center"/>
          </w:tcPr>
          <w:p w14:paraId="59BD93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0.00 </w:t>
            </w:r>
          </w:p>
        </w:tc>
        <w:tc>
          <w:tcPr>
            <w:tcW w:w="281" w:type="pct"/>
            <w:tcBorders>
              <w:tl2br w:val="nil"/>
              <w:tr2bl w:val="nil"/>
            </w:tcBorders>
            <w:shd w:val="clear" w:color="auto" w:fill="auto"/>
            <w:vAlign w:val="center"/>
          </w:tcPr>
          <w:p w14:paraId="7069A5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13.</w:t>
            </w:r>
            <w:r>
              <w:rPr>
                <w:rFonts w:hint="eastAsia" w:cs="Times New Roman"/>
                <w:i w:val="0"/>
                <w:iCs w:val="0"/>
                <w:color w:val="auto"/>
                <w:kern w:val="0"/>
                <w:sz w:val="20"/>
                <w:szCs w:val="20"/>
                <w:highlight w:val="none"/>
                <w:u w:val="none"/>
                <w:lang w:val="en-US" w:eastAsia="zh-CN" w:bidi="ar"/>
              </w:rPr>
              <w:t>39</w:t>
            </w:r>
          </w:p>
        </w:tc>
        <w:tc>
          <w:tcPr>
            <w:tcW w:w="258" w:type="pct"/>
            <w:tcBorders>
              <w:tl2br w:val="nil"/>
              <w:tr2bl w:val="nil"/>
            </w:tcBorders>
            <w:shd w:val="clear" w:color="auto" w:fill="auto"/>
            <w:vAlign w:val="center"/>
          </w:tcPr>
          <w:p w14:paraId="4D34C0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0.0006 </w:t>
            </w:r>
          </w:p>
        </w:tc>
        <w:tc>
          <w:tcPr>
            <w:tcW w:w="198" w:type="pct"/>
            <w:vMerge w:val="continue"/>
            <w:tcBorders>
              <w:tl2br w:val="nil"/>
              <w:tr2bl w:val="nil"/>
            </w:tcBorders>
            <w:shd w:val="clear" w:color="auto" w:fill="auto"/>
            <w:vAlign w:val="center"/>
          </w:tcPr>
          <w:p w14:paraId="317C08A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669" w:type="pct"/>
            <w:vMerge w:val="continue"/>
            <w:tcBorders>
              <w:tl2br w:val="nil"/>
              <w:tr2bl w:val="nil"/>
            </w:tcBorders>
            <w:shd w:val="clear" w:color="auto" w:fill="auto"/>
            <w:vAlign w:val="center"/>
          </w:tcPr>
          <w:p w14:paraId="3A7F4D7E">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c>
          <w:tcPr>
            <w:tcW w:w="224" w:type="pct"/>
            <w:tcBorders>
              <w:tl2br w:val="nil"/>
              <w:tr2bl w:val="nil"/>
            </w:tcBorders>
            <w:shd w:val="clear" w:color="auto" w:fill="auto"/>
            <w:vAlign w:val="center"/>
          </w:tcPr>
          <w:p w14:paraId="6CE5F07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eastAsia="zh-CN"/>
              </w:rPr>
            </w:pPr>
            <w:r>
              <w:rPr>
                <w:rFonts w:hint="eastAsia" w:ascii="Times New Roman" w:hAnsi="Times New Roman" w:eastAsia="宋体" w:cs="Times New Roman"/>
                <w:i w:val="0"/>
                <w:iCs w:val="0"/>
                <w:color w:val="auto"/>
                <w:sz w:val="20"/>
                <w:szCs w:val="20"/>
                <w:highlight w:val="none"/>
                <w:u w:val="none"/>
                <w:lang w:eastAsia="zh-CN"/>
              </w:rPr>
              <w:t>是</w:t>
            </w:r>
          </w:p>
        </w:tc>
        <w:tc>
          <w:tcPr>
            <w:tcW w:w="322" w:type="pct"/>
            <w:tcBorders>
              <w:tl2br w:val="nil"/>
              <w:tr2bl w:val="nil"/>
            </w:tcBorders>
            <w:shd w:val="clear" w:color="auto" w:fill="auto"/>
            <w:vAlign w:val="center"/>
          </w:tcPr>
          <w:p w14:paraId="008755E9">
            <w:pPr>
              <w:pStyle w:val="86"/>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i w:val="0"/>
                <w:iCs w:val="0"/>
                <w:color w:val="auto"/>
                <w:sz w:val="20"/>
                <w:szCs w:val="20"/>
                <w:highlight w:val="none"/>
                <w:u w:val="none"/>
              </w:rPr>
            </w:pPr>
            <w:r>
              <w:rPr>
                <w:rFonts w:hint="default"/>
                <w:color w:val="auto"/>
                <w:sz w:val="20"/>
                <w:szCs w:val="20"/>
                <w:highlight w:val="none"/>
                <w:lang w:val="en-US" w:eastAsia="zh-CN"/>
              </w:rPr>
              <w:t>5.32E-05</w:t>
            </w:r>
          </w:p>
        </w:tc>
        <w:tc>
          <w:tcPr>
            <w:tcW w:w="240" w:type="pct"/>
            <w:tcBorders>
              <w:tl2br w:val="nil"/>
              <w:tr2bl w:val="nil"/>
            </w:tcBorders>
            <w:shd w:val="clear" w:color="auto" w:fill="auto"/>
            <w:vAlign w:val="center"/>
          </w:tcPr>
          <w:p w14:paraId="21BC04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3.3</w:t>
            </w:r>
            <w:r>
              <w:rPr>
                <w:rFonts w:hint="eastAsia" w:cs="Times New Roman"/>
                <w:i w:val="0"/>
                <w:iCs w:val="0"/>
                <w:color w:val="auto"/>
                <w:kern w:val="0"/>
                <w:sz w:val="20"/>
                <w:szCs w:val="20"/>
                <w:highlight w:val="none"/>
                <w:u w:val="none"/>
                <w:lang w:val="en-US" w:eastAsia="zh-CN" w:bidi="ar"/>
              </w:rPr>
              <w:t>5</w:t>
            </w:r>
          </w:p>
        </w:tc>
        <w:tc>
          <w:tcPr>
            <w:tcW w:w="241" w:type="pct"/>
            <w:tcBorders>
              <w:tl2br w:val="nil"/>
              <w:tr2bl w:val="nil"/>
            </w:tcBorders>
            <w:shd w:val="clear" w:color="auto" w:fill="auto"/>
            <w:vAlign w:val="center"/>
          </w:tcPr>
          <w:p w14:paraId="3F343B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0.0001 </w:t>
            </w:r>
          </w:p>
        </w:tc>
        <w:tc>
          <w:tcPr>
            <w:tcW w:w="263" w:type="pct"/>
            <w:tcBorders>
              <w:tl2br w:val="nil"/>
              <w:tr2bl w:val="nil"/>
            </w:tcBorders>
            <w:shd w:val="clear" w:color="auto" w:fill="auto"/>
            <w:vAlign w:val="center"/>
          </w:tcPr>
          <w:p w14:paraId="5D7C42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tl2br w:val="nil"/>
              <w:tr2bl w:val="nil"/>
            </w:tcBorders>
            <w:shd w:val="clear" w:color="auto" w:fill="auto"/>
            <w:vAlign w:val="center"/>
          </w:tcPr>
          <w:p w14:paraId="7CE868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w:t>
            </w:r>
          </w:p>
        </w:tc>
        <w:tc>
          <w:tcPr>
            <w:tcW w:w="493" w:type="pct"/>
            <w:vMerge w:val="continue"/>
            <w:tcBorders>
              <w:tl2br w:val="nil"/>
              <w:tr2bl w:val="nil"/>
            </w:tcBorders>
            <w:shd w:val="clear" w:color="auto" w:fill="auto"/>
            <w:vAlign w:val="center"/>
          </w:tcPr>
          <w:p w14:paraId="049123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256" w:type="pct"/>
            <w:vMerge w:val="continue"/>
            <w:tcBorders>
              <w:tl2br w:val="nil"/>
              <w:tr2bl w:val="nil"/>
            </w:tcBorders>
            <w:shd w:val="clear" w:color="auto" w:fill="auto"/>
            <w:vAlign w:val="center"/>
          </w:tcPr>
          <w:p w14:paraId="00D4B346">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c>
          <w:tcPr>
            <w:tcW w:w="131" w:type="pct"/>
            <w:vMerge w:val="continue"/>
            <w:tcBorders>
              <w:tl2br w:val="nil"/>
              <w:tr2bl w:val="nil"/>
            </w:tcBorders>
            <w:shd w:val="clear" w:color="auto" w:fill="auto"/>
            <w:vAlign w:val="center"/>
          </w:tcPr>
          <w:p w14:paraId="500322EC">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c>
          <w:tcPr>
            <w:tcW w:w="252" w:type="pct"/>
            <w:vMerge w:val="continue"/>
            <w:tcBorders>
              <w:tl2br w:val="nil"/>
              <w:tr2bl w:val="nil"/>
            </w:tcBorders>
            <w:shd w:val="clear" w:color="auto" w:fill="auto"/>
            <w:vAlign w:val="center"/>
          </w:tcPr>
          <w:p w14:paraId="79FE82B6">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r>
      <w:tr w14:paraId="7E2A2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71" w:hRule="atLeast"/>
        </w:trPr>
        <w:tc>
          <w:tcPr>
            <w:tcW w:w="180" w:type="pct"/>
            <w:vMerge w:val="continue"/>
            <w:tcBorders>
              <w:tl2br w:val="nil"/>
              <w:tr2bl w:val="nil"/>
            </w:tcBorders>
            <w:shd w:val="clear" w:color="auto" w:fill="auto"/>
            <w:vAlign w:val="center"/>
          </w:tcPr>
          <w:p w14:paraId="6D46F7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80" w:type="pct"/>
            <w:vMerge w:val="continue"/>
            <w:tcBorders>
              <w:tl2br w:val="nil"/>
              <w:tr2bl w:val="nil"/>
            </w:tcBorders>
            <w:shd w:val="clear" w:color="auto" w:fill="auto"/>
            <w:vAlign w:val="center"/>
          </w:tcPr>
          <w:p w14:paraId="4D100B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56" w:type="pct"/>
            <w:tcBorders>
              <w:tl2br w:val="nil"/>
              <w:tr2bl w:val="nil"/>
            </w:tcBorders>
            <w:shd w:val="clear" w:color="auto" w:fill="auto"/>
            <w:vAlign w:val="center"/>
          </w:tcPr>
          <w:p w14:paraId="58883D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臭气浓度</w:t>
            </w:r>
          </w:p>
        </w:tc>
        <w:tc>
          <w:tcPr>
            <w:tcW w:w="239" w:type="pct"/>
            <w:tcBorders>
              <w:tl2br w:val="nil"/>
              <w:tr2bl w:val="nil"/>
            </w:tcBorders>
            <w:shd w:val="clear" w:color="auto" w:fill="auto"/>
            <w:vAlign w:val="center"/>
          </w:tcPr>
          <w:p w14:paraId="26442C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281" w:type="pct"/>
            <w:tcBorders>
              <w:tl2br w:val="nil"/>
              <w:tr2bl w:val="nil"/>
            </w:tcBorders>
            <w:shd w:val="clear" w:color="auto" w:fill="auto"/>
            <w:vAlign w:val="center"/>
          </w:tcPr>
          <w:p w14:paraId="602CA6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258" w:type="pct"/>
            <w:tcBorders>
              <w:tl2br w:val="nil"/>
              <w:tr2bl w:val="nil"/>
            </w:tcBorders>
            <w:shd w:val="clear" w:color="auto" w:fill="auto"/>
            <w:vAlign w:val="center"/>
          </w:tcPr>
          <w:p w14:paraId="7428E1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198" w:type="pct"/>
            <w:vMerge w:val="continue"/>
            <w:tcBorders>
              <w:tl2br w:val="nil"/>
              <w:tr2bl w:val="nil"/>
            </w:tcBorders>
            <w:shd w:val="clear" w:color="auto" w:fill="auto"/>
            <w:vAlign w:val="center"/>
          </w:tcPr>
          <w:p w14:paraId="2A886BD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p>
        </w:tc>
        <w:tc>
          <w:tcPr>
            <w:tcW w:w="669" w:type="pct"/>
            <w:vMerge w:val="continue"/>
            <w:tcBorders>
              <w:tl2br w:val="nil"/>
              <w:tr2bl w:val="nil"/>
            </w:tcBorders>
            <w:shd w:val="clear" w:color="auto" w:fill="auto"/>
            <w:vAlign w:val="center"/>
          </w:tcPr>
          <w:p w14:paraId="556C86E9">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c>
          <w:tcPr>
            <w:tcW w:w="224" w:type="pct"/>
            <w:tcBorders>
              <w:tl2br w:val="nil"/>
              <w:tr2bl w:val="nil"/>
            </w:tcBorders>
            <w:shd w:val="clear" w:color="auto" w:fill="auto"/>
            <w:vAlign w:val="center"/>
          </w:tcPr>
          <w:p w14:paraId="248D1DE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eastAsia="zh-CN"/>
              </w:rPr>
            </w:pPr>
            <w:r>
              <w:rPr>
                <w:rFonts w:hint="eastAsia" w:cs="Times New Roman"/>
                <w:i w:val="0"/>
                <w:iCs w:val="0"/>
                <w:color w:val="auto"/>
                <w:sz w:val="20"/>
                <w:szCs w:val="20"/>
                <w:highlight w:val="none"/>
                <w:u w:val="none"/>
                <w:lang w:eastAsia="zh-CN"/>
              </w:rPr>
              <w:t>是</w:t>
            </w:r>
          </w:p>
        </w:tc>
        <w:tc>
          <w:tcPr>
            <w:tcW w:w="322" w:type="pct"/>
            <w:tcBorders>
              <w:tl2br w:val="nil"/>
              <w:tr2bl w:val="nil"/>
            </w:tcBorders>
            <w:shd w:val="clear" w:color="auto" w:fill="auto"/>
            <w:vAlign w:val="center"/>
          </w:tcPr>
          <w:p w14:paraId="482087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240" w:type="pct"/>
            <w:tcBorders>
              <w:tl2br w:val="nil"/>
              <w:tr2bl w:val="nil"/>
            </w:tcBorders>
            <w:shd w:val="clear" w:color="auto" w:fill="auto"/>
            <w:vAlign w:val="center"/>
          </w:tcPr>
          <w:p w14:paraId="13FEED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241" w:type="pct"/>
            <w:tcBorders>
              <w:tl2br w:val="nil"/>
              <w:tr2bl w:val="nil"/>
            </w:tcBorders>
            <w:shd w:val="clear" w:color="auto" w:fill="auto"/>
            <w:vAlign w:val="center"/>
          </w:tcPr>
          <w:p w14:paraId="0A086F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263" w:type="pct"/>
            <w:tcBorders>
              <w:tl2br w:val="nil"/>
              <w:tr2bl w:val="nil"/>
            </w:tcBorders>
            <w:shd w:val="clear" w:color="auto" w:fill="auto"/>
            <w:vAlign w:val="center"/>
          </w:tcPr>
          <w:p w14:paraId="70B17E0C">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tl2br w:val="nil"/>
              <w:tr2bl w:val="nil"/>
            </w:tcBorders>
            <w:shd w:val="clear" w:color="auto" w:fill="auto"/>
            <w:vAlign w:val="center"/>
          </w:tcPr>
          <w:p w14:paraId="26A2EC2C">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2000(无量纲)</w:t>
            </w:r>
          </w:p>
        </w:tc>
        <w:tc>
          <w:tcPr>
            <w:tcW w:w="493" w:type="pct"/>
            <w:tcBorders>
              <w:tl2br w:val="nil"/>
              <w:tr2bl w:val="nil"/>
            </w:tcBorders>
            <w:shd w:val="clear" w:color="auto" w:fill="auto"/>
            <w:vAlign w:val="center"/>
          </w:tcPr>
          <w:p w14:paraId="132010ED">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default" w:cs="Times New Roman"/>
                <w:i w:val="0"/>
                <w:iCs w:val="0"/>
                <w:color w:val="auto"/>
                <w:kern w:val="0"/>
                <w:sz w:val="20"/>
                <w:szCs w:val="20"/>
                <w:highlight w:val="none"/>
                <w:u w:val="none"/>
                <w:lang w:val="en-US" w:eastAsia="zh-CN" w:bidi="ar"/>
              </w:rPr>
              <w:t>GB14554-93</w:t>
            </w:r>
          </w:p>
        </w:tc>
        <w:tc>
          <w:tcPr>
            <w:tcW w:w="256" w:type="pct"/>
            <w:vMerge w:val="continue"/>
            <w:tcBorders>
              <w:tl2br w:val="nil"/>
              <w:tr2bl w:val="nil"/>
            </w:tcBorders>
            <w:shd w:val="clear" w:color="auto" w:fill="auto"/>
            <w:vAlign w:val="center"/>
          </w:tcPr>
          <w:p w14:paraId="633E9B66">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c>
          <w:tcPr>
            <w:tcW w:w="131" w:type="pct"/>
            <w:vMerge w:val="continue"/>
            <w:tcBorders>
              <w:tl2br w:val="nil"/>
              <w:tr2bl w:val="nil"/>
            </w:tcBorders>
            <w:shd w:val="clear" w:color="auto" w:fill="auto"/>
            <w:vAlign w:val="center"/>
          </w:tcPr>
          <w:p w14:paraId="2C49311F">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c>
          <w:tcPr>
            <w:tcW w:w="252" w:type="pct"/>
            <w:vMerge w:val="continue"/>
            <w:tcBorders>
              <w:tl2br w:val="nil"/>
              <w:tr2bl w:val="nil"/>
            </w:tcBorders>
            <w:shd w:val="clear" w:color="auto" w:fill="auto"/>
            <w:vAlign w:val="center"/>
          </w:tcPr>
          <w:p w14:paraId="52B92FA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0"/>
                <w:szCs w:val="20"/>
                <w:highlight w:val="none"/>
                <w:u w:val="none"/>
              </w:rPr>
            </w:pPr>
          </w:p>
        </w:tc>
      </w:tr>
      <w:tr w14:paraId="050D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00" w:hRule="atLeast"/>
        </w:trPr>
        <w:tc>
          <w:tcPr>
            <w:tcW w:w="361" w:type="pct"/>
            <w:gridSpan w:val="2"/>
            <w:vMerge w:val="restart"/>
            <w:tcBorders>
              <w:tl2br w:val="nil"/>
              <w:tr2bl w:val="nil"/>
            </w:tcBorders>
            <w:shd w:val="clear" w:color="auto" w:fill="auto"/>
            <w:vAlign w:val="center"/>
          </w:tcPr>
          <w:p w14:paraId="547499B7">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危废贮存库废气</w:t>
            </w:r>
          </w:p>
        </w:tc>
        <w:tc>
          <w:tcPr>
            <w:tcW w:w="256" w:type="pct"/>
            <w:tcBorders>
              <w:bottom w:val="single" w:color="auto" w:sz="4" w:space="0"/>
              <w:tl2br w:val="nil"/>
              <w:tr2bl w:val="nil"/>
            </w:tcBorders>
            <w:shd w:val="clear" w:color="auto" w:fill="auto"/>
            <w:vAlign w:val="center"/>
          </w:tcPr>
          <w:p w14:paraId="0A782C7C">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颗粒物</w:t>
            </w:r>
          </w:p>
        </w:tc>
        <w:tc>
          <w:tcPr>
            <w:tcW w:w="239" w:type="pct"/>
            <w:tcBorders>
              <w:bottom w:val="single" w:color="auto" w:sz="4" w:space="0"/>
              <w:tl2br w:val="nil"/>
              <w:tr2bl w:val="nil"/>
            </w:tcBorders>
            <w:shd w:val="clear" w:color="auto" w:fill="auto"/>
            <w:vAlign w:val="center"/>
          </w:tcPr>
          <w:p w14:paraId="28AEF86E">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281" w:type="pct"/>
            <w:tcBorders>
              <w:bottom w:val="single" w:color="auto" w:sz="4" w:space="0"/>
              <w:tl2br w:val="nil"/>
              <w:tr2bl w:val="nil"/>
            </w:tcBorders>
            <w:shd w:val="clear" w:color="auto" w:fill="auto"/>
            <w:vAlign w:val="center"/>
          </w:tcPr>
          <w:p w14:paraId="41764F63">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258" w:type="pct"/>
            <w:tcBorders>
              <w:bottom w:val="single" w:color="auto" w:sz="4" w:space="0"/>
              <w:tl2br w:val="nil"/>
              <w:tr2bl w:val="nil"/>
            </w:tcBorders>
            <w:shd w:val="clear" w:color="auto" w:fill="auto"/>
            <w:vAlign w:val="center"/>
          </w:tcPr>
          <w:p w14:paraId="0929AA70">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少量</w:t>
            </w:r>
          </w:p>
        </w:tc>
        <w:tc>
          <w:tcPr>
            <w:tcW w:w="198" w:type="pct"/>
            <w:vMerge w:val="restart"/>
            <w:tcBorders>
              <w:tl2br w:val="nil"/>
              <w:tr2bl w:val="nil"/>
            </w:tcBorders>
            <w:shd w:val="clear" w:color="auto" w:fill="auto"/>
            <w:vAlign w:val="center"/>
          </w:tcPr>
          <w:p w14:paraId="175BFC0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90%</w:t>
            </w:r>
          </w:p>
        </w:tc>
        <w:tc>
          <w:tcPr>
            <w:tcW w:w="669" w:type="pct"/>
            <w:vMerge w:val="restart"/>
            <w:tcBorders>
              <w:tl2br w:val="nil"/>
              <w:tr2bl w:val="nil"/>
            </w:tcBorders>
            <w:shd w:val="clear" w:color="auto" w:fill="auto"/>
            <w:vAlign w:val="center"/>
          </w:tcPr>
          <w:p w14:paraId="165AD92B">
            <w:pPr>
              <w:keepNext w:val="0"/>
              <w:keepLines w:val="0"/>
              <w:suppressLineNumbers w:val="0"/>
              <w:spacing w:before="0" w:beforeAutospacing="0" w:after="0" w:afterAutospacing="0"/>
              <w:ind w:left="0" w:right="0"/>
              <w:jc w:val="center"/>
              <w:rPr>
                <w:rFonts w:hint="eastAsia"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G4板式过滤器+两级活性炭</w:t>
            </w:r>
          </w:p>
        </w:tc>
        <w:tc>
          <w:tcPr>
            <w:tcW w:w="224" w:type="pct"/>
            <w:tcBorders>
              <w:bottom w:val="single" w:color="auto" w:sz="4" w:space="0"/>
              <w:tl2br w:val="nil"/>
              <w:tr2bl w:val="nil"/>
            </w:tcBorders>
            <w:shd w:val="clear" w:color="auto" w:fill="auto"/>
            <w:vAlign w:val="center"/>
          </w:tcPr>
          <w:p w14:paraId="03DDF5AF">
            <w:pPr>
              <w:keepNext w:val="0"/>
              <w:keepLines w:val="0"/>
              <w:suppressLineNumbers w:val="0"/>
              <w:spacing w:before="0" w:beforeAutospacing="0" w:after="0" w:afterAutospacing="0"/>
              <w:ind w:left="0" w:right="0"/>
              <w:jc w:val="center"/>
              <w:rPr>
                <w:rFonts w:hint="default"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是</w:t>
            </w:r>
          </w:p>
        </w:tc>
        <w:tc>
          <w:tcPr>
            <w:tcW w:w="1025" w:type="dxa"/>
            <w:tcBorders>
              <w:bottom w:val="single" w:color="auto" w:sz="4" w:space="0"/>
              <w:tl2br w:val="nil"/>
              <w:tr2bl w:val="nil"/>
            </w:tcBorders>
            <w:shd w:val="clear" w:color="auto" w:fill="auto"/>
            <w:vAlign w:val="center"/>
          </w:tcPr>
          <w:p w14:paraId="4861335C">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765" w:type="dxa"/>
            <w:tcBorders>
              <w:bottom w:val="single" w:color="auto" w:sz="4" w:space="0"/>
              <w:tl2br w:val="nil"/>
              <w:tr2bl w:val="nil"/>
            </w:tcBorders>
            <w:shd w:val="clear" w:color="auto" w:fill="auto"/>
            <w:vAlign w:val="center"/>
          </w:tcPr>
          <w:p w14:paraId="0C591582">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770" w:type="dxa"/>
            <w:tcBorders>
              <w:bottom w:val="single" w:color="auto" w:sz="4" w:space="0"/>
              <w:tl2br w:val="nil"/>
              <w:tr2bl w:val="nil"/>
            </w:tcBorders>
            <w:shd w:val="clear" w:color="auto" w:fill="auto"/>
            <w:vAlign w:val="center"/>
          </w:tcPr>
          <w:p w14:paraId="74D58CA1">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少量</w:t>
            </w:r>
          </w:p>
        </w:tc>
        <w:tc>
          <w:tcPr>
            <w:tcW w:w="263" w:type="pct"/>
            <w:tcBorders>
              <w:bottom w:val="single" w:color="auto" w:sz="4" w:space="0"/>
              <w:tl2br w:val="nil"/>
              <w:tr2bl w:val="nil"/>
            </w:tcBorders>
            <w:shd w:val="clear" w:color="auto" w:fill="auto"/>
            <w:vAlign w:val="center"/>
          </w:tcPr>
          <w:p w14:paraId="02CA92DA">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3.5</w:t>
            </w:r>
          </w:p>
        </w:tc>
        <w:tc>
          <w:tcPr>
            <w:tcW w:w="306" w:type="pct"/>
            <w:tcBorders>
              <w:bottom w:val="single" w:color="auto" w:sz="4" w:space="0"/>
              <w:tl2br w:val="nil"/>
              <w:tr2bl w:val="nil"/>
            </w:tcBorders>
            <w:shd w:val="clear" w:color="auto" w:fill="auto"/>
            <w:vAlign w:val="center"/>
          </w:tcPr>
          <w:p w14:paraId="366FD5CD">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120</w:t>
            </w:r>
          </w:p>
        </w:tc>
        <w:tc>
          <w:tcPr>
            <w:tcW w:w="493" w:type="pct"/>
            <w:vMerge w:val="restart"/>
            <w:tcBorders>
              <w:tl2br w:val="nil"/>
              <w:tr2bl w:val="nil"/>
            </w:tcBorders>
            <w:shd w:val="clear" w:color="auto" w:fill="auto"/>
            <w:vAlign w:val="center"/>
          </w:tcPr>
          <w:p w14:paraId="6B6A9B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DB 50/418-2016</w:t>
            </w:r>
          </w:p>
        </w:tc>
        <w:tc>
          <w:tcPr>
            <w:tcW w:w="256" w:type="pct"/>
            <w:vMerge w:val="restart"/>
            <w:tcBorders>
              <w:tl2br w:val="nil"/>
              <w:tr2bl w:val="nil"/>
            </w:tcBorders>
            <w:shd w:val="clear" w:color="auto" w:fill="auto"/>
            <w:vAlign w:val="center"/>
          </w:tcPr>
          <w:p w14:paraId="51243620">
            <w:pPr>
              <w:keepNext w:val="0"/>
              <w:keepLines w:val="0"/>
              <w:suppressLineNumbers w:val="0"/>
              <w:spacing w:before="0" w:beforeAutospacing="0" w:after="0" w:afterAutospacing="0"/>
              <w:ind w:left="0" w:right="0"/>
              <w:jc w:val="center"/>
              <w:rPr>
                <w:rFonts w:hint="default"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6000</w:t>
            </w:r>
          </w:p>
        </w:tc>
        <w:tc>
          <w:tcPr>
            <w:tcW w:w="131" w:type="pct"/>
            <w:vMerge w:val="restart"/>
            <w:tcBorders>
              <w:tl2br w:val="nil"/>
              <w:tr2bl w:val="nil"/>
            </w:tcBorders>
            <w:shd w:val="clear" w:color="auto" w:fill="auto"/>
            <w:vAlign w:val="center"/>
          </w:tcPr>
          <w:p w14:paraId="16D79350">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r>
              <w:rPr>
                <w:rFonts w:hint="default" w:ascii="Times New Roman" w:hAnsi="Times New Roman" w:eastAsia="宋体" w:cs="Times New Roman"/>
                <w:i w:val="0"/>
                <w:iCs w:val="0"/>
                <w:color w:val="auto"/>
                <w:kern w:val="0"/>
                <w:sz w:val="20"/>
                <w:szCs w:val="20"/>
                <w:highlight w:val="none"/>
                <w:u w:val="none"/>
                <w:lang w:val="en-US" w:eastAsia="zh-CN" w:bidi="ar"/>
              </w:rPr>
              <w:t>连续排放</w:t>
            </w:r>
          </w:p>
        </w:tc>
        <w:tc>
          <w:tcPr>
            <w:tcW w:w="252" w:type="pct"/>
            <w:vMerge w:val="restart"/>
            <w:tcBorders>
              <w:tl2br w:val="nil"/>
              <w:tr2bl w:val="nil"/>
            </w:tcBorders>
            <w:shd w:val="clear" w:color="auto" w:fill="auto"/>
            <w:vAlign w:val="center"/>
          </w:tcPr>
          <w:p w14:paraId="5BF17871">
            <w:pPr>
              <w:keepNext w:val="0"/>
              <w:keepLines w:val="0"/>
              <w:suppressLineNumbers w:val="0"/>
              <w:spacing w:before="0" w:beforeAutospacing="0" w:after="0" w:afterAutospacing="0"/>
              <w:ind w:left="0" w:right="0"/>
              <w:jc w:val="center"/>
              <w:rPr>
                <w:rFonts w:hint="default"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DA005</w:t>
            </w:r>
          </w:p>
        </w:tc>
      </w:tr>
      <w:tr w14:paraId="2310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23" w:hRule="atLeast"/>
        </w:trPr>
        <w:tc>
          <w:tcPr>
            <w:tcW w:w="361" w:type="pct"/>
            <w:gridSpan w:val="2"/>
            <w:vMerge w:val="continue"/>
            <w:tcBorders>
              <w:tl2br w:val="nil"/>
              <w:tr2bl w:val="nil"/>
            </w:tcBorders>
            <w:shd w:val="clear" w:color="auto" w:fill="auto"/>
            <w:vAlign w:val="center"/>
          </w:tcPr>
          <w:p w14:paraId="175CF37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56" w:type="pct"/>
            <w:tcBorders>
              <w:top w:val="single" w:color="auto" w:sz="4" w:space="0"/>
              <w:bottom w:val="single" w:color="auto" w:sz="4" w:space="0"/>
              <w:tl2br w:val="nil"/>
              <w:tr2bl w:val="nil"/>
            </w:tcBorders>
            <w:shd w:val="clear" w:color="auto" w:fill="auto"/>
            <w:vAlign w:val="center"/>
          </w:tcPr>
          <w:p w14:paraId="187E9F98">
            <w:pPr>
              <w:keepNext w:val="0"/>
              <w:keepLines w:val="0"/>
              <w:widowControl/>
              <w:suppressLineNumbers w:val="0"/>
              <w:spacing w:before="0" w:beforeAutospacing="0" w:after="0" w:afterAutospacing="0"/>
              <w:ind w:left="0" w:right="0"/>
              <w:jc w:val="center"/>
              <w:textAlignment w:val="center"/>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非甲烷总烃</w:t>
            </w:r>
          </w:p>
        </w:tc>
        <w:tc>
          <w:tcPr>
            <w:tcW w:w="239" w:type="pct"/>
            <w:tcBorders>
              <w:top w:val="single" w:color="auto" w:sz="4" w:space="0"/>
              <w:bottom w:val="single" w:color="auto" w:sz="4" w:space="0"/>
              <w:tl2br w:val="nil"/>
              <w:tr2bl w:val="nil"/>
            </w:tcBorders>
            <w:shd w:val="clear" w:color="auto" w:fill="auto"/>
            <w:vAlign w:val="center"/>
          </w:tcPr>
          <w:p w14:paraId="3F29FA9B">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281" w:type="pct"/>
            <w:tcBorders>
              <w:top w:val="single" w:color="auto" w:sz="4" w:space="0"/>
              <w:bottom w:val="single" w:color="auto" w:sz="4" w:space="0"/>
              <w:tl2br w:val="nil"/>
              <w:tr2bl w:val="nil"/>
            </w:tcBorders>
            <w:shd w:val="clear" w:color="auto" w:fill="auto"/>
            <w:vAlign w:val="center"/>
          </w:tcPr>
          <w:p w14:paraId="317BBE96">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258" w:type="pct"/>
            <w:tcBorders>
              <w:top w:val="single" w:color="auto" w:sz="4" w:space="0"/>
              <w:bottom w:val="single" w:color="auto" w:sz="4" w:space="0"/>
              <w:tl2br w:val="nil"/>
              <w:tr2bl w:val="nil"/>
            </w:tcBorders>
            <w:shd w:val="clear" w:color="auto" w:fill="auto"/>
            <w:vAlign w:val="center"/>
          </w:tcPr>
          <w:p w14:paraId="09920EFE">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少量</w:t>
            </w:r>
          </w:p>
        </w:tc>
        <w:tc>
          <w:tcPr>
            <w:tcW w:w="198" w:type="pct"/>
            <w:vMerge w:val="continue"/>
            <w:tcBorders>
              <w:tl2br w:val="nil"/>
              <w:tr2bl w:val="nil"/>
            </w:tcBorders>
            <w:shd w:val="clear" w:color="auto" w:fill="auto"/>
            <w:vAlign w:val="center"/>
          </w:tcPr>
          <w:p w14:paraId="74338BF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p>
        </w:tc>
        <w:tc>
          <w:tcPr>
            <w:tcW w:w="669" w:type="pct"/>
            <w:vMerge w:val="continue"/>
            <w:tcBorders>
              <w:tl2br w:val="nil"/>
              <w:tr2bl w:val="nil"/>
            </w:tcBorders>
            <w:shd w:val="clear" w:color="auto" w:fill="auto"/>
            <w:vAlign w:val="center"/>
          </w:tcPr>
          <w:p w14:paraId="4199C081">
            <w:pPr>
              <w:keepNext w:val="0"/>
              <w:keepLines w:val="0"/>
              <w:suppressLineNumbers w:val="0"/>
              <w:spacing w:before="0" w:beforeAutospacing="0" w:after="0" w:afterAutospacing="0"/>
              <w:ind w:left="0" w:right="0"/>
              <w:jc w:val="center"/>
              <w:rPr>
                <w:rFonts w:hint="eastAsia" w:cs="Times New Roman"/>
                <w:i w:val="0"/>
                <w:iCs w:val="0"/>
                <w:color w:val="auto"/>
                <w:sz w:val="20"/>
                <w:szCs w:val="20"/>
                <w:highlight w:val="none"/>
                <w:u w:val="none"/>
                <w:lang w:val="en-US" w:eastAsia="zh-CN"/>
              </w:rPr>
            </w:pPr>
          </w:p>
        </w:tc>
        <w:tc>
          <w:tcPr>
            <w:tcW w:w="224" w:type="pct"/>
            <w:tcBorders>
              <w:top w:val="single" w:color="auto" w:sz="4" w:space="0"/>
              <w:bottom w:val="single" w:color="auto" w:sz="4" w:space="0"/>
              <w:tl2br w:val="nil"/>
              <w:tr2bl w:val="nil"/>
            </w:tcBorders>
            <w:shd w:val="clear" w:color="auto" w:fill="auto"/>
            <w:vAlign w:val="center"/>
          </w:tcPr>
          <w:p w14:paraId="2846D7AB">
            <w:pPr>
              <w:keepNext w:val="0"/>
              <w:keepLines w:val="0"/>
              <w:suppressLineNumbers w:val="0"/>
              <w:spacing w:before="0" w:beforeAutospacing="0" w:after="0" w:afterAutospacing="0"/>
              <w:ind w:left="0" w:right="0"/>
              <w:jc w:val="center"/>
              <w:rPr>
                <w:rFonts w:hint="default"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是</w:t>
            </w:r>
          </w:p>
        </w:tc>
        <w:tc>
          <w:tcPr>
            <w:tcW w:w="1025" w:type="dxa"/>
            <w:tcBorders>
              <w:top w:val="single" w:color="auto" w:sz="4" w:space="0"/>
              <w:bottom w:val="single" w:color="auto" w:sz="4" w:space="0"/>
              <w:tl2br w:val="nil"/>
              <w:tr2bl w:val="nil"/>
            </w:tcBorders>
            <w:shd w:val="clear" w:color="auto" w:fill="auto"/>
            <w:vAlign w:val="center"/>
          </w:tcPr>
          <w:p w14:paraId="2D55EBAA">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765" w:type="dxa"/>
            <w:tcBorders>
              <w:top w:val="single" w:color="auto" w:sz="4" w:space="0"/>
              <w:bottom w:val="single" w:color="auto" w:sz="4" w:space="0"/>
              <w:tl2br w:val="nil"/>
              <w:tr2bl w:val="nil"/>
            </w:tcBorders>
            <w:shd w:val="clear" w:color="auto" w:fill="auto"/>
            <w:vAlign w:val="center"/>
          </w:tcPr>
          <w:p w14:paraId="173D9672">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sz w:val="20"/>
                <w:szCs w:val="20"/>
                <w:highlight w:val="none"/>
                <w:u w:val="none"/>
                <w:lang w:val="en-US" w:eastAsia="zh-CN"/>
              </w:rPr>
            </w:pPr>
            <w:r>
              <w:rPr>
                <w:rFonts w:hint="eastAsia" w:cs="Times New Roman"/>
                <w:i w:val="0"/>
                <w:iCs w:val="0"/>
                <w:color w:val="auto"/>
                <w:kern w:val="0"/>
                <w:sz w:val="20"/>
                <w:szCs w:val="20"/>
                <w:highlight w:val="none"/>
                <w:u w:val="none"/>
                <w:lang w:val="en-US" w:eastAsia="zh-CN" w:bidi="ar"/>
              </w:rPr>
              <w:t>/</w:t>
            </w:r>
          </w:p>
        </w:tc>
        <w:tc>
          <w:tcPr>
            <w:tcW w:w="770" w:type="dxa"/>
            <w:tcBorders>
              <w:top w:val="single" w:color="auto" w:sz="4" w:space="0"/>
              <w:bottom w:val="single" w:color="auto" w:sz="4" w:space="0"/>
              <w:tl2br w:val="nil"/>
              <w:tr2bl w:val="nil"/>
            </w:tcBorders>
            <w:shd w:val="clear" w:color="auto" w:fill="auto"/>
            <w:vAlign w:val="center"/>
          </w:tcPr>
          <w:p w14:paraId="2E3B1F36">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少量</w:t>
            </w:r>
          </w:p>
        </w:tc>
        <w:tc>
          <w:tcPr>
            <w:tcW w:w="263" w:type="pct"/>
            <w:tcBorders>
              <w:top w:val="single" w:color="auto" w:sz="4" w:space="0"/>
              <w:bottom w:val="single" w:color="auto" w:sz="4" w:space="0"/>
              <w:tl2br w:val="nil"/>
              <w:tr2bl w:val="nil"/>
            </w:tcBorders>
            <w:shd w:val="clear" w:color="auto" w:fill="auto"/>
            <w:vAlign w:val="center"/>
          </w:tcPr>
          <w:p w14:paraId="0A84EE5B">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w:t>
            </w:r>
          </w:p>
        </w:tc>
        <w:tc>
          <w:tcPr>
            <w:tcW w:w="306" w:type="pct"/>
            <w:tcBorders>
              <w:top w:val="single" w:color="auto" w:sz="4" w:space="0"/>
              <w:bottom w:val="single" w:color="auto" w:sz="4" w:space="0"/>
              <w:tl2br w:val="nil"/>
              <w:tr2bl w:val="nil"/>
            </w:tcBorders>
            <w:shd w:val="clear" w:color="auto" w:fill="auto"/>
            <w:vAlign w:val="center"/>
          </w:tcPr>
          <w:p w14:paraId="68A22EFE">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120</w:t>
            </w:r>
          </w:p>
        </w:tc>
        <w:tc>
          <w:tcPr>
            <w:tcW w:w="493" w:type="pct"/>
            <w:vMerge w:val="continue"/>
            <w:tcBorders>
              <w:tl2br w:val="nil"/>
              <w:tr2bl w:val="nil"/>
            </w:tcBorders>
            <w:shd w:val="clear" w:color="auto" w:fill="auto"/>
            <w:vAlign w:val="center"/>
          </w:tcPr>
          <w:p w14:paraId="33C11A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256" w:type="pct"/>
            <w:vMerge w:val="continue"/>
            <w:tcBorders>
              <w:tl2br w:val="nil"/>
              <w:tr2bl w:val="nil"/>
            </w:tcBorders>
            <w:shd w:val="clear" w:color="auto" w:fill="auto"/>
            <w:vAlign w:val="center"/>
          </w:tcPr>
          <w:p w14:paraId="55BA9E52">
            <w:pPr>
              <w:keepNext w:val="0"/>
              <w:keepLines w:val="0"/>
              <w:suppressLineNumbers w:val="0"/>
              <w:spacing w:before="0" w:beforeAutospacing="0" w:after="0" w:afterAutospacing="0"/>
              <w:ind w:left="0" w:right="0"/>
              <w:jc w:val="center"/>
              <w:rPr>
                <w:rFonts w:hint="eastAsia" w:cs="Times New Roman"/>
                <w:i w:val="0"/>
                <w:iCs w:val="0"/>
                <w:color w:val="auto"/>
                <w:sz w:val="20"/>
                <w:szCs w:val="20"/>
                <w:highlight w:val="none"/>
                <w:u w:val="none"/>
                <w:lang w:val="en-US" w:eastAsia="zh-CN"/>
              </w:rPr>
            </w:pPr>
          </w:p>
        </w:tc>
        <w:tc>
          <w:tcPr>
            <w:tcW w:w="131" w:type="pct"/>
            <w:vMerge w:val="continue"/>
            <w:tcBorders>
              <w:tl2br w:val="nil"/>
              <w:tr2bl w:val="nil"/>
            </w:tcBorders>
            <w:shd w:val="clear" w:color="auto" w:fill="auto"/>
            <w:vAlign w:val="center"/>
          </w:tcPr>
          <w:p w14:paraId="54CAA32E">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c>
          <w:tcPr>
            <w:tcW w:w="252" w:type="pct"/>
            <w:vMerge w:val="continue"/>
            <w:tcBorders>
              <w:tl2br w:val="nil"/>
              <w:tr2bl w:val="nil"/>
            </w:tcBorders>
            <w:shd w:val="clear" w:color="auto" w:fill="auto"/>
            <w:vAlign w:val="center"/>
          </w:tcPr>
          <w:p w14:paraId="4B384923">
            <w:pPr>
              <w:keepNext w:val="0"/>
              <w:keepLines w:val="0"/>
              <w:suppressLineNumbers w:val="0"/>
              <w:spacing w:before="0" w:beforeAutospacing="0" w:after="0" w:afterAutospacing="0"/>
              <w:ind w:left="0" w:right="0"/>
              <w:jc w:val="center"/>
              <w:rPr>
                <w:rFonts w:hint="eastAsia" w:cs="Times New Roman"/>
                <w:i w:val="0"/>
                <w:iCs w:val="0"/>
                <w:color w:val="auto"/>
                <w:sz w:val="20"/>
                <w:szCs w:val="20"/>
                <w:highlight w:val="none"/>
                <w:u w:val="none"/>
                <w:lang w:val="en-US" w:eastAsia="zh-CN"/>
              </w:rPr>
            </w:pPr>
          </w:p>
        </w:tc>
      </w:tr>
      <w:tr w14:paraId="3DCD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65" w:hRule="atLeast"/>
        </w:trPr>
        <w:tc>
          <w:tcPr>
            <w:tcW w:w="361" w:type="pct"/>
            <w:gridSpan w:val="2"/>
            <w:vMerge w:val="restart"/>
            <w:tcBorders>
              <w:tl2br w:val="nil"/>
              <w:tr2bl w:val="nil"/>
            </w:tcBorders>
            <w:shd w:val="clear" w:color="auto" w:fill="auto"/>
            <w:vAlign w:val="center"/>
          </w:tcPr>
          <w:p w14:paraId="053FAF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食堂油烟</w:t>
            </w:r>
          </w:p>
        </w:tc>
        <w:tc>
          <w:tcPr>
            <w:tcW w:w="256" w:type="pct"/>
            <w:tcBorders>
              <w:bottom w:val="single" w:color="auto" w:sz="4" w:space="0"/>
              <w:tl2br w:val="nil"/>
              <w:tr2bl w:val="nil"/>
            </w:tcBorders>
            <w:shd w:val="clear" w:color="auto" w:fill="auto"/>
            <w:vAlign w:val="center"/>
          </w:tcPr>
          <w:p w14:paraId="058E1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非甲烷总烃</w:t>
            </w:r>
          </w:p>
        </w:tc>
        <w:tc>
          <w:tcPr>
            <w:tcW w:w="239" w:type="pct"/>
            <w:tcBorders>
              <w:bottom w:val="single" w:color="auto" w:sz="4" w:space="0"/>
              <w:tl2br w:val="nil"/>
              <w:tr2bl w:val="nil"/>
            </w:tcBorders>
            <w:shd w:val="clear" w:color="auto" w:fill="auto"/>
            <w:vAlign w:val="center"/>
          </w:tcPr>
          <w:p w14:paraId="58659DD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0.048</w:t>
            </w:r>
          </w:p>
        </w:tc>
        <w:tc>
          <w:tcPr>
            <w:tcW w:w="281" w:type="pct"/>
            <w:tcBorders>
              <w:bottom w:val="single" w:color="auto" w:sz="4" w:space="0"/>
              <w:tl2br w:val="nil"/>
              <w:tr2bl w:val="nil"/>
            </w:tcBorders>
            <w:shd w:val="clear" w:color="auto" w:fill="auto"/>
            <w:vAlign w:val="center"/>
          </w:tcPr>
          <w:p w14:paraId="2ECC860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12.04</w:t>
            </w:r>
          </w:p>
        </w:tc>
        <w:tc>
          <w:tcPr>
            <w:tcW w:w="258" w:type="pct"/>
            <w:tcBorders>
              <w:bottom w:val="single" w:color="auto" w:sz="4" w:space="0"/>
              <w:tl2br w:val="nil"/>
              <w:tr2bl w:val="nil"/>
            </w:tcBorders>
            <w:shd w:val="clear" w:color="auto" w:fill="auto"/>
            <w:vAlign w:val="center"/>
          </w:tcPr>
          <w:p w14:paraId="040661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0.0241</w:t>
            </w:r>
          </w:p>
        </w:tc>
        <w:tc>
          <w:tcPr>
            <w:tcW w:w="198" w:type="pct"/>
            <w:vMerge w:val="restart"/>
            <w:tcBorders>
              <w:tl2br w:val="nil"/>
              <w:tr2bl w:val="nil"/>
            </w:tcBorders>
            <w:shd w:val="clear" w:color="auto" w:fill="auto"/>
            <w:vAlign w:val="center"/>
          </w:tcPr>
          <w:p w14:paraId="7CAA729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kern w:val="2"/>
                <w:sz w:val="20"/>
                <w:szCs w:val="20"/>
                <w:highlight w:val="none"/>
                <w:u w:val="none"/>
                <w:lang w:val="en-US" w:eastAsia="zh-CN" w:bidi="ar-SA"/>
              </w:rPr>
            </w:pPr>
            <w:r>
              <w:rPr>
                <w:rFonts w:hint="eastAsia" w:ascii="Times New Roman" w:hAnsi="Times New Roman" w:eastAsia="宋体" w:cs="Times New Roman"/>
                <w:i w:val="0"/>
                <w:iCs w:val="0"/>
                <w:color w:val="auto"/>
                <w:sz w:val="20"/>
                <w:szCs w:val="20"/>
                <w:highlight w:val="none"/>
                <w:u w:val="none"/>
                <w:lang w:val="en-US" w:eastAsia="zh-CN"/>
              </w:rPr>
              <w:t>80%</w:t>
            </w:r>
          </w:p>
        </w:tc>
        <w:tc>
          <w:tcPr>
            <w:tcW w:w="669" w:type="pct"/>
            <w:vMerge w:val="restart"/>
            <w:tcBorders>
              <w:tl2br w:val="nil"/>
              <w:tr2bl w:val="nil"/>
            </w:tcBorders>
            <w:shd w:val="clear" w:color="auto" w:fill="auto"/>
            <w:vAlign w:val="center"/>
          </w:tcPr>
          <w:p w14:paraId="38CE52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油烟净化系统</w:t>
            </w:r>
          </w:p>
        </w:tc>
        <w:tc>
          <w:tcPr>
            <w:tcW w:w="224" w:type="pct"/>
            <w:tcBorders>
              <w:bottom w:val="single" w:color="auto" w:sz="4" w:space="0"/>
              <w:tl2br w:val="nil"/>
              <w:tr2bl w:val="nil"/>
            </w:tcBorders>
            <w:shd w:val="clear" w:color="auto" w:fill="auto"/>
            <w:vAlign w:val="center"/>
          </w:tcPr>
          <w:p w14:paraId="44D6701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是</w:t>
            </w:r>
          </w:p>
        </w:tc>
        <w:tc>
          <w:tcPr>
            <w:tcW w:w="322" w:type="pct"/>
            <w:tcBorders>
              <w:bottom w:val="single" w:color="auto" w:sz="4" w:space="0"/>
              <w:tl2br w:val="nil"/>
              <w:tr2bl w:val="nil"/>
            </w:tcBorders>
            <w:shd w:val="clear" w:color="auto" w:fill="auto"/>
            <w:vAlign w:val="center"/>
          </w:tcPr>
          <w:p w14:paraId="281E1FB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0.017</w:t>
            </w:r>
          </w:p>
        </w:tc>
        <w:tc>
          <w:tcPr>
            <w:tcW w:w="240" w:type="pct"/>
            <w:tcBorders>
              <w:bottom w:val="single" w:color="auto" w:sz="4" w:space="0"/>
              <w:tl2br w:val="nil"/>
              <w:tr2bl w:val="nil"/>
            </w:tcBorders>
            <w:shd w:val="clear" w:color="auto" w:fill="auto"/>
            <w:vAlign w:val="center"/>
          </w:tcPr>
          <w:p w14:paraId="64CD1C3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4.21</w:t>
            </w:r>
          </w:p>
        </w:tc>
        <w:tc>
          <w:tcPr>
            <w:tcW w:w="241" w:type="pct"/>
            <w:tcBorders>
              <w:bottom w:val="single" w:color="auto" w:sz="4" w:space="0"/>
              <w:tl2br w:val="nil"/>
              <w:tr2bl w:val="nil"/>
            </w:tcBorders>
            <w:shd w:val="clear" w:color="auto" w:fill="auto"/>
            <w:vAlign w:val="center"/>
          </w:tcPr>
          <w:p w14:paraId="15D6F3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0.008</w:t>
            </w:r>
          </w:p>
        </w:tc>
        <w:tc>
          <w:tcPr>
            <w:tcW w:w="263" w:type="pct"/>
            <w:tcBorders>
              <w:bottom w:val="single" w:color="auto" w:sz="4" w:space="0"/>
              <w:tl2br w:val="nil"/>
              <w:tr2bl w:val="nil"/>
            </w:tcBorders>
            <w:shd w:val="clear" w:color="auto" w:fill="auto"/>
            <w:vAlign w:val="center"/>
          </w:tcPr>
          <w:p w14:paraId="074A71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bottom w:val="single" w:color="auto" w:sz="4" w:space="0"/>
              <w:tl2br w:val="nil"/>
              <w:tr2bl w:val="nil"/>
            </w:tcBorders>
            <w:shd w:val="clear" w:color="auto" w:fill="auto"/>
            <w:vAlign w:val="center"/>
          </w:tcPr>
          <w:p w14:paraId="0D6E9B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w:t>
            </w:r>
          </w:p>
        </w:tc>
        <w:tc>
          <w:tcPr>
            <w:tcW w:w="493" w:type="pct"/>
            <w:vMerge w:val="restart"/>
            <w:tcBorders>
              <w:tl2br w:val="nil"/>
              <w:tr2bl w:val="nil"/>
            </w:tcBorders>
            <w:shd w:val="clear" w:color="auto" w:fill="auto"/>
            <w:vAlign w:val="center"/>
          </w:tcPr>
          <w:p w14:paraId="6D23B5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DB50/859-2018</w:t>
            </w:r>
          </w:p>
        </w:tc>
        <w:tc>
          <w:tcPr>
            <w:tcW w:w="256" w:type="pct"/>
            <w:vMerge w:val="restart"/>
            <w:tcBorders>
              <w:tl2br w:val="nil"/>
              <w:tr2bl w:val="nil"/>
            </w:tcBorders>
            <w:shd w:val="clear" w:color="auto" w:fill="auto"/>
            <w:vAlign w:val="center"/>
          </w:tcPr>
          <w:p w14:paraId="27972AA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500</w:t>
            </w:r>
          </w:p>
        </w:tc>
        <w:tc>
          <w:tcPr>
            <w:tcW w:w="131" w:type="pct"/>
            <w:vMerge w:val="restart"/>
            <w:tcBorders>
              <w:tl2br w:val="nil"/>
              <w:tr2bl w:val="nil"/>
            </w:tcBorders>
            <w:shd w:val="clear" w:color="auto" w:fill="auto"/>
            <w:vAlign w:val="center"/>
          </w:tcPr>
          <w:p w14:paraId="2FCB732D">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连续排放</w:t>
            </w:r>
          </w:p>
        </w:tc>
        <w:tc>
          <w:tcPr>
            <w:tcW w:w="252" w:type="pct"/>
            <w:vMerge w:val="restart"/>
            <w:tcBorders>
              <w:tl2br w:val="nil"/>
              <w:tr2bl w:val="nil"/>
            </w:tcBorders>
            <w:shd w:val="clear" w:color="auto" w:fill="auto"/>
            <w:vAlign w:val="center"/>
          </w:tcPr>
          <w:p w14:paraId="3416C32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专用烟管5#</w:t>
            </w:r>
          </w:p>
        </w:tc>
      </w:tr>
      <w:tr w14:paraId="1F238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95" w:hRule="atLeast"/>
        </w:trPr>
        <w:tc>
          <w:tcPr>
            <w:tcW w:w="361" w:type="pct"/>
            <w:gridSpan w:val="2"/>
            <w:vMerge w:val="continue"/>
            <w:tcBorders>
              <w:tl2br w:val="nil"/>
              <w:tr2bl w:val="nil"/>
            </w:tcBorders>
            <w:shd w:val="clear" w:color="auto" w:fill="auto"/>
            <w:vAlign w:val="center"/>
          </w:tcPr>
          <w:p w14:paraId="62B6FAEC">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auto"/>
                <w:kern w:val="0"/>
                <w:sz w:val="20"/>
                <w:szCs w:val="20"/>
                <w:highlight w:val="none"/>
                <w:u w:val="none"/>
                <w:lang w:val="en-US" w:eastAsia="zh-CN" w:bidi="ar"/>
              </w:rPr>
            </w:pPr>
          </w:p>
        </w:tc>
        <w:tc>
          <w:tcPr>
            <w:tcW w:w="256" w:type="pct"/>
            <w:tcBorders>
              <w:top w:val="single" w:color="auto" w:sz="4" w:space="0"/>
              <w:tl2br w:val="nil"/>
              <w:tr2bl w:val="nil"/>
            </w:tcBorders>
            <w:shd w:val="clear" w:color="auto" w:fill="auto"/>
            <w:vAlign w:val="center"/>
          </w:tcPr>
          <w:p w14:paraId="0DDE4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油烟</w:t>
            </w:r>
          </w:p>
        </w:tc>
        <w:tc>
          <w:tcPr>
            <w:tcW w:w="239" w:type="pct"/>
            <w:tcBorders>
              <w:top w:val="single" w:color="auto" w:sz="4" w:space="0"/>
              <w:tl2br w:val="nil"/>
              <w:tr2bl w:val="nil"/>
            </w:tcBorders>
            <w:shd w:val="clear" w:color="auto" w:fill="auto"/>
            <w:vAlign w:val="center"/>
          </w:tcPr>
          <w:p w14:paraId="0CEACC4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0.036</w:t>
            </w:r>
          </w:p>
        </w:tc>
        <w:tc>
          <w:tcPr>
            <w:tcW w:w="281" w:type="pct"/>
            <w:tcBorders>
              <w:top w:val="single" w:color="auto" w:sz="4" w:space="0"/>
              <w:tl2br w:val="nil"/>
              <w:tr2bl w:val="nil"/>
            </w:tcBorders>
            <w:shd w:val="clear" w:color="auto" w:fill="auto"/>
            <w:vAlign w:val="center"/>
          </w:tcPr>
          <w:p w14:paraId="06E75E7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9</w:t>
            </w:r>
          </w:p>
        </w:tc>
        <w:tc>
          <w:tcPr>
            <w:tcW w:w="258" w:type="pct"/>
            <w:tcBorders>
              <w:top w:val="single" w:color="auto" w:sz="4" w:space="0"/>
              <w:tl2br w:val="nil"/>
              <w:tr2bl w:val="nil"/>
            </w:tcBorders>
            <w:shd w:val="clear" w:color="auto" w:fill="auto"/>
            <w:vAlign w:val="center"/>
          </w:tcPr>
          <w:p w14:paraId="53A67E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0.018</w:t>
            </w:r>
          </w:p>
        </w:tc>
        <w:tc>
          <w:tcPr>
            <w:tcW w:w="198" w:type="pct"/>
            <w:vMerge w:val="continue"/>
            <w:tcBorders>
              <w:tl2br w:val="nil"/>
              <w:tr2bl w:val="nil"/>
            </w:tcBorders>
            <w:shd w:val="clear" w:color="auto" w:fill="auto"/>
            <w:vAlign w:val="center"/>
          </w:tcPr>
          <w:p w14:paraId="2F7176F4">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c>
          <w:tcPr>
            <w:tcW w:w="669" w:type="pct"/>
            <w:vMerge w:val="continue"/>
            <w:tcBorders>
              <w:tl2br w:val="nil"/>
              <w:tr2bl w:val="nil"/>
            </w:tcBorders>
            <w:shd w:val="clear" w:color="auto" w:fill="auto"/>
            <w:vAlign w:val="center"/>
          </w:tcPr>
          <w:p w14:paraId="7ACA8A19">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c>
          <w:tcPr>
            <w:tcW w:w="224" w:type="pct"/>
            <w:tcBorders>
              <w:top w:val="single" w:color="auto" w:sz="4" w:space="0"/>
              <w:tl2br w:val="nil"/>
              <w:tr2bl w:val="nil"/>
            </w:tcBorders>
            <w:shd w:val="clear" w:color="auto" w:fill="auto"/>
            <w:vAlign w:val="center"/>
          </w:tcPr>
          <w:p w14:paraId="19EBD9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是</w:t>
            </w:r>
          </w:p>
        </w:tc>
        <w:tc>
          <w:tcPr>
            <w:tcW w:w="322" w:type="pct"/>
            <w:tcBorders>
              <w:top w:val="single" w:color="auto" w:sz="4" w:space="0"/>
              <w:tl2br w:val="nil"/>
              <w:tr2bl w:val="nil"/>
            </w:tcBorders>
            <w:shd w:val="clear" w:color="auto" w:fill="auto"/>
            <w:vAlign w:val="center"/>
          </w:tcPr>
          <w:p w14:paraId="72A1CB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0.0036</w:t>
            </w:r>
          </w:p>
        </w:tc>
        <w:tc>
          <w:tcPr>
            <w:tcW w:w="240" w:type="pct"/>
            <w:tcBorders>
              <w:top w:val="single" w:color="auto" w:sz="4" w:space="0"/>
              <w:tl2br w:val="nil"/>
              <w:tr2bl w:val="nil"/>
            </w:tcBorders>
            <w:shd w:val="clear" w:color="auto" w:fill="auto"/>
            <w:vAlign w:val="center"/>
          </w:tcPr>
          <w:p w14:paraId="4871D1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0.9</w:t>
            </w:r>
          </w:p>
        </w:tc>
        <w:tc>
          <w:tcPr>
            <w:tcW w:w="241" w:type="pct"/>
            <w:tcBorders>
              <w:top w:val="single" w:color="auto" w:sz="4" w:space="0"/>
              <w:tl2br w:val="nil"/>
              <w:tr2bl w:val="nil"/>
            </w:tcBorders>
            <w:shd w:val="clear" w:color="auto" w:fill="auto"/>
            <w:vAlign w:val="center"/>
          </w:tcPr>
          <w:p w14:paraId="1FCDAC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0.0018</w:t>
            </w:r>
          </w:p>
        </w:tc>
        <w:tc>
          <w:tcPr>
            <w:tcW w:w="263" w:type="pct"/>
            <w:tcBorders>
              <w:top w:val="single" w:color="auto" w:sz="4" w:space="0"/>
              <w:tl2br w:val="nil"/>
              <w:tr2bl w:val="nil"/>
            </w:tcBorders>
            <w:shd w:val="clear" w:color="auto" w:fill="auto"/>
            <w:vAlign w:val="center"/>
          </w:tcPr>
          <w:p w14:paraId="02B5B7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w:t>
            </w:r>
          </w:p>
        </w:tc>
        <w:tc>
          <w:tcPr>
            <w:tcW w:w="306" w:type="pct"/>
            <w:tcBorders>
              <w:top w:val="single" w:color="auto" w:sz="4" w:space="0"/>
              <w:tl2br w:val="nil"/>
              <w:tr2bl w:val="nil"/>
            </w:tcBorders>
            <w:shd w:val="clear" w:color="auto" w:fill="auto"/>
            <w:vAlign w:val="center"/>
          </w:tcPr>
          <w:p w14:paraId="64D7F9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1.0</w:t>
            </w:r>
          </w:p>
        </w:tc>
        <w:tc>
          <w:tcPr>
            <w:tcW w:w="493" w:type="pct"/>
            <w:vMerge w:val="continue"/>
            <w:tcBorders>
              <w:tl2br w:val="nil"/>
              <w:tr2bl w:val="nil"/>
            </w:tcBorders>
            <w:shd w:val="clear" w:color="auto" w:fill="auto"/>
            <w:vAlign w:val="center"/>
          </w:tcPr>
          <w:p w14:paraId="39F947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256" w:type="pct"/>
            <w:vMerge w:val="continue"/>
            <w:tcBorders>
              <w:tl2br w:val="nil"/>
              <w:tr2bl w:val="nil"/>
            </w:tcBorders>
            <w:shd w:val="clear" w:color="auto" w:fill="auto"/>
            <w:vAlign w:val="center"/>
          </w:tcPr>
          <w:p w14:paraId="54B09716">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c>
          <w:tcPr>
            <w:tcW w:w="131" w:type="pct"/>
            <w:vMerge w:val="continue"/>
            <w:tcBorders>
              <w:tl2br w:val="nil"/>
              <w:tr2bl w:val="nil"/>
            </w:tcBorders>
            <w:shd w:val="clear" w:color="auto" w:fill="auto"/>
            <w:vAlign w:val="center"/>
          </w:tcPr>
          <w:p w14:paraId="466C3D3A">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c>
          <w:tcPr>
            <w:tcW w:w="252" w:type="pct"/>
            <w:vMerge w:val="continue"/>
            <w:tcBorders>
              <w:tl2br w:val="nil"/>
              <w:tr2bl w:val="nil"/>
            </w:tcBorders>
            <w:shd w:val="clear" w:color="auto" w:fill="auto"/>
            <w:vAlign w:val="center"/>
          </w:tcPr>
          <w:p w14:paraId="3B3A3B9F">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r>
      <w:tr w14:paraId="5232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5" w:hRule="atLeast"/>
        </w:trPr>
        <w:tc>
          <w:tcPr>
            <w:tcW w:w="361" w:type="pct"/>
            <w:gridSpan w:val="2"/>
            <w:vMerge w:val="restart"/>
            <w:tcBorders>
              <w:tl2br w:val="nil"/>
              <w:tr2bl w:val="nil"/>
            </w:tcBorders>
            <w:shd w:val="clear" w:color="auto" w:fill="auto"/>
            <w:vAlign w:val="center"/>
          </w:tcPr>
          <w:p w14:paraId="34F24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有组织排放合计</w:t>
            </w:r>
          </w:p>
        </w:tc>
        <w:tc>
          <w:tcPr>
            <w:tcW w:w="256" w:type="pct"/>
            <w:tcBorders>
              <w:tl2br w:val="nil"/>
              <w:tr2bl w:val="nil"/>
            </w:tcBorders>
            <w:shd w:val="clear" w:color="auto" w:fill="auto"/>
            <w:vAlign w:val="center"/>
          </w:tcPr>
          <w:p w14:paraId="6A329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颗粒物</w:t>
            </w:r>
          </w:p>
        </w:tc>
        <w:tc>
          <w:tcPr>
            <w:tcW w:w="239" w:type="pct"/>
            <w:tcBorders>
              <w:tl2br w:val="nil"/>
              <w:tr2bl w:val="nil"/>
            </w:tcBorders>
            <w:shd w:val="clear" w:color="auto" w:fill="auto"/>
            <w:vAlign w:val="center"/>
          </w:tcPr>
          <w:p w14:paraId="424C48A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81" w:type="pct"/>
            <w:tcBorders>
              <w:tl2br w:val="nil"/>
              <w:tr2bl w:val="nil"/>
            </w:tcBorders>
            <w:shd w:val="clear" w:color="auto" w:fill="auto"/>
            <w:vAlign w:val="center"/>
          </w:tcPr>
          <w:p w14:paraId="03869C3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58" w:type="pct"/>
            <w:tcBorders>
              <w:tl2br w:val="nil"/>
              <w:tr2bl w:val="nil"/>
            </w:tcBorders>
            <w:shd w:val="clear" w:color="auto" w:fill="auto"/>
            <w:vAlign w:val="center"/>
          </w:tcPr>
          <w:p w14:paraId="398D4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4.</w:t>
            </w:r>
            <w:r>
              <w:rPr>
                <w:rFonts w:hint="eastAsia" w:cs="Times New Roman"/>
                <w:i w:val="0"/>
                <w:iCs w:val="0"/>
                <w:color w:val="auto"/>
                <w:kern w:val="0"/>
                <w:sz w:val="20"/>
                <w:szCs w:val="20"/>
                <w:highlight w:val="none"/>
                <w:u w:val="none"/>
                <w:lang w:val="en-US" w:eastAsia="zh-CN" w:bidi="ar"/>
              </w:rPr>
              <w:t>8296</w:t>
            </w:r>
          </w:p>
        </w:tc>
        <w:tc>
          <w:tcPr>
            <w:tcW w:w="198" w:type="pct"/>
            <w:tcBorders>
              <w:tl2br w:val="nil"/>
              <w:tr2bl w:val="nil"/>
            </w:tcBorders>
            <w:shd w:val="clear" w:color="auto" w:fill="auto"/>
            <w:vAlign w:val="center"/>
          </w:tcPr>
          <w:p w14:paraId="7DFB730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669" w:type="pct"/>
            <w:tcBorders>
              <w:tl2br w:val="nil"/>
              <w:tr2bl w:val="nil"/>
            </w:tcBorders>
            <w:shd w:val="clear" w:color="auto" w:fill="auto"/>
            <w:vAlign w:val="center"/>
          </w:tcPr>
          <w:p w14:paraId="41A1D7E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24" w:type="pct"/>
            <w:tcBorders>
              <w:tl2br w:val="nil"/>
              <w:tr2bl w:val="nil"/>
            </w:tcBorders>
            <w:shd w:val="clear" w:color="auto" w:fill="auto"/>
            <w:vAlign w:val="center"/>
          </w:tcPr>
          <w:p w14:paraId="6309791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322" w:type="pct"/>
            <w:tcBorders>
              <w:tl2br w:val="nil"/>
              <w:tr2bl w:val="nil"/>
            </w:tcBorders>
            <w:shd w:val="clear" w:color="auto" w:fill="auto"/>
            <w:vAlign w:val="center"/>
          </w:tcPr>
          <w:p w14:paraId="6C103BA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40" w:type="pct"/>
            <w:tcBorders>
              <w:tl2br w:val="nil"/>
              <w:tr2bl w:val="nil"/>
            </w:tcBorders>
            <w:shd w:val="clear" w:color="auto" w:fill="auto"/>
            <w:vAlign w:val="center"/>
          </w:tcPr>
          <w:p w14:paraId="5F60E8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41" w:type="pct"/>
            <w:tcBorders>
              <w:tl2br w:val="nil"/>
              <w:tr2bl w:val="nil"/>
            </w:tcBorders>
            <w:shd w:val="clear" w:color="auto" w:fill="auto"/>
            <w:vAlign w:val="center"/>
          </w:tcPr>
          <w:p w14:paraId="1483B2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cs="Times New Roman"/>
                <w:i w:val="0"/>
                <w:iCs w:val="0"/>
                <w:color w:val="auto"/>
                <w:kern w:val="0"/>
                <w:sz w:val="20"/>
                <w:szCs w:val="20"/>
                <w:highlight w:val="none"/>
                <w:u w:val="none"/>
                <w:lang w:val="en-US" w:eastAsia="zh-CN" w:bidi="ar"/>
              </w:rPr>
              <w:t>0.1309</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263" w:type="pct"/>
            <w:tcBorders>
              <w:tl2br w:val="nil"/>
              <w:tr2bl w:val="nil"/>
            </w:tcBorders>
            <w:shd w:val="clear" w:color="auto" w:fill="auto"/>
            <w:vAlign w:val="center"/>
          </w:tcPr>
          <w:p w14:paraId="4660FB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306" w:type="pct"/>
            <w:tcBorders>
              <w:tl2br w:val="nil"/>
              <w:tr2bl w:val="nil"/>
            </w:tcBorders>
            <w:shd w:val="clear" w:color="auto" w:fill="auto"/>
            <w:vAlign w:val="center"/>
          </w:tcPr>
          <w:p w14:paraId="74387F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493" w:type="pct"/>
            <w:tcBorders>
              <w:tl2br w:val="nil"/>
              <w:tr2bl w:val="nil"/>
            </w:tcBorders>
            <w:shd w:val="clear" w:color="auto" w:fill="auto"/>
            <w:vAlign w:val="center"/>
          </w:tcPr>
          <w:p w14:paraId="34B0A3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256" w:type="pct"/>
            <w:tcBorders>
              <w:tl2br w:val="nil"/>
              <w:tr2bl w:val="nil"/>
            </w:tcBorders>
            <w:shd w:val="clear" w:color="auto" w:fill="auto"/>
            <w:vAlign w:val="center"/>
          </w:tcPr>
          <w:p w14:paraId="63B3DC6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131" w:type="pct"/>
            <w:tcBorders>
              <w:tl2br w:val="nil"/>
              <w:tr2bl w:val="nil"/>
            </w:tcBorders>
            <w:shd w:val="clear" w:color="auto" w:fill="auto"/>
            <w:vAlign w:val="center"/>
          </w:tcPr>
          <w:p w14:paraId="151D63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52" w:type="pct"/>
            <w:tcBorders>
              <w:tl2br w:val="nil"/>
              <w:tr2bl w:val="nil"/>
            </w:tcBorders>
            <w:shd w:val="clear" w:color="auto" w:fill="auto"/>
            <w:vAlign w:val="center"/>
          </w:tcPr>
          <w:p w14:paraId="7A6C842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r>
      <w:tr w14:paraId="265D9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409" w:hRule="atLeast"/>
        </w:trPr>
        <w:tc>
          <w:tcPr>
            <w:tcW w:w="361" w:type="pct"/>
            <w:gridSpan w:val="2"/>
            <w:vMerge w:val="continue"/>
            <w:tcBorders>
              <w:tl2br w:val="nil"/>
              <w:tr2bl w:val="nil"/>
            </w:tcBorders>
            <w:shd w:val="clear" w:color="auto" w:fill="auto"/>
            <w:vAlign w:val="center"/>
          </w:tcPr>
          <w:p w14:paraId="4BA7EC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56" w:type="pct"/>
            <w:tcBorders>
              <w:bottom w:val="single" w:color="auto" w:sz="4" w:space="0"/>
              <w:tl2br w:val="nil"/>
              <w:tr2bl w:val="nil"/>
            </w:tcBorders>
            <w:shd w:val="clear" w:color="auto" w:fill="auto"/>
            <w:vAlign w:val="center"/>
          </w:tcPr>
          <w:p w14:paraId="2530A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非甲烷总烃</w:t>
            </w:r>
          </w:p>
        </w:tc>
        <w:tc>
          <w:tcPr>
            <w:tcW w:w="239" w:type="pct"/>
            <w:tcBorders>
              <w:bottom w:val="single" w:color="auto" w:sz="4" w:space="0"/>
              <w:tl2br w:val="nil"/>
              <w:tr2bl w:val="nil"/>
            </w:tcBorders>
            <w:shd w:val="clear" w:color="auto" w:fill="auto"/>
            <w:vAlign w:val="center"/>
          </w:tcPr>
          <w:p w14:paraId="67A4D77C">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81" w:type="pct"/>
            <w:tcBorders>
              <w:bottom w:val="single" w:color="auto" w:sz="4" w:space="0"/>
              <w:tl2br w:val="nil"/>
              <w:tr2bl w:val="nil"/>
            </w:tcBorders>
            <w:shd w:val="clear" w:color="auto" w:fill="auto"/>
            <w:vAlign w:val="center"/>
          </w:tcPr>
          <w:p w14:paraId="10B602B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58" w:type="pct"/>
            <w:tcBorders>
              <w:bottom w:val="single" w:color="auto" w:sz="4" w:space="0"/>
              <w:tl2br w:val="nil"/>
              <w:tr2bl w:val="nil"/>
            </w:tcBorders>
            <w:shd w:val="clear" w:color="auto" w:fill="auto"/>
            <w:vAlign w:val="center"/>
          </w:tcPr>
          <w:p w14:paraId="049F52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12.30</w:t>
            </w:r>
            <w:r>
              <w:rPr>
                <w:rFonts w:hint="eastAsia" w:cs="Times New Roman"/>
                <w:i w:val="0"/>
                <w:iCs w:val="0"/>
                <w:color w:val="auto"/>
                <w:kern w:val="0"/>
                <w:sz w:val="20"/>
                <w:szCs w:val="20"/>
                <w:highlight w:val="none"/>
                <w:u w:val="none"/>
                <w:lang w:val="en-US" w:eastAsia="zh-CN" w:bidi="ar"/>
              </w:rPr>
              <w:t>4</w:t>
            </w:r>
            <w:r>
              <w:rPr>
                <w:rFonts w:hint="default" w:ascii="Times New Roman" w:hAnsi="Times New Roman" w:eastAsia="宋体" w:cs="Times New Roman"/>
                <w:i w:val="0"/>
                <w:iCs w:val="0"/>
                <w:color w:val="auto"/>
                <w:kern w:val="0"/>
                <w:sz w:val="20"/>
                <w:szCs w:val="20"/>
                <w:highlight w:val="none"/>
                <w:u w:val="none"/>
                <w:lang w:val="en-US" w:eastAsia="zh-CN" w:bidi="ar"/>
              </w:rPr>
              <w:t xml:space="preserve"> </w:t>
            </w:r>
          </w:p>
        </w:tc>
        <w:tc>
          <w:tcPr>
            <w:tcW w:w="198" w:type="pct"/>
            <w:tcBorders>
              <w:bottom w:val="single" w:color="auto" w:sz="4" w:space="0"/>
              <w:tl2br w:val="nil"/>
              <w:tr2bl w:val="nil"/>
            </w:tcBorders>
            <w:shd w:val="clear" w:color="auto" w:fill="auto"/>
            <w:vAlign w:val="center"/>
          </w:tcPr>
          <w:p w14:paraId="7505CC1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669" w:type="pct"/>
            <w:tcBorders>
              <w:bottom w:val="single" w:color="auto" w:sz="4" w:space="0"/>
              <w:tl2br w:val="nil"/>
              <w:tr2bl w:val="nil"/>
            </w:tcBorders>
            <w:shd w:val="clear" w:color="auto" w:fill="auto"/>
            <w:vAlign w:val="center"/>
          </w:tcPr>
          <w:p w14:paraId="47F2D49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24" w:type="pct"/>
            <w:tcBorders>
              <w:bottom w:val="single" w:color="auto" w:sz="4" w:space="0"/>
              <w:tl2br w:val="nil"/>
              <w:tr2bl w:val="nil"/>
            </w:tcBorders>
            <w:shd w:val="clear" w:color="auto" w:fill="auto"/>
            <w:vAlign w:val="center"/>
          </w:tcPr>
          <w:p w14:paraId="6713C68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322" w:type="pct"/>
            <w:tcBorders>
              <w:bottom w:val="single" w:color="auto" w:sz="4" w:space="0"/>
              <w:tl2br w:val="nil"/>
              <w:tr2bl w:val="nil"/>
            </w:tcBorders>
            <w:shd w:val="clear" w:color="auto" w:fill="auto"/>
            <w:vAlign w:val="center"/>
          </w:tcPr>
          <w:p w14:paraId="683D14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40" w:type="pct"/>
            <w:tcBorders>
              <w:bottom w:val="single" w:color="auto" w:sz="4" w:space="0"/>
              <w:tl2br w:val="nil"/>
              <w:tr2bl w:val="nil"/>
            </w:tcBorders>
            <w:shd w:val="clear" w:color="auto" w:fill="auto"/>
            <w:vAlign w:val="center"/>
          </w:tcPr>
          <w:p w14:paraId="478E67F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41" w:type="pct"/>
            <w:tcBorders>
              <w:bottom w:val="single" w:color="auto" w:sz="4" w:space="0"/>
              <w:tl2br w:val="nil"/>
              <w:tr2bl w:val="nil"/>
            </w:tcBorders>
            <w:shd w:val="clear" w:color="auto" w:fill="auto"/>
            <w:vAlign w:val="center"/>
          </w:tcPr>
          <w:p w14:paraId="0B8BED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cs="Times New Roman"/>
                <w:i w:val="0"/>
                <w:iCs w:val="0"/>
                <w:color w:val="auto"/>
                <w:kern w:val="0"/>
                <w:sz w:val="20"/>
                <w:szCs w:val="20"/>
                <w:highlight w:val="none"/>
                <w:u w:val="none"/>
                <w:lang w:val="en-US" w:eastAsia="zh-CN" w:bidi="ar"/>
              </w:rPr>
              <w:t>1.4038</w:t>
            </w:r>
          </w:p>
        </w:tc>
        <w:tc>
          <w:tcPr>
            <w:tcW w:w="263" w:type="pct"/>
            <w:tcBorders>
              <w:bottom w:val="single" w:color="auto" w:sz="4" w:space="0"/>
              <w:tl2br w:val="nil"/>
              <w:tr2bl w:val="nil"/>
            </w:tcBorders>
            <w:shd w:val="clear" w:color="auto" w:fill="auto"/>
            <w:vAlign w:val="center"/>
          </w:tcPr>
          <w:p w14:paraId="359B80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306" w:type="pct"/>
            <w:tcBorders>
              <w:bottom w:val="single" w:color="auto" w:sz="4" w:space="0"/>
              <w:tl2br w:val="nil"/>
              <w:tr2bl w:val="nil"/>
            </w:tcBorders>
            <w:shd w:val="clear" w:color="auto" w:fill="auto"/>
            <w:vAlign w:val="center"/>
          </w:tcPr>
          <w:p w14:paraId="6A3A19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493" w:type="pct"/>
            <w:tcBorders>
              <w:bottom w:val="single" w:color="auto" w:sz="4" w:space="0"/>
              <w:tl2br w:val="nil"/>
              <w:tr2bl w:val="nil"/>
            </w:tcBorders>
            <w:shd w:val="clear" w:color="auto" w:fill="auto"/>
            <w:vAlign w:val="center"/>
          </w:tcPr>
          <w:p w14:paraId="3780B9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256" w:type="pct"/>
            <w:tcBorders>
              <w:bottom w:val="single" w:color="auto" w:sz="4" w:space="0"/>
              <w:tl2br w:val="nil"/>
              <w:tr2bl w:val="nil"/>
            </w:tcBorders>
            <w:shd w:val="clear" w:color="auto" w:fill="auto"/>
            <w:vAlign w:val="center"/>
          </w:tcPr>
          <w:p w14:paraId="65ED708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131" w:type="pct"/>
            <w:tcBorders>
              <w:bottom w:val="single" w:color="auto" w:sz="4" w:space="0"/>
              <w:tl2br w:val="nil"/>
              <w:tr2bl w:val="nil"/>
            </w:tcBorders>
            <w:shd w:val="clear" w:color="auto" w:fill="auto"/>
            <w:noWrap/>
            <w:vAlign w:val="center"/>
          </w:tcPr>
          <w:p w14:paraId="19733D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w:t>
            </w:r>
          </w:p>
        </w:tc>
        <w:tc>
          <w:tcPr>
            <w:tcW w:w="252" w:type="pct"/>
            <w:tcBorders>
              <w:bottom w:val="single" w:color="auto" w:sz="4" w:space="0"/>
              <w:tl2br w:val="nil"/>
              <w:tr2bl w:val="nil"/>
            </w:tcBorders>
            <w:shd w:val="clear" w:color="auto" w:fill="auto"/>
            <w:noWrap/>
            <w:vAlign w:val="center"/>
          </w:tcPr>
          <w:p w14:paraId="29965334">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r>
      <w:tr w14:paraId="229BA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9" w:hRule="atLeast"/>
        </w:trPr>
        <w:tc>
          <w:tcPr>
            <w:tcW w:w="361" w:type="pct"/>
            <w:gridSpan w:val="2"/>
            <w:vMerge w:val="continue"/>
            <w:tcBorders>
              <w:tl2br w:val="nil"/>
              <w:tr2bl w:val="nil"/>
            </w:tcBorders>
            <w:shd w:val="clear" w:color="auto" w:fill="auto"/>
            <w:vAlign w:val="center"/>
          </w:tcPr>
          <w:p w14:paraId="169F9C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56" w:type="pct"/>
            <w:tcBorders>
              <w:top w:val="single" w:color="auto" w:sz="4" w:space="0"/>
              <w:tl2br w:val="nil"/>
              <w:tr2bl w:val="nil"/>
            </w:tcBorders>
            <w:shd w:val="clear" w:color="auto" w:fill="auto"/>
            <w:vAlign w:val="center"/>
          </w:tcPr>
          <w:p w14:paraId="059C0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油烟</w:t>
            </w:r>
          </w:p>
        </w:tc>
        <w:tc>
          <w:tcPr>
            <w:tcW w:w="239" w:type="pct"/>
            <w:tcBorders>
              <w:top w:val="single" w:color="auto" w:sz="4" w:space="0"/>
              <w:tl2br w:val="nil"/>
              <w:tr2bl w:val="nil"/>
            </w:tcBorders>
            <w:shd w:val="clear" w:color="auto" w:fill="auto"/>
            <w:vAlign w:val="center"/>
          </w:tcPr>
          <w:p w14:paraId="1E8308E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81" w:type="pct"/>
            <w:tcBorders>
              <w:top w:val="single" w:color="auto" w:sz="4" w:space="0"/>
              <w:tl2br w:val="nil"/>
              <w:tr2bl w:val="nil"/>
            </w:tcBorders>
            <w:shd w:val="clear" w:color="auto" w:fill="auto"/>
            <w:vAlign w:val="center"/>
          </w:tcPr>
          <w:p w14:paraId="35CA259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58" w:type="pct"/>
            <w:tcBorders>
              <w:top w:val="single" w:color="auto" w:sz="4" w:space="0"/>
              <w:tl2br w:val="nil"/>
              <w:tr2bl w:val="nil"/>
            </w:tcBorders>
            <w:shd w:val="clear" w:color="auto" w:fill="auto"/>
            <w:vAlign w:val="center"/>
          </w:tcPr>
          <w:p w14:paraId="6E5A92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0.018</w:t>
            </w:r>
          </w:p>
        </w:tc>
        <w:tc>
          <w:tcPr>
            <w:tcW w:w="198" w:type="pct"/>
            <w:tcBorders>
              <w:top w:val="single" w:color="auto" w:sz="4" w:space="0"/>
              <w:tl2br w:val="nil"/>
              <w:tr2bl w:val="nil"/>
            </w:tcBorders>
            <w:shd w:val="clear" w:color="auto" w:fill="auto"/>
            <w:vAlign w:val="center"/>
          </w:tcPr>
          <w:p w14:paraId="57C6785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669" w:type="pct"/>
            <w:tcBorders>
              <w:top w:val="single" w:color="auto" w:sz="4" w:space="0"/>
              <w:tl2br w:val="nil"/>
              <w:tr2bl w:val="nil"/>
            </w:tcBorders>
            <w:shd w:val="clear" w:color="auto" w:fill="auto"/>
            <w:vAlign w:val="center"/>
          </w:tcPr>
          <w:p w14:paraId="3DBE605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24" w:type="pct"/>
            <w:tcBorders>
              <w:top w:val="single" w:color="auto" w:sz="4" w:space="0"/>
              <w:tl2br w:val="nil"/>
              <w:tr2bl w:val="nil"/>
            </w:tcBorders>
            <w:shd w:val="clear" w:color="auto" w:fill="auto"/>
            <w:vAlign w:val="center"/>
          </w:tcPr>
          <w:p w14:paraId="65BE1AD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322" w:type="pct"/>
            <w:tcBorders>
              <w:top w:val="single" w:color="auto" w:sz="4" w:space="0"/>
              <w:tl2br w:val="nil"/>
              <w:tr2bl w:val="nil"/>
            </w:tcBorders>
            <w:shd w:val="clear" w:color="auto" w:fill="auto"/>
            <w:vAlign w:val="center"/>
          </w:tcPr>
          <w:p w14:paraId="229CCA2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40" w:type="pct"/>
            <w:tcBorders>
              <w:top w:val="single" w:color="auto" w:sz="4" w:space="0"/>
              <w:tl2br w:val="nil"/>
              <w:tr2bl w:val="nil"/>
            </w:tcBorders>
            <w:shd w:val="clear" w:color="auto" w:fill="auto"/>
            <w:vAlign w:val="center"/>
          </w:tcPr>
          <w:p w14:paraId="174A7AB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w:t>
            </w:r>
          </w:p>
        </w:tc>
        <w:tc>
          <w:tcPr>
            <w:tcW w:w="241" w:type="pct"/>
            <w:tcBorders>
              <w:top w:val="single" w:color="auto" w:sz="4" w:space="0"/>
              <w:tl2br w:val="nil"/>
              <w:tr2bl w:val="nil"/>
            </w:tcBorders>
            <w:shd w:val="clear" w:color="auto" w:fill="auto"/>
            <w:vAlign w:val="center"/>
          </w:tcPr>
          <w:p w14:paraId="1477A0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r>
              <w:rPr>
                <w:rFonts w:hint="eastAsia" w:cs="Times New Roman"/>
                <w:i w:val="0"/>
                <w:iCs w:val="0"/>
                <w:color w:val="auto"/>
                <w:kern w:val="0"/>
                <w:sz w:val="20"/>
                <w:szCs w:val="20"/>
                <w:highlight w:val="none"/>
                <w:u w:val="none"/>
                <w:lang w:val="en-US" w:eastAsia="zh-CN" w:bidi="ar"/>
              </w:rPr>
              <w:t>0.0018</w:t>
            </w:r>
          </w:p>
        </w:tc>
        <w:tc>
          <w:tcPr>
            <w:tcW w:w="263" w:type="pct"/>
            <w:tcBorders>
              <w:top w:val="single" w:color="auto" w:sz="4" w:space="0"/>
              <w:tl2br w:val="nil"/>
              <w:tr2bl w:val="nil"/>
            </w:tcBorders>
            <w:shd w:val="clear" w:color="auto" w:fill="auto"/>
            <w:vAlign w:val="center"/>
          </w:tcPr>
          <w:p w14:paraId="7ED740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306" w:type="pct"/>
            <w:tcBorders>
              <w:top w:val="single" w:color="auto" w:sz="4" w:space="0"/>
              <w:tl2br w:val="nil"/>
              <w:tr2bl w:val="nil"/>
            </w:tcBorders>
            <w:shd w:val="clear" w:color="auto" w:fill="auto"/>
            <w:vAlign w:val="center"/>
          </w:tcPr>
          <w:p w14:paraId="668D50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493" w:type="pct"/>
            <w:tcBorders>
              <w:top w:val="single" w:color="auto" w:sz="4" w:space="0"/>
              <w:tl2br w:val="nil"/>
              <w:tr2bl w:val="nil"/>
            </w:tcBorders>
            <w:shd w:val="clear" w:color="auto" w:fill="auto"/>
            <w:vAlign w:val="center"/>
          </w:tcPr>
          <w:p w14:paraId="121254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highlight w:val="none"/>
                <w:u w:val="none"/>
                <w:lang w:val="en-US" w:eastAsia="zh-CN" w:bidi="ar"/>
              </w:rPr>
            </w:pPr>
          </w:p>
        </w:tc>
        <w:tc>
          <w:tcPr>
            <w:tcW w:w="256" w:type="pct"/>
            <w:tcBorders>
              <w:top w:val="single" w:color="auto" w:sz="4" w:space="0"/>
              <w:tl2br w:val="nil"/>
              <w:tr2bl w:val="nil"/>
            </w:tcBorders>
            <w:shd w:val="clear" w:color="auto" w:fill="auto"/>
            <w:vAlign w:val="center"/>
          </w:tcPr>
          <w:p w14:paraId="1E41F9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w:t>
            </w:r>
          </w:p>
        </w:tc>
        <w:tc>
          <w:tcPr>
            <w:tcW w:w="131" w:type="pct"/>
            <w:tcBorders>
              <w:top w:val="single" w:color="auto" w:sz="4" w:space="0"/>
              <w:tl2br w:val="nil"/>
              <w:tr2bl w:val="nil"/>
            </w:tcBorders>
            <w:shd w:val="clear" w:color="auto" w:fill="auto"/>
            <w:noWrap/>
            <w:vAlign w:val="center"/>
          </w:tcPr>
          <w:p w14:paraId="39441E3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cs="Times New Roman"/>
                <w:i w:val="0"/>
                <w:iCs w:val="0"/>
                <w:color w:val="auto"/>
                <w:sz w:val="20"/>
                <w:szCs w:val="20"/>
                <w:highlight w:val="none"/>
                <w:u w:val="none"/>
                <w:lang w:val="en-US" w:eastAsia="zh-CN"/>
              </w:rPr>
              <w:t>/</w:t>
            </w:r>
          </w:p>
        </w:tc>
        <w:tc>
          <w:tcPr>
            <w:tcW w:w="252" w:type="pct"/>
            <w:tcBorders>
              <w:top w:val="single" w:color="auto" w:sz="4" w:space="0"/>
              <w:tl2br w:val="nil"/>
              <w:tr2bl w:val="nil"/>
            </w:tcBorders>
            <w:shd w:val="clear" w:color="auto" w:fill="auto"/>
            <w:noWrap/>
            <w:vAlign w:val="center"/>
          </w:tcPr>
          <w:p w14:paraId="40F76F47">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auto"/>
                <w:sz w:val="20"/>
                <w:szCs w:val="20"/>
                <w:highlight w:val="none"/>
                <w:u w:val="none"/>
                <w:lang w:val="en-US" w:eastAsia="zh-CN"/>
              </w:rPr>
            </w:pPr>
          </w:p>
        </w:tc>
      </w:tr>
    </w:tbl>
    <w:p w14:paraId="2B6A6A94">
      <w:pPr>
        <w:tabs>
          <w:tab w:val="left" w:pos="1474"/>
        </w:tabs>
        <w:rPr>
          <w:color w:val="auto"/>
          <w:sz w:val="22"/>
          <w:szCs w:val="22"/>
          <w:highlight w:val="none"/>
        </w:rPr>
        <w:sectPr>
          <w:pgSz w:w="16840" w:h="11907" w:orient="landscape"/>
          <w:pgMar w:top="851" w:right="567" w:bottom="851" w:left="567"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
        <w:gridCol w:w="9544"/>
      </w:tblGrid>
      <w:tr w14:paraId="6DE8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2" w:hRule="atLeast"/>
        </w:trPr>
        <w:tc>
          <w:tcPr>
            <w:tcW w:w="304" w:type="dxa"/>
          </w:tcPr>
          <w:p w14:paraId="6AD184D4">
            <w:pPr>
              <w:keepNext w:val="0"/>
              <w:keepLines w:val="0"/>
              <w:suppressLineNumbers w:val="0"/>
              <w:tabs>
                <w:tab w:val="left" w:pos="2880"/>
              </w:tabs>
              <w:spacing w:before="0" w:beforeAutospacing="0" w:after="0" w:afterAutospacing="0"/>
              <w:ind w:left="0" w:right="0"/>
              <w:rPr>
                <w:rFonts w:hint="default"/>
                <w:color w:val="auto"/>
                <w:sz w:val="18"/>
                <w:szCs w:val="18"/>
                <w:highlight w:val="none"/>
              </w:rPr>
            </w:pPr>
            <w:r>
              <w:rPr>
                <w:rFonts w:hint="default"/>
                <w:color w:val="auto"/>
                <w:sz w:val="18"/>
                <w:szCs w:val="18"/>
                <w:highlight w:val="none"/>
              </w:rPr>
              <w:tab/>
            </w:r>
          </w:p>
        </w:tc>
        <w:tc>
          <w:tcPr>
            <w:tcW w:w="9324" w:type="dxa"/>
          </w:tcPr>
          <w:p w14:paraId="610AC421">
            <w:pPr>
              <w:keepNext w:val="0"/>
              <w:keepLines w:val="0"/>
              <w:suppressLineNumbers w:val="0"/>
              <w:tabs>
                <w:tab w:val="left" w:pos="1040"/>
              </w:tabs>
              <w:adjustRightInd w:val="0"/>
              <w:snapToGrid w:val="0"/>
              <w:spacing w:before="0" w:beforeAutospacing="0" w:after="0" w:afterAutospacing="0"/>
              <w:ind w:left="0" w:right="0" w:firstLine="520" w:firstLineChars="200"/>
              <w:jc w:val="center"/>
              <w:rPr>
                <w:rFonts w:hint="default" w:ascii="Times New Roman" w:hAnsi="Times New Roman" w:eastAsia="宋体" w:cs="Times New Roman"/>
                <w:color w:val="auto"/>
                <w:kern w:val="0"/>
                <w:sz w:val="26"/>
                <w:szCs w:val="26"/>
                <w:highlight w:val="none"/>
              </w:rPr>
            </w:pPr>
            <w:r>
              <w:rPr>
                <w:rFonts w:hint="default" w:ascii="Times New Roman" w:hAnsi="Times New Roman" w:eastAsia="宋体" w:cs="Times New Roman"/>
                <w:color w:val="auto"/>
                <w:kern w:val="0"/>
                <w:sz w:val="26"/>
                <w:szCs w:val="26"/>
                <w:highlight w:val="none"/>
              </w:rPr>
              <w:t>表4.2-</w:t>
            </w:r>
            <w:r>
              <w:rPr>
                <w:rFonts w:hint="eastAsia" w:cs="Times New Roman"/>
                <w:color w:val="auto"/>
                <w:kern w:val="0"/>
                <w:sz w:val="26"/>
                <w:szCs w:val="26"/>
                <w:highlight w:val="none"/>
                <w:lang w:val="en-US" w:eastAsia="zh-CN"/>
              </w:rPr>
              <w:t xml:space="preserve">6 </w:t>
            </w:r>
            <w:r>
              <w:rPr>
                <w:rFonts w:hint="default" w:ascii="Times New Roman" w:hAnsi="Times New Roman" w:eastAsia="宋体" w:cs="Times New Roman"/>
                <w:color w:val="auto"/>
                <w:kern w:val="0"/>
                <w:sz w:val="26"/>
                <w:szCs w:val="26"/>
                <w:highlight w:val="none"/>
              </w:rPr>
              <w:t xml:space="preserve"> </w:t>
            </w:r>
            <w:r>
              <w:rPr>
                <w:rFonts w:hint="eastAsia" w:cs="Times New Roman"/>
                <w:color w:val="auto"/>
                <w:kern w:val="0"/>
                <w:sz w:val="26"/>
                <w:szCs w:val="26"/>
                <w:highlight w:val="none"/>
                <w:lang w:val="en-US" w:eastAsia="zh-CN"/>
              </w:rPr>
              <w:t xml:space="preserve">  </w:t>
            </w:r>
            <w:r>
              <w:rPr>
                <w:rFonts w:hint="default" w:ascii="Times New Roman" w:hAnsi="Times New Roman" w:eastAsia="宋体" w:cs="Times New Roman"/>
                <w:color w:val="auto"/>
                <w:kern w:val="0"/>
                <w:sz w:val="26"/>
                <w:szCs w:val="26"/>
                <w:highlight w:val="none"/>
              </w:rPr>
              <w:t>项目废气无组织排放情况一览表</w:t>
            </w:r>
          </w:p>
          <w:tbl>
            <w:tblPr>
              <w:tblStyle w:val="25"/>
              <w:tblW w:w="4998"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1818"/>
              <w:gridCol w:w="1818"/>
              <w:gridCol w:w="2042"/>
              <w:gridCol w:w="3641"/>
            </w:tblGrid>
            <w:tr w14:paraId="283F7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85" w:hRule="atLeast"/>
              </w:trPr>
              <w:tc>
                <w:tcPr>
                  <w:tcW w:w="975" w:type="pct"/>
                  <w:tcBorders>
                    <w:tl2br w:val="nil"/>
                    <w:tr2bl w:val="nil"/>
                  </w:tcBorders>
                  <w:shd w:val="clear" w:color="auto" w:fill="auto"/>
                  <w:vAlign w:val="center"/>
                </w:tcPr>
                <w:p w14:paraId="74858FE1">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序号</w:t>
                  </w:r>
                </w:p>
              </w:tc>
              <w:tc>
                <w:tcPr>
                  <w:tcW w:w="975" w:type="pct"/>
                  <w:tcBorders>
                    <w:tl2br w:val="nil"/>
                    <w:tr2bl w:val="nil"/>
                  </w:tcBorders>
                  <w:shd w:val="clear" w:color="auto" w:fill="auto"/>
                  <w:vAlign w:val="center"/>
                </w:tcPr>
                <w:p w14:paraId="1966FD55">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污染物</w:t>
                  </w:r>
                </w:p>
              </w:tc>
              <w:tc>
                <w:tcPr>
                  <w:tcW w:w="1095" w:type="pct"/>
                  <w:tcBorders>
                    <w:tl2br w:val="nil"/>
                    <w:tr2bl w:val="nil"/>
                  </w:tcBorders>
                  <w:shd w:val="clear" w:color="auto" w:fill="auto"/>
                  <w:vAlign w:val="center"/>
                </w:tcPr>
                <w:p w14:paraId="4AFB826C">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无组织排放总量（</w:t>
                  </w:r>
                  <w:r>
                    <w:rPr>
                      <w:rFonts w:hint="default"/>
                      <w:color w:val="auto"/>
                      <w:highlight w:val="none"/>
                      <w:lang w:val="en-US" w:eastAsia="zh-CN"/>
                    </w:rPr>
                    <w:t>t/a</w:t>
                  </w:r>
                  <w:r>
                    <w:rPr>
                      <w:rFonts w:hint="eastAsia"/>
                      <w:color w:val="auto"/>
                      <w:highlight w:val="none"/>
                      <w:lang w:val="en-US" w:eastAsia="zh-CN"/>
                    </w:rPr>
                    <w:t>）</w:t>
                  </w:r>
                </w:p>
              </w:tc>
              <w:tc>
                <w:tcPr>
                  <w:tcW w:w="1952" w:type="pct"/>
                  <w:tcBorders>
                    <w:tl2br w:val="nil"/>
                    <w:tr2bl w:val="nil"/>
                  </w:tcBorders>
                  <w:shd w:val="clear" w:color="auto" w:fill="auto"/>
                  <w:vAlign w:val="center"/>
                </w:tcPr>
                <w:p w14:paraId="165BD253">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涉及的产污环节</w:t>
                  </w:r>
                </w:p>
              </w:tc>
            </w:tr>
            <w:tr w14:paraId="0429F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5" w:hRule="atLeast"/>
              </w:trPr>
              <w:tc>
                <w:tcPr>
                  <w:tcW w:w="975" w:type="pct"/>
                  <w:tcBorders>
                    <w:tl2br w:val="nil"/>
                    <w:tr2bl w:val="nil"/>
                  </w:tcBorders>
                  <w:shd w:val="clear" w:color="auto" w:fill="auto"/>
                  <w:vAlign w:val="center"/>
                </w:tcPr>
                <w:p w14:paraId="3213468B">
                  <w:pPr>
                    <w:pStyle w:val="9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1</w:t>
                  </w:r>
                </w:p>
              </w:tc>
              <w:tc>
                <w:tcPr>
                  <w:tcW w:w="975" w:type="pct"/>
                  <w:tcBorders>
                    <w:tl2br w:val="nil"/>
                    <w:tr2bl w:val="nil"/>
                  </w:tcBorders>
                  <w:shd w:val="clear" w:color="auto" w:fill="auto"/>
                  <w:vAlign w:val="center"/>
                </w:tcPr>
                <w:p w14:paraId="062006A0">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非甲烷总烃</w:t>
                  </w:r>
                </w:p>
              </w:tc>
              <w:tc>
                <w:tcPr>
                  <w:tcW w:w="1095" w:type="pct"/>
                  <w:tcBorders>
                    <w:tl2br w:val="nil"/>
                    <w:tr2bl w:val="nil"/>
                  </w:tcBorders>
                  <w:shd w:val="clear" w:color="auto" w:fill="auto"/>
                  <w:vAlign w:val="center"/>
                </w:tcPr>
                <w:p w14:paraId="3931EDEF">
                  <w:pPr>
                    <w:pStyle w:val="91"/>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3.076</w:t>
                  </w:r>
                </w:p>
              </w:tc>
              <w:tc>
                <w:tcPr>
                  <w:tcW w:w="1952" w:type="pct"/>
                  <w:tcBorders>
                    <w:tl2br w:val="nil"/>
                    <w:tr2bl w:val="nil"/>
                  </w:tcBorders>
                  <w:shd w:val="clear" w:color="auto" w:fill="auto"/>
                  <w:vAlign w:val="center"/>
                </w:tcPr>
                <w:p w14:paraId="26686404">
                  <w:pPr>
                    <w:pStyle w:val="91"/>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浸胶、压铸脱模、热压固化、挤压，食堂油烟</w:t>
                  </w:r>
                </w:p>
              </w:tc>
            </w:tr>
            <w:tr w14:paraId="7CB97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0" w:hRule="atLeast"/>
              </w:trPr>
              <w:tc>
                <w:tcPr>
                  <w:tcW w:w="975" w:type="pct"/>
                  <w:tcBorders>
                    <w:tl2br w:val="nil"/>
                    <w:tr2bl w:val="nil"/>
                  </w:tcBorders>
                  <w:shd w:val="clear" w:color="auto" w:fill="auto"/>
                  <w:vAlign w:val="center"/>
                </w:tcPr>
                <w:p w14:paraId="0985E751">
                  <w:pPr>
                    <w:pStyle w:val="9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2</w:t>
                  </w:r>
                </w:p>
              </w:tc>
              <w:tc>
                <w:tcPr>
                  <w:tcW w:w="975" w:type="pct"/>
                  <w:tcBorders>
                    <w:tl2br w:val="nil"/>
                    <w:tr2bl w:val="nil"/>
                  </w:tcBorders>
                  <w:shd w:val="clear" w:color="auto" w:fill="auto"/>
                  <w:vAlign w:val="center"/>
                </w:tcPr>
                <w:p w14:paraId="3F41B1A9">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颗粒物</w:t>
                  </w:r>
                </w:p>
              </w:tc>
              <w:tc>
                <w:tcPr>
                  <w:tcW w:w="1095" w:type="pct"/>
                  <w:tcBorders>
                    <w:tl2br w:val="nil"/>
                    <w:tr2bl w:val="nil"/>
                  </w:tcBorders>
                  <w:shd w:val="clear" w:color="auto" w:fill="auto"/>
                  <w:vAlign w:val="center"/>
                </w:tcPr>
                <w:p w14:paraId="170FEB9E">
                  <w:pPr>
                    <w:pStyle w:val="91"/>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0.668</w:t>
                  </w:r>
                </w:p>
              </w:tc>
              <w:tc>
                <w:tcPr>
                  <w:tcW w:w="1952" w:type="pct"/>
                  <w:tcBorders>
                    <w:tl2br w:val="nil"/>
                    <w:tr2bl w:val="nil"/>
                  </w:tcBorders>
                  <w:shd w:val="clear" w:color="auto" w:fill="auto"/>
                  <w:noWrap/>
                  <w:vAlign w:val="center"/>
                </w:tcPr>
                <w:p w14:paraId="5175C66F">
                  <w:pPr>
                    <w:pStyle w:val="91"/>
                    <w:keepNext w:val="0"/>
                    <w:keepLines w:val="0"/>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热熔、抛丸、磨加工、投料搅拌</w:t>
                  </w:r>
                </w:p>
              </w:tc>
            </w:tr>
            <w:tr w14:paraId="52581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5" w:hRule="atLeast"/>
              </w:trPr>
              <w:tc>
                <w:tcPr>
                  <w:tcW w:w="975" w:type="pct"/>
                  <w:tcBorders>
                    <w:tl2br w:val="nil"/>
                    <w:tr2bl w:val="nil"/>
                  </w:tcBorders>
                  <w:shd w:val="clear" w:color="auto" w:fill="auto"/>
                  <w:vAlign w:val="center"/>
                </w:tcPr>
                <w:p w14:paraId="424B597E">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w:t>
                  </w:r>
                </w:p>
              </w:tc>
              <w:tc>
                <w:tcPr>
                  <w:tcW w:w="975" w:type="pct"/>
                  <w:tcBorders>
                    <w:tl2br w:val="nil"/>
                    <w:tr2bl w:val="nil"/>
                  </w:tcBorders>
                  <w:shd w:val="clear" w:color="auto" w:fill="auto"/>
                  <w:vAlign w:val="center"/>
                </w:tcPr>
                <w:p w14:paraId="624E4526">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油烟</w:t>
                  </w:r>
                </w:p>
              </w:tc>
              <w:tc>
                <w:tcPr>
                  <w:tcW w:w="1095" w:type="pct"/>
                  <w:tcBorders>
                    <w:tl2br w:val="nil"/>
                    <w:tr2bl w:val="nil"/>
                  </w:tcBorders>
                  <w:shd w:val="clear" w:color="auto" w:fill="auto"/>
                  <w:vAlign w:val="center"/>
                </w:tcPr>
                <w:p w14:paraId="3E59C402">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0.0045</w:t>
                  </w:r>
                </w:p>
              </w:tc>
              <w:tc>
                <w:tcPr>
                  <w:tcW w:w="1952" w:type="pct"/>
                  <w:tcBorders>
                    <w:tl2br w:val="nil"/>
                    <w:tr2bl w:val="nil"/>
                  </w:tcBorders>
                  <w:shd w:val="clear" w:color="auto" w:fill="auto"/>
                  <w:noWrap/>
                  <w:vAlign w:val="center"/>
                </w:tcPr>
                <w:p w14:paraId="2224BA01">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食堂油烟</w:t>
                  </w:r>
                </w:p>
              </w:tc>
            </w:tr>
          </w:tbl>
          <w:p w14:paraId="693A2694">
            <w:pPr>
              <w:pStyle w:val="65"/>
              <w:keepNext w:val="0"/>
              <w:keepLines w:val="0"/>
              <w:suppressLineNumbers w:val="0"/>
              <w:spacing w:before="0" w:beforeAutospacing="0" w:after="0" w:afterAutospacing="0"/>
              <w:ind w:left="0" w:right="0"/>
              <w:rPr>
                <w:rFonts w:hint="default"/>
                <w:color w:val="auto"/>
                <w:highlight w:val="none"/>
              </w:rPr>
            </w:pPr>
          </w:p>
          <w:p w14:paraId="0984EDEC">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eastAsia"/>
                <w:b/>
                <w:color w:val="auto"/>
                <w:kern w:val="0"/>
                <w:sz w:val="26"/>
                <w:szCs w:val="26"/>
                <w:highlight w:val="none"/>
                <w:lang w:val="en-US" w:eastAsia="zh-CN"/>
              </w:rPr>
            </w:pPr>
            <w:r>
              <w:rPr>
                <w:rFonts w:hint="eastAsia"/>
                <w:b/>
                <w:color w:val="auto"/>
                <w:kern w:val="0"/>
                <w:sz w:val="26"/>
                <w:szCs w:val="26"/>
                <w:highlight w:val="none"/>
                <w:lang w:val="en-US" w:eastAsia="zh-CN"/>
              </w:rPr>
              <w:t>4.2.1.3非正常工况</w:t>
            </w:r>
          </w:p>
          <w:p w14:paraId="563AD563">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rPr>
              <w:t>项目运营期非正常工况时，即处理设施发生故障，考虑废气处理设施处理效率为0，非正常排放量核算见下表。</w:t>
            </w:r>
          </w:p>
          <w:p w14:paraId="238CFF49">
            <w:pPr>
              <w:pStyle w:val="91"/>
              <w:keepNext w:val="0"/>
              <w:keepLines w:val="0"/>
              <w:suppressLineNumbers w:val="0"/>
              <w:bidi w:val="0"/>
              <w:spacing w:before="0" w:beforeAutospacing="0" w:after="0" w:afterAutospacing="0"/>
              <w:ind w:left="0" w:right="0"/>
              <w:rPr>
                <w:rFonts w:hint="default"/>
                <w:color w:val="auto"/>
                <w:highlight w:val="none"/>
              </w:rPr>
            </w:pPr>
          </w:p>
          <w:p w14:paraId="65209B3E">
            <w:pPr>
              <w:keepNext w:val="0"/>
              <w:keepLines w:val="0"/>
              <w:suppressLineNumbers w:val="0"/>
              <w:tabs>
                <w:tab w:val="left" w:pos="1040"/>
              </w:tabs>
              <w:adjustRightInd w:val="0"/>
              <w:snapToGrid w:val="0"/>
              <w:spacing w:before="0" w:beforeAutospacing="0" w:after="0" w:afterAutospacing="0"/>
              <w:ind w:left="0" w:right="0" w:firstLine="520" w:firstLineChars="200"/>
              <w:jc w:val="center"/>
              <w:rPr>
                <w:rFonts w:hint="default"/>
                <w:color w:val="auto"/>
                <w:kern w:val="0"/>
                <w:sz w:val="26"/>
                <w:szCs w:val="26"/>
                <w:highlight w:val="none"/>
              </w:rPr>
            </w:pPr>
            <w:r>
              <w:rPr>
                <w:rFonts w:hint="eastAsia"/>
                <w:color w:val="auto"/>
                <w:kern w:val="0"/>
                <w:sz w:val="26"/>
                <w:szCs w:val="26"/>
                <w:highlight w:val="none"/>
              </w:rPr>
              <w:t>表</w:t>
            </w:r>
            <w:r>
              <w:rPr>
                <w:rFonts w:hint="default"/>
                <w:color w:val="auto"/>
                <w:kern w:val="0"/>
                <w:sz w:val="26"/>
                <w:szCs w:val="26"/>
                <w:highlight w:val="none"/>
              </w:rPr>
              <w:t>4.2-</w:t>
            </w:r>
            <w:r>
              <w:rPr>
                <w:rFonts w:hint="eastAsia"/>
                <w:color w:val="auto"/>
                <w:kern w:val="0"/>
                <w:sz w:val="26"/>
                <w:szCs w:val="26"/>
                <w:highlight w:val="none"/>
                <w:lang w:val="en-US" w:eastAsia="zh-CN"/>
              </w:rPr>
              <w:t>7</w:t>
            </w:r>
            <w:r>
              <w:rPr>
                <w:rFonts w:hint="eastAsia"/>
                <w:color w:val="auto"/>
                <w:kern w:val="0"/>
                <w:sz w:val="26"/>
                <w:szCs w:val="26"/>
                <w:highlight w:val="none"/>
              </w:rPr>
              <w:t xml:space="preserve">  项目运营期非正常工况排放情况一览表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763"/>
              <w:gridCol w:w="865"/>
              <w:gridCol w:w="1080"/>
              <w:gridCol w:w="1086"/>
              <w:gridCol w:w="950"/>
              <w:gridCol w:w="839"/>
              <w:gridCol w:w="738"/>
              <w:gridCol w:w="763"/>
              <w:gridCol w:w="1376"/>
            </w:tblGrid>
            <w:tr w14:paraId="419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dxa"/>
                  <w:vMerge w:val="restart"/>
                  <w:vAlign w:val="center"/>
                </w:tcPr>
                <w:p w14:paraId="0DBBE4B2">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污染源</w:t>
                  </w:r>
                </w:p>
              </w:tc>
              <w:tc>
                <w:tcPr>
                  <w:tcW w:w="776" w:type="dxa"/>
                  <w:vMerge w:val="restart"/>
                  <w:vAlign w:val="center"/>
                </w:tcPr>
                <w:p w14:paraId="5E0DFD40">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非正常排放原因</w:t>
                  </w:r>
                </w:p>
              </w:tc>
              <w:tc>
                <w:tcPr>
                  <w:tcW w:w="866" w:type="dxa"/>
                  <w:vMerge w:val="restart"/>
                  <w:vAlign w:val="center"/>
                </w:tcPr>
                <w:p w14:paraId="1190B3D7">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污染物</w:t>
                  </w:r>
                </w:p>
              </w:tc>
              <w:tc>
                <w:tcPr>
                  <w:tcW w:w="1094" w:type="dxa"/>
                  <w:vMerge w:val="restart"/>
                  <w:vAlign w:val="center"/>
                </w:tcPr>
                <w:p w14:paraId="05169FB2">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非正常排放速率(kg/h)</w:t>
                  </w:r>
                </w:p>
              </w:tc>
              <w:tc>
                <w:tcPr>
                  <w:tcW w:w="1094" w:type="dxa"/>
                  <w:vMerge w:val="restart"/>
                  <w:vAlign w:val="center"/>
                </w:tcPr>
                <w:p w14:paraId="3982AD2E">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非正常排放浓度(</w:t>
                  </w:r>
                  <w:r>
                    <w:rPr>
                      <w:rFonts w:hint="default"/>
                      <w:color w:val="auto"/>
                      <w:kern w:val="0"/>
                      <w:sz w:val="20"/>
                      <w:szCs w:val="20"/>
                      <w:highlight w:val="none"/>
                    </w:rPr>
                    <w:t>m</w:t>
                  </w:r>
                  <w:r>
                    <w:rPr>
                      <w:rFonts w:hint="eastAsia"/>
                      <w:color w:val="auto"/>
                      <w:kern w:val="0"/>
                      <w:sz w:val="20"/>
                      <w:szCs w:val="20"/>
                      <w:highlight w:val="none"/>
                    </w:rPr>
                    <w:t>g/m</w:t>
                  </w:r>
                  <w:r>
                    <w:rPr>
                      <w:rFonts w:hint="eastAsia"/>
                      <w:color w:val="auto"/>
                      <w:kern w:val="0"/>
                      <w:sz w:val="20"/>
                      <w:szCs w:val="20"/>
                      <w:highlight w:val="none"/>
                      <w:vertAlign w:val="superscript"/>
                    </w:rPr>
                    <w:t>3</w:t>
                  </w:r>
                  <w:r>
                    <w:rPr>
                      <w:rFonts w:hint="default"/>
                      <w:color w:val="auto"/>
                      <w:kern w:val="0"/>
                      <w:sz w:val="20"/>
                      <w:szCs w:val="20"/>
                      <w:highlight w:val="none"/>
                    </w:rPr>
                    <w:t>)</w:t>
                  </w:r>
                </w:p>
              </w:tc>
              <w:tc>
                <w:tcPr>
                  <w:tcW w:w="1702" w:type="dxa"/>
                  <w:gridSpan w:val="2"/>
                  <w:vAlign w:val="center"/>
                </w:tcPr>
                <w:p w14:paraId="046E48BE">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排放限值</w:t>
                  </w:r>
                </w:p>
              </w:tc>
              <w:tc>
                <w:tcPr>
                  <w:tcW w:w="749" w:type="dxa"/>
                  <w:vMerge w:val="restart"/>
                  <w:vAlign w:val="center"/>
                </w:tcPr>
                <w:p w14:paraId="0AD8DD27">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单次持续时间</w:t>
                  </w:r>
                </w:p>
                <w:p w14:paraId="1B18F1EF">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(h</w:t>
                  </w:r>
                  <w:r>
                    <w:rPr>
                      <w:rFonts w:hint="default"/>
                      <w:color w:val="auto"/>
                      <w:kern w:val="0"/>
                      <w:sz w:val="20"/>
                      <w:szCs w:val="20"/>
                      <w:highlight w:val="none"/>
                    </w:rPr>
                    <w:t>)</w:t>
                  </w:r>
                </w:p>
              </w:tc>
              <w:tc>
                <w:tcPr>
                  <w:tcW w:w="771" w:type="dxa"/>
                  <w:vMerge w:val="restart"/>
                  <w:vAlign w:val="center"/>
                </w:tcPr>
                <w:p w14:paraId="6DE4DDF2">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年发生频次</w:t>
                  </w:r>
                </w:p>
                <w:p w14:paraId="58706DE6">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(次</w:t>
                  </w:r>
                  <w:r>
                    <w:rPr>
                      <w:rFonts w:hint="default"/>
                      <w:color w:val="auto"/>
                      <w:kern w:val="0"/>
                      <w:sz w:val="20"/>
                      <w:szCs w:val="20"/>
                      <w:highlight w:val="none"/>
                    </w:rPr>
                    <w:t>)</w:t>
                  </w:r>
                </w:p>
              </w:tc>
              <w:tc>
                <w:tcPr>
                  <w:tcW w:w="1405" w:type="dxa"/>
                  <w:vMerge w:val="restart"/>
                  <w:vAlign w:val="center"/>
                </w:tcPr>
                <w:p w14:paraId="4F157CC5">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应对措施</w:t>
                  </w:r>
                </w:p>
              </w:tc>
            </w:tr>
            <w:tr w14:paraId="6DC9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dxa"/>
                  <w:vMerge w:val="continue"/>
                  <w:vAlign w:val="center"/>
                </w:tcPr>
                <w:p w14:paraId="10F783E7">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776" w:type="dxa"/>
                  <w:vMerge w:val="continue"/>
                  <w:vAlign w:val="center"/>
                </w:tcPr>
                <w:p w14:paraId="039838F4">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866" w:type="dxa"/>
                  <w:vMerge w:val="continue"/>
                  <w:vAlign w:val="center"/>
                </w:tcPr>
                <w:p w14:paraId="109610F2">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1094" w:type="dxa"/>
                  <w:vMerge w:val="continue"/>
                  <w:vAlign w:val="center"/>
                </w:tcPr>
                <w:p w14:paraId="3F89CFA8">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1094" w:type="dxa"/>
                  <w:vMerge w:val="continue"/>
                  <w:vAlign w:val="center"/>
                </w:tcPr>
                <w:p w14:paraId="08AFD2D4">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953" w:type="dxa"/>
                  <w:vAlign w:val="center"/>
                </w:tcPr>
                <w:p w14:paraId="4D10F436">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浓度(</w:t>
                  </w:r>
                  <w:r>
                    <w:rPr>
                      <w:rFonts w:hint="default"/>
                      <w:color w:val="auto"/>
                      <w:kern w:val="0"/>
                      <w:sz w:val="20"/>
                      <w:szCs w:val="20"/>
                      <w:highlight w:val="none"/>
                    </w:rPr>
                    <w:t>m</w:t>
                  </w:r>
                  <w:r>
                    <w:rPr>
                      <w:rFonts w:hint="eastAsia"/>
                      <w:color w:val="auto"/>
                      <w:kern w:val="0"/>
                      <w:sz w:val="20"/>
                      <w:szCs w:val="20"/>
                      <w:highlight w:val="none"/>
                    </w:rPr>
                    <w:t>g/m</w:t>
                  </w:r>
                  <w:r>
                    <w:rPr>
                      <w:rFonts w:hint="eastAsia"/>
                      <w:color w:val="auto"/>
                      <w:kern w:val="0"/>
                      <w:sz w:val="20"/>
                      <w:szCs w:val="20"/>
                      <w:highlight w:val="none"/>
                      <w:vertAlign w:val="superscript"/>
                    </w:rPr>
                    <w:t>3</w:t>
                  </w:r>
                  <w:r>
                    <w:rPr>
                      <w:rFonts w:hint="eastAsia"/>
                      <w:color w:val="auto"/>
                      <w:kern w:val="0"/>
                      <w:sz w:val="20"/>
                      <w:szCs w:val="20"/>
                      <w:highlight w:val="none"/>
                    </w:rPr>
                    <w:t>)</w:t>
                  </w:r>
                </w:p>
              </w:tc>
              <w:tc>
                <w:tcPr>
                  <w:tcW w:w="749" w:type="dxa"/>
                  <w:vAlign w:val="center"/>
                </w:tcPr>
                <w:p w14:paraId="6C7DFB41">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eastAsia"/>
                      <w:color w:val="auto"/>
                      <w:kern w:val="0"/>
                      <w:sz w:val="20"/>
                      <w:szCs w:val="20"/>
                      <w:highlight w:val="none"/>
                    </w:rPr>
                    <w:t>速率</w:t>
                  </w:r>
                  <w:r>
                    <w:rPr>
                      <w:rFonts w:hint="eastAsia"/>
                      <w:color w:val="auto"/>
                      <w:kern w:val="0"/>
                      <w:sz w:val="20"/>
                      <w:szCs w:val="20"/>
                      <w:highlight w:val="none"/>
                      <w:lang w:eastAsia="zh-CN"/>
                    </w:rPr>
                    <w:t>（</w:t>
                  </w:r>
                  <w:r>
                    <w:rPr>
                      <w:rFonts w:hint="eastAsia"/>
                      <w:color w:val="auto"/>
                      <w:kern w:val="0"/>
                      <w:sz w:val="20"/>
                      <w:szCs w:val="20"/>
                      <w:highlight w:val="none"/>
                    </w:rPr>
                    <w:t>k</w:t>
                  </w:r>
                  <w:r>
                    <w:rPr>
                      <w:rFonts w:hint="default"/>
                      <w:color w:val="auto"/>
                      <w:kern w:val="0"/>
                      <w:sz w:val="20"/>
                      <w:szCs w:val="20"/>
                      <w:highlight w:val="none"/>
                    </w:rPr>
                    <w:t>g/h</w:t>
                  </w:r>
                  <w:r>
                    <w:rPr>
                      <w:rFonts w:hint="eastAsia"/>
                      <w:color w:val="auto"/>
                      <w:kern w:val="0"/>
                      <w:sz w:val="20"/>
                      <w:szCs w:val="20"/>
                      <w:highlight w:val="none"/>
                    </w:rPr>
                    <w:t>)</w:t>
                  </w:r>
                </w:p>
              </w:tc>
              <w:tc>
                <w:tcPr>
                  <w:tcW w:w="749" w:type="dxa"/>
                  <w:vMerge w:val="continue"/>
                  <w:vAlign w:val="center"/>
                </w:tcPr>
                <w:p w14:paraId="2C4DA823">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771" w:type="dxa"/>
                  <w:vMerge w:val="continue"/>
                  <w:vAlign w:val="center"/>
                </w:tcPr>
                <w:p w14:paraId="34DE9548">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1405" w:type="dxa"/>
                  <w:vMerge w:val="continue"/>
                  <w:vAlign w:val="center"/>
                </w:tcPr>
                <w:p w14:paraId="39F91012">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r>
            <w:tr w14:paraId="0986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dxa"/>
                  <w:vAlign w:val="center"/>
                </w:tcPr>
                <w:p w14:paraId="01E57EDE">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DA001</w:t>
                  </w:r>
                </w:p>
              </w:tc>
              <w:tc>
                <w:tcPr>
                  <w:tcW w:w="776" w:type="dxa"/>
                  <w:vAlign w:val="center"/>
                </w:tcPr>
                <w:p w14:paraId="1B787665">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default"/>
                      <w:color w:val="auto"/>
                      <w:kern w:val="0"/>
                      <w:sz w:val="20"/>
                      <w:szCs w:val="20"/>
                      <w:highlight w:val="none"/>
                    </w:rPr>
                    <w:t>处理设施发生故障</w:t>
                  </w:r>
                </w:p>
              </w:tc>
              <w:tc>
                <w:tcPr>
                  <w:tcW w:w="866" w:type="dxa"/>
                  <w:vAlign w:val="center"/>
                </w:tcPr>
                <w:p w14:paraId="35E3D3C0">
                  <w:pPr>
                    <w:keepNext w:val="0"/>
                    <w:keepLines w:val="0"/>
                    <w:widowControl/>
                    <w:suppressLineNumbers w:val="0"/>
                    <w:spacing w:before="0" w:beforeAutospacing="0" w:after="0" w:afterAutospacing="0"/>
                    <w:ind w:left="0" w:right="0"/>
                    <w:jc w:val="center"/>
                    <w:textAlignment w:val="center"/>
                    <w:rPr>
                      <w:rFonts w:hint="eastAsia" w:eastAsia="宋体"/>
                      <w:color w:val="auto"/>
                      <w:kern w:val="0"/>
                      <w:sz w:val="20"/>
                      <w:szCs w:val="20"/>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颗粒物</w:t>
                  </w:r>
                </w:p>
              </w:tc>
              <w:tc>
                <w:tcPr>
                  <w:tcW w:w="1094" w:type="dxa"/>
                  <w:vAlign w:val="center"/>
                </w:tcPr>
                <w:p w14:paraId="0B04EAC8">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0.09 </w:t>
                  </w:r>
                </w:p>
              </w:tc>
              <w:tc>
                <w:tcPr>
                  <w:tcW w:w="1094" w:type="dxa"/>
                  <w:vAlign w:val="center"/>
                </w:tcPr>
                <w:p w14:paraId="4F77B4FC">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2.9</w:t>
                  </w:r>
                </w:p>
              </w:tc>
              <w:tc>
                <w:tcPr>
                  <w:tcW w:w="953" w:type="dxa"/>
                  <w:vAlign w:val="center"/>
                </w:tcPr>
                <w:p w14:paraId="31A2D820">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30</w:t>
                  </w:r>
                </w:p>
              </w:tc>
              <w:tc>
                <w:tcPr>
                  <w:tcW w:w="749" w:type="dxa"/>
                  <w:vAlign w:val="center"/>
                </w:tcPr>
                <w:p w14:paraId="487E0820">
                  <w:pPr>
                    <w:keepNext w:val="0"/>
                    <w:keepLines w:val="0"/>
                    <w:suppressLineNumbers w:val="0"/>
                    <w:tabs>
                      <w:tab w:val="left" w:pos="1040"/>
                    </w:tabs>
                    <w:adjustRightInd w:val="0"/>
                    <w:snapToGrid w:val="0"/>
                    <w:spacing w:before="0" w:beforeAutospacing="0" w:after="0" w:afterAutospacing="0"/>
                    <w:ind w:left="0" w:right="0"/>
                    <w:jc w:val="center"/>
                    <w:rPr>
                      <w:rFonts w:hint="eastAsia" w:eastAsia="宋体"/>
                      <w:color w:val="auto"/>
                      <w:kern w:val="0"/>
                      <w:sz w:val="20"/>
                      <w:szCs w:val="20"/>
                      <w:highlight w:val="none"/>
                      <w:lang w:val="en-US" w:eastAsia="zh-CN"/>
                    </w:rPr>
                  </w:pPr>
                  <w:r>
                    <w:rPr>
                      <w:rFonts w:hint="eastAsia"/>
                      <w:color w:val="auto"/>
                      <w:kern w:val="0"/>
                      <w:sz w:val="20"/>
                      <w:szCs w:val="20"/>
                      <w:highlight w:val="none"/>
                      <w:lang w:val="en-US" w:eastAsia="zh-CN"/>
                    </w:rPr>
                    <w:t>/</w:t>
                  </w:r>
                </w:p>
              </w:tc>
              <w:tc>
                <w:tcPr>
                  <w:tcW w:w="749" w:type="dxa"/>
                  <w:vAlign w:val="center"/>
                </w:tcPr>
                <w:p w14:paraId="65B91D3D">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771" w:type="dxa"/>
                  <w:vAlign w:val="center"/>
                </w:tcPr>
                <w:p w14:paraId="6834F700">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1405" w:type="dxa"/>
                  <w:vAlign w:val="center"/>
                </w:tcPr>
                <w:p w14:paraId="5C461112">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0"/>
                      <w:szCs w:val="20"/>
                      <w:highlight w:val="none"/>
                    </w:rPr>
                  </w:pPr>
                  <w:r>
                    <w:rPr>
                      <w:rFonts w:hint="eastAsia"/>
                      <w:color w:val="auto"/>
                      <w:kern w:val="0"/>
                      <w:sz w:val="20"/>
                      <w:szCs w:val="20"/>
                      <w:highlight w:val="none"/>
                    </w:rPr>
                    <w:t>对项目设备定期保养，避免处理设施故障</w:t>
                  </w:r>
                </w:p>
              </w:tc>
            </w:tr>
            <w:tr w14:paraId="5C49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dxa"/>
                  <w:vAlign w:val="center"/>
                </w:tcPr>
                <w:p w14:paraId="01528E74">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DA003</w:t>
                  </w:r>
                </w:p>
              </w:tc>
              <w:tc>
                <w:tcPr>
                  <w:tcW w:w="776" w:type="dxa"/>
                  <w:vAlign w:val="center"/>
                </w:tcPr>
                <w:p w14:paraId="1D4261DF">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default"/>
                      <w:color w:val="auto"/>
                      <w:kern w:val="0"/>
                      <w:sz w:val="20"/>
                      <w:szCs w:val="20"/>
                      <w:highlight w:val="none"/>
                    </w:rPr>
                    <w:t>处理设施发生故障</w:t>
                  </w:r>
                </w:p>
              </w:tc>
              <w:tc>
                <w:tcPr>
                  <w:tcW w:w="866" w:type="dxa"/>
                  <w:vAlign w:val="center"/>
                </w:tcPr>
                <w:p w14:paraId="45FA98AD">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颗粒物</w:t>
                  </w:r>
                </w:p>
              </w:tc>
              <w:tc>
                <w:tcPr>
                  <w:tcW w:w="1094" w:type="dxa"/>
                  <w:vAlign w:val="center"/>
                </w:tcPr>
                <w:p w14:paraId="73837EC6">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eastAsia" w:cs="Times New Roman"/>
                      <w:i w:val="0"/>
                      <w:iCs w:val="0"/>
                      <w:color w:val="auto"/>
                      <w:kern w:val="0"/>
                      <w:sz w:val="21"/>
                      <w:szCs w:val="21"/>
                      <w:highlight w:val="none"/>
                      <w:u w:val="none"/>
                      <w:lang w:val="en-US" w:eastAsia="zh-CN" w:bidi="ar"/>
                    </w:rPr>
                    <w:t>2.13</w:t>
                  </w:r>
                  <w:r>
                    <w:rPr>
                      <w:rFonts w:hint="default" w:ascii="Times New Roman" w:hAnsi="Times New Roman" w:eastAsia="宋体" w:cs="Times New Roman"/>
                      <w:i w:val="0"/>
                      <w:iCs w:val="0"/>
                      <w:color w:val="auto"/>
                      <w:kern w:val="0"/>
                      <w:sz w:val="21"/>
                      <w:szCs w:val="21"/>
                      <w:highlight w:val="none"/>
                      <w:u w:val="none"/>
                      <w:lang w:val="en-US" w:eastAsia="zh-CN" w:bidi="ar"/>
                    </w:rPr>
                    <w:t xml:space="preserve"> </w:t>
                  </w:r>
                </w:p>
              </w:tc>
              <w:tc>
                <w:tcPr>
                  <w:tcW w:w="1094" w:type="dxa"/>
                  <w:vAlign w:val="center"/>
                </w:tcPr>
                <w:p w14:paraId="6FFC13B6">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lang w:val="en-US"/>
                    </w:rPr>
                  </w:pPr>
                  <w:r>
                    <w:rPr>
                      <w:rFonts w:hint="eastAsia" w:cs="Times New Roman"/>
                      <w:i w:val="0"/>
                      <w:iCs w:val="0"/>
                      <w:color w:val="auto"/>
                      <w:kern w:val="0"/>
                      <w:sz w:val="21"/>
                      <w:szCs w:val="21"/>
                      <w:highlight w:val="none"/>
                      <w:u w:val="none"/>
                      <w:lang w:val="en-US" w:eastAsia="zh-CN" w:bidi="ar"/>
                    </w:rPr>
                    <w:t>106.5</w:t>
                  </w:r>
                </w:p>
              </w:tc>
              <w:tc>
                <w:tcPr>
                  <w:tcW w:w="953" w:type="dxa"/>
                  <w:vAlign w:val="center"/>
                </w:tcPr>
                <w:p w14:paraId="68267945">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30</w:t>
                  </w:r>
                </w:p>
              </w:tc>
              <w:tc>
                <w:tcPr>
                  <w:tcW w:w="749" w:type="dxa"/>
                  <w:vAlign w:val="center"/>
                </w:tcPr>
                <w:p w14:paraId="5B07AB32">
                  <w:pPr>
                    <w:keepNext w:val="0"/>
                    <w:keepLines w:val="0"/>
                    <w:suppressLineNumbers w:val="0"/>
                    <w:tabs>
                      <w:tab w:val="left" w:pos="1040"/>
                    </w:tabs>
                    <w:adjustRightInd w:val="0"/>
                    <w:snapToGrid w:val="0"/>
                    <w:spacing w:before="0" w:beforeAutospacing="0" w:after="0" w:afterAutospacing="0"/>
                    <w:ind w:left="0" w:right="0"/>
                    <w:jc w:val="center"/>
                    <w:rPr>
                      <w:rFonts w:hint="eastAsia" w:eastAsia="宋体"/>
                      <w:color w:val="auto"/>
                      <w:kern w:val="0"/>
                      <w:sz w:val="20"/>
                      <w:szCs w:val="20"/>
                      <w:highlight w:val="none"/>
                      <w:lang w:val="en-US" w:eastAsia="zh-CN"/>
                    </w:rPr>
                  </w:pPr>
                  <w:r>
                    <w:rPr>
                      <w:rFonts w:hint="eastAsia"/>
                      <w:color w:val="auto"/>
                      <w:kern w:val="0"/>
                      <w:sz w:val="20"/>
                      <w:szCs w:val="20"/>
                      <w:highlight w:val="none"/>
                      <w:lang w:val="en-US" w:eastAsia="zh-CN"/>
                    </w:rPr>
                    <w:t>/</w:t>
                  </w:r>
                </w:p>
              </w:tc>
              <w:tc>
                <w:tcPr>
                  <w:tcW w:w="749" w:type="dxa"/>
                  <w:vAlign w:val="center"/>
                </w:tcPr>
                <w:p w14:paraId="51D3EFD7">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771" w:type="dxa"/>
                  <w:vAlign w:val="center"/>
                </w:tcPr>
                <w:p w14:paraId="391AAFE6">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1405" w:type="dxa"/>
                  <w:vAlign w:val="center"/>
                </w:tcPr>
                <w:p w14:paraId="2D23662C">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0"/>
                      <w:szCs w:val="20"/>
                      <w:highlight w:val="none"/>
                    </w:rPr>
                  </w:pPr>
                  <w:r>
                    <w:rPr>
                      <w:rFonts w:hint="eastAsia"/>
                      <w:color w:val="auto"/>
                      <w:kern w:val="0"/>
                      <w:sz w:val="20"/>
                      <w:szCs w:val="20"/>
                      <w:highlight w:val="none"/>
                    </w:rPr>
                    <w:t>对项目设备定期保养，避免处理设施故障</w:t>
                  </w:r>
                </w:p>
              </w:tc>
            </w:tr>
            <w:tr w14:paraId="5FAD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0" w:type="dxa"/>
                  <w:vAlign w:val="center"/>
                </w:tcPr>
                <w:p w14:paraId="281DAA45">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DA002</w:t>
                  </w:r>
                </w:p>
              </w:tc>
              <w:tc>
                <w:tcPr>
                  <w:tcW w:w="776" w:type="dxa"/>
                  <w:vAlign w:val="center"/>
                </w:tcPr>
                <w:p w14:paraId="39E8E89A">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default"/>
                      <w:color w:val="auto"/>
                      <w:kern w:val="0"/>
                      <w:sz w:val="20"/>
                      <w:szCs w:val="20"/>
                      <w:highlight w:val="none"/>
                    </w:rPr>
                    <w:t>处理设施发生故障</w:t>
                  </w:r>
                </w:p>
              </w:tc>
              <w:tc>
                <w:tcPr>
                  <w:tcW w:w="866" w:type="dxa"/>
                  <w:vAlign w:val="center"/>
                </w:tcPr>
                <w:p w14:paraId="0DC7A975">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NMHC</w:t>
                  </w:r>
                </w:p>
              </w:tc>
              <w:tc>
                <w:tcPr>
                  <w:tcW w:w="1094" w:type="dxa"/>
                  <w:vAlign w:val="center"/>
                </w:tcPr>
                <w:p w14:paraId="3F1F7DFD">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6.08 </w:t>
                  </w:r>
                </w:p>
              </w:tc>
              <w:tc>
                <w:tcPr>
                  <w:tcW w:w="1094" w:type="dxa"/>
                  <w:vAlign w:val="center"/>
                </w:tcPr>
                <w:p w14:paraId="56380B1E">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121.7 </w:t>
                  </w:r>
                </w:p>
              </w:tc>
              <w:tc>
                <w:tcPr>
                  <w:tcW w:w="953" w:type="dxa"/>
                  <w:vAlign w:val="center"/>
                </w:tcPr>
                <w:p w14:paraId="26DF4D67">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120</w:t>
                  </w:r>
                </w:p>
              </w:tc>
              <w:tc>
                <w:tcPr>
                  <w:tcW w:w="749" w:type="dxa"/>
                  <w:vAlign w:val="center"/>
                </w:tcPr>
                <w:p w14:paraId="060F01B5">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10</w:t>
                  </w:r>
                </w:p>
              </w:tc>
              <w:tc>
                <w:tcPr>
                  <w:tcW w:w="749" w:type="dxa"/>
                  <w:vAlign w:val="center"/>
                </w:tcPr>
                <w:p w14:paraId="47493107">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771" w:type="dxa"/>
                  <w:vAlign w:val="center"/>
                </w:tcPr>
                <w:p w14:paraId="2EE5F812">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1405" w:type="dxa"/>
                  <w:vAlign w:val="center"/>
                </w:tcPr>
                <w:p w14:paraId="778D700B">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0"/>
                      <w:szCs w:val="20"/>
                      <w:highlight w:val="none"/>
                    </w:rPr>
                  </w:pPr>
                  <w:r>
                    <w:rPr>
                      <w:rFonts w:hint="eastAsia"/>
                      <w:color w:val="auto"/>
                      <w:kern w:val="0"/>
                      <w:sz w:val="20"/>
                      <w:szCs w:val="20"/>
                      <w:highlight w:val="none"/>
                    </w:rPr>
                    <w:t>对项目设备定期保养，避免处理设施故障</w:t>
                  </w:r>
                </w:p>
              </w:tc>
            </w:tr>
            <w:tr w14:paraId="64A8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60" w:type="dxa"/>
                  <w:vMerge w:val="restart"/>
                  <w:vAlign w:val="center"/>
                </w:tcPr>
                <w:p w14:paraId="75D291F1">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DA004</w:t>
                  </w:r>
                </w:p>
              </w:tc>
              <w:tc>
                <w:tcPr>
                  <w:tcW w:w="776" w:type="dxa"/>
                  <w:vMerge w:val="restart"/>
                  <w:vAlign w:val="center"/>
                </w:tcPr>
                <w:p w14:paraId="37DD4C53">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r>
                    <w:rPr>
                      <w:rFonts w:hint="default"/>
                      <w:color w:val="auto"/>
                      <w:kern w:val="0"/>
                      <w:sz w:val="20"/>
                      <w:szCs w:val="20"/>
                      <w:highlight w:val="none"/>
                    </w:rPr>
                    <w:t>处理设施发生故障</w:t>
                  </w:r>
                </w:p>
              </w:tc>
              <w:tc>
                <w:tcPr>
                  <w:tcW w:w="866" w:type="dxa"/>
                  <w:vAlign w:val="center"/>
                </w:tcPr>
                <w:p w14:paraId="49DC623C">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eastAsia" w:ascii="宋体" w:hAnsi="宋体" w:eastAsia="宋体" w:cs="宋体"/>
                      <w:i w:val="0"/>
                      <w:iCs w:val="0"/>
                      <w:color w:val="auto"/>
                      <w:kern w:val="0"/>
                      <w:sz w:val="21"/>
                      <w:szCs w:val="21"/>
                      <w:highlight w:val="none"/>
                      <w:u w:val="none"/>
                      <w:lang w:val="en-US" w:eastAsia="zh-CN" w:bidi="ar"/>
                    </w:rPr>
                    <w:t>颗粒物</w:t>
                  </w:r>
                </w:p>
              </w:tc>
              <w:tc>
                <w:tcPr>
                  <w:tcW w:w="1094" w:type="dxa"/>
                  <w:vAlign w:val="center"/>
                </w:tcPr>
                <w:p w14:paraId="081BF1CB">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0.01 </w:t>
                  </w:r>
                </w:p>
              </w:tc>
              <w:tc>
                <w:tcPr>
                  <w:tcW w:w="1094" w:type="dxa"/>
                  <w:vAlign w:val="center"/>
                </w:tcPr>
                <w:p w14:paraId="4FFBB438">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928.</w:t>
                  </w:r>
                  <w:r>
                    <w:rPr>
                      <w:rFonts w:hint="eastAsia" w:cs="Times New Roman"/>
                      <w:i w:val="0"/>
                      <w:iCs w:val="0"/>
                      <w:color w:val="auto"/>
                      <w:kern w:val="0"/>
                      <w:sz w:val="21"/>
                      <w:szCs w:val="21"/>
                      <w:highlight w:val="none"/>
                      <w:u w:val="none"/>
                      <w:lang w:val="en-US" w:eastAsia="zh-CN" w:bidi="ar"/>
                    </w:rPr>
                    <w:t>36</w:t>
                  </w:r>
                </w:p>
              </w:tc>
              <w:tc>
                <w:tcPr>
                  <w:tcW w:w="953" w:type="dxa"/>
                  <w:vAlign w:val="center"/>
                </w:tcPr>
                <w:p w14:paraId="7FC7D364">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12</w:t>
                  </w:r>
                </w:p>
              </w:tc>
              <w:tc>
                <w:tcPr>
                  <w:tcW w:w="749" w:type="dxa"/>
                  <w:vAlign w:val="center"/>
                </w:tcPr>
                <w:p w14:paraId="5C10FA22">
                  <w:pPr>
                    <w:keepNext w:val="0"/>
                    <w:keepLines w:val="0"/>
                    <w:suppressLineNumbers w:val="0"/>
                    <w:tabs>
                      <w:tab w:val="left" w:pos="1040"/>
                    </w:tabs>
                    <w:adjustRightInd w:val="0"/>
                    <w:snapToGrid w:val="0"/>
                    <w:spacing w:before="0" w:beforeAutospacing="0" w:after="0" w:afterAutospacing="0"/>
                    <w:ind w:left="0" w:right="0"/>
                    <w:jc w:val="center"/>
                    <w:rPr>
                      <w:rFonts w:hint="eastAsia" w:eastAsia="宋体"/>
                      <w:color w:val="auto"/>
                      <w:kern w:val="0"/>
                      <w:sz w:val="20"/>
                      <w:szCs w:val="20"/>
                      <w:highlight w:val="none"/>
                      <w:lang w:val="en-US" w:eastAsia="zh-CN"/>
                    </w:rPr>
                  </w:pPr>
                  <w:r>
                    <w:rPr>
                      <w:rFonts w:hint="eastAsia"/>
                      <w:color w:val="auto"/>
                      <w:kern w:val="0"/>
                      <w:sz w:val="20"/>
                      <w:szCs w:val="20"/>
                      <w:highlight w:val="none"/>
                      <w:lang w:val="en-US" w:eastAsia="zh-CN"/>
                    </w:rPr>
                    <w:t>/</w:t>
                  </w:r>
                </w:p>
              </w:tc>
              <w:tc>
                <w:tcPr>
                  <w:tcW w:w="749" w:type="dxa"/>
                  <w:vAlign w:val="center"/>
                </w:tcPr>
                <w:p w14:paraId="54B5197D">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771" w:type="dxa"/>
                  <w:vAlign w:val="center"/>
                </w:tcPr>
                <w:p w14:paraId="2A924992">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1405" w:type="dxa"/>
                  <w:vAlign w:val="center"/>
                </w:tcPr>
                <w:p w14:paraId="16461F85">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0"/>
                      <w:szCs w:val="20"/>
                      <w:highlight w:val="none"/>
                    </w:rPr>
                  </w:pPr>
                  <w:r>
                    <w:rPr>
                      <w:rFonts w:hint="eastAsia"/>
                      <w:color w:val="auto"/>
                      <w:kern w:val="0"/>
                      <w:sz w:val="20"/>
                      <w:szCs w:val="20"/>
                      <w:highlight w:val="none"/>
                    </w:rPr>
                    <w:t>对项目设备定期保养，避免处理设施故障</w:t>
                  </w:r>
                </w:p>
              </w:tc>
            </w:tr>
            <w:tr w14:paraId="198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60" w:type="dxa"/>
                  <w:vMerge w:val="continue"/>
                  <w:vAlign w:val="center"/>
                </w:tcPr>
                <w:p w14:paraId="2FA0F800">
                  <w:pPr>
                    <w:keepNext w:val="0"/>
                    <w:keepLines w:val="0"/>
                    <w:suppressLineNumbers w:val="0"/>
                    <w:tabs>
                      <w:tab w:val="left" w:pos="1040"/>
                    </w:tabs>
                    <w:adjustRightInd w:val="0"/>
                    <w:snapToGrid w:val="0"/>
                    <w:spacing w:before="0" w:beforeAutospacing="0" w:after="0" w:afterAutospacing="0"/>
                    <w:ind w:left="0" w:right="0"/>
                    <w:jc w:val="center"/>
                    <w:rPr>
                      <w:rFonts w:hint="eastAsia"/>
                      <w:color w:val="auto"/>
                      <w:kern w:val="0"/>
                      <w:sz w:val="20"/>
                      <w:szCs w:val="20"/>
                      <w:highlight w:val="none"/>
                      <w:lang w:val="en-US" w:eastAsia="zh-CN"/>
                    </w:rPr>
                  </w:pPr>
                </w:p>
              </w:tc>
              <w:tc>
                <w:tcPr>
                  <w:tcW w:w="776" w:type="dxa"/>
                  <w:vMerge w:val="continue"/>
                  <w:vAlign w:val="center"/>
                </w:tcPr>
                <w:p w14:paraId="4CBAD339">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0"/>
                      <w:szCs w:val="20"/>
                      <w:highlight w:val="none"/>
                    </w:rPr>
                  </w:pPr>
                </w:p>
              </w:tc>
              <w:tc>
                <w:tcPr>
                  <w:tcW w:w="866" w:type="dxa"/>
                  <w:vAlign w:val="center"/>
                </w:tcPr>
                <w:p w14:paraId="7362678D">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NMHC</w:t>
                  </w:r>
                </w:p>
              </w:tc>
              <w:tc>
                <w:tcPr>
                  <w:tcW w:w="1094" w:type="dxa"/>
                  <w:vAlign w:val="center"/>
                </w:tcPr>
                <w:p w14:paraId="4DCCAE93">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0.00 </w:t>
                  </w:r>
                </w:p>
              </w:tc>
              <w:tc>
                <w:tcPr>
                  <w:tcW w:w="1094" w:type="dxa"/>
                  <w:vAlign w:val="center"/>
                </w:tcPr>
                <w:p w14:paraId="22C34239">
                  <w:pPr>
                    <w:keepNext w:val="0"/>
                    <w:keepLines w:val="0"/>
                    <w:widowControl/>
                    <w:suppressLineNumbers w:val="0"/>
                    <w:spacing w:before="0" w:beforeAutospacing="0" w:after="0" w:afterAutospacing="0"/>
                    <w:ind w:left="0" w:right="0"/>
                    <w:jc w:val="center"/>
                    <w:textAlignment w:val="center"/>
                    <w:rPr>
                      <w:rFonts w:hint="default"/>
                      <w:color w:val="auto"/>
                      <w:kern w:val="0"/>
                      <w:sz w:val="20"/>
                      <w:szCs w:val="20"/>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13.</w:t>
                  </w:r>
                  <w:r>
                    <w:rPr>
                      <w:rFonts w:hint="eastAsia" w:cs="Times New Roman"/>
                      <w:i w:val="0"/>
                      <w:iCs w:val="0"/>
                      <w:color w:val="auto"/>
                      <w:kern w:val="0"/>
                      <w:sz w:val="21"/>
                      <w:szCs w:val="21"/>
                      <w:highlight w:val="none"/>
                      <w:u w:val="none"/>
                      <w:lang w:val="en-US" w:eastAsia="zh-CN" w:bidi="ar"/>
                    </w:rPr>
                    <w:t>39</w:t>
                  </w:r>
                </w:p>
              </w:tc>
              <w:tc>
                <w:tcPr>
                  <w:tcW w:w="953" w:type="dxa"/>
                  <w:vAlign w:val="center"/>
                </w:tcPr>
                <w:p w14:paraId="639BA63C">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10</w:t>
                  </w:r>
                </w:p>
              </w:tc>
              <w:tc>
                <w:tcPr>
                  <w:tcW w:w="749" w:type="dxa"/>
                  <w:vAlign w:val="center"/>
                </w:tcPr>
                <w:p w14:paraId="119D25B8">
                  <w:pPr>
                    <w:keepNext w:val="0"/>
                    <w:keepLines w:val="0"/>
                    <w:suppressLineNumbers w:val="0"/>
                    <w:tabs>
                      <w:tab w:val="left" w:pos="1040"/>
                    </w:tabs>
                    <w:adjustRightInd w:val="0"/>
                    <w:snapToGrid w:val="0"/>
                    <w:spacing w:before="0" w:beforeAutospacing="0" w:after="0" w:afterAutospacing="0"/>
                    <w:ind w:left="0" w:right="0"/>
                    <w:jc w:val="center"/>
                    <w:rPr>
                      <w:rFonts w:hint="eastAsia" w:eastAsia="宋体"/>
                      <w:color w:val="auto"/>
                      <w:kern w:val="0"/>
                      <w:sz w:val="20"/>
                      <w:szCs w:val="20"/>
                      <w:highlight w:val="none"/>
                      <w:lang w:val="en-US" w:eastAsia="zh-CN"/>
                    </w:rPr>
                  </w:pPr>
                  <w:r>
                    <w:rPr>
                      <w:rFonts w:hint="eastAsia"/>
                      <w:color w:val="auto"/>
                      <w:kern w:val="0"/>
                      <w:sz w:val="20"/>
                      <w:szCs w:val="20"/>
                      <w:highlight w:val="none"/>
                      <w:lang w:val="en-US" w:eastAsia="zh-CN"/>
                    </w:rPr>
                    <w:t>/</w:t>
                  </w:r>
                </w:p>
              </w:tc>
              <w:tc>
                <w:tcPr>
                  <w:tcW w:w="749" w:type="dxa"/>
                  <w:vAlign w:val="center"/>
                </w:tcPr>
                <w:p w14:paraId="430375D7">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771" w:type="dxa"/>
                  <w:vAlign w:val="center"/>
                </w:tcPr>
                <w:p w14:paraId="04DF0D43">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0"/>
                      <w:szCs w:val="20"/>
                      <w:highlight w:val="none"/>
                    </w:rPr>
                  </w:pPr>
                  <w:r>
                    <w:rPr>
                      <w:rFonts w:hint="eastAsia"/>
                      <w:color w:val="auto"/>
                      <w:kern w:val="0"/>
                      <w:sz w:val="20"/>
                      <w:szCs w:val="20"/>
                      <w:highlight w:val="none"/>
                    </w:rPr>
                    <w:t>1</w:t>
                  </w:r>
                </w:p>
              </w:tc>
              <w:tc>
                <w:tcPr>
                  <w:tcW w:w="1405" w:type="dxa"/>
                  <w:vAlign w:val="center"/>
                </w:tcPr>
                <w:p w14:paraId="7EF613CB">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0"/>
                      <w:szCs w:val="20"/>
                      <w:highlight w:val="none"/>
                    </w:rPr>
                  </w:pPr>
                  <w:r>
                    <w:rPr>
                      <w:rFonts w:hint="eastAsia"/>
                      <w:color w:val="auto"/>
                      <w:kern w:val="0"/>
                      <w:sz w:val="20"/>
                      <w:szCs w:val="20"/>
                      <w:highlight w:val="none"/>
                    </w:rPr>
                    <w:t>对项目设备定期保养，避免处理设施故障</w:t>
                  </w:r>
                </w:p>
              </w:tc>
            </w:tr>
          </w:tbl>
          <w:p w14:paraId="4C8016C1">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eastAsia"/>
                <w:b/>
                <w:color w:val="auto"/>
                <w:kern w:val="0"/>
                <w:sz w:val="26"/>
                <w:szCs w:val="26"/>
                <w:highlight w:val="none"/>
                <w:lang w:val="en-US" w:eastAsia="zh-CN"/>
              </w:rPr>
            </w:pPr>
          </w:p>
          <w:p w14:paraId="7F7E22E2">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根据上表可知，</w:t>
            </w:r>
            <w:r>
              <w:rPr>
                <w:rFonts w:hint="eastAsia"/>
                <w:color w:val="auto"/>
                <w:highlight w:val="none"/>
                <w:lang w:val="en-US"/>
              </w:rPr>
              <w:t>在考虑处理效率降低至0时</w:t>
            </w:r>
            <w:r>
              <w:rPr>
                <w:rFonts w:hint="eastAsia"/>
                <w:color w:val="auto"/>
                <w:highlight w:val="none"/>
                <w:lang w:val="en-US" w:eastAsia="zh-CN"/>
              </w:rPr>
              <w:t>，DA003、DA002、DA004的污染物排放浓度超标</w:t>
            </w:r>
            <w:r>
              <w:rPr>
                <w:rFonts w:hint="eastAsia"/>
                <w:color w:val="auto"/>
                <w:highlight w:val="none"/>
                <w:lang w:val="en-US"/>
              </w:rPr>
              <w:t>，</w:t>
            </w:r>
            <w:r>
              <w:rPr>
                <w:rFonts w:hint="eastAsia"/>
                <w:color w:val="auto"/>
                <w:highlight w:val="none"/>
                <w:lang w:val="en-US" w:eastAsia="zh-CN"/>
              </w:rPr>
              <w:t>但</w:t>
            </w:r>
            <w:r>
              <w:rPr>
                <w:rFonts w:hint="eastAsia"/>
                <w:color w:val="auto"/>
                <w:highlight w:val="none"/>
              </w:rPr>
              <w:t>对周围环境的影响增大。环评要求项目一旦发生非正常排放，应立即停产，对废气处理设施进行及时检修。为杜绝废气非正常排放，应采取以下措施确保废气达标排放：安排专人负责环保设备的日常维护和管理，及时发现废气处理设备的隐患，确保废气处理系统正常运行；建立健全的环保管理机构，委托具有专业资质的环境检测单位对项目排放的各类污染物进行定期检测；定期维护、检修废气处理装置，以保持废气处理装置的处理能力。</w:t>
            </w:r>
          </w:p>
          <w:p w14:paraId="2CEF562C">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w:t>
            </w:r>
            <w:r>
              <w:rPr>
                <w:rFonts w:hint="eastAsia"/>
                <w:b/>
                <w:color w:val="auto"/>
                <w:kern w:val="0"/>
                <w:sz w:val="26"/>
                <w:szCs w:val="26"/>
                <w:highlight w:val="none"/>
              </w:rPr>
              <w:t>1</w:t>
            </w:r>
            <w:r>
              <w:rPr>
                <w:rFonts w:hint="default"/>
                <w:b/>
                <w:color w:val="auto"/>
                <w:kern w:val="0"/>
                <w:sz w:val="26"/>
                <w:szCs w:val="26"/>
                <w:highlight w:val="none"/>
              </w:rPr>
              <w:t>.</w:t>
            </w:r>
            <w:r>
              <w:rPr>
                <w:rFonts w:hint="eastAsia"/>
                <w:b/>
                <w:color w:val="auto"/>
                <w:kern w:val="0"/>
                <w:sz w:val="26"/>
                <w:szCs w:val="26"/>
                <w:highlight w:val="none"/>
                <w:lang w:val="en-US" w:eastAsia="zh-CN"/>
              </w:rPr>
              <w:t>4</w:t>
            </w:r>
            <w:r>
              <w:rPr>
                <w:rFonts w:hint="eastAsia"/>
                <w:b/>
                <w:color w:val="auto"/>
                <w:kern w:val="0"/>
                <w:sz w:val="26"/>
                <w:szCs w:val="26"/>
                <w:highlight w:val="none"/>
              </w:rPr>
              <w:t>废气治理设施可行性</w:t>
            </w:r>
          </w:p>
          <w:p w14:paraId="65E7BE62">
            <w:pPr>
              <w:pStyle w:val="74"/>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对照《排污许可证申请与核发技术规范 铁路、船舶、航空航天和其他运输设备制造业》（HJ1124-2020）、《排污许可证申请与核发技术规范</w:t>
            </w:r>
            <w:r>
              <w:rPr>
                <w:rFonts w:hint="eastAsia"/>
                <w:color w:val="auto"/>
                <w:highlight w:val="none"/>
                <w:lang w:val="en-US" w:eastAsia="zh-CN"/>
              </w:rPr>
              <w:t xml:space="preserve"> 橡胶和塑料制品工业</w:t>
            </w:r>
            <w:r>
              <w:rPr>
                <w:rFonts w:hint="eastAsia"/>
                <w:color w:val="auto"/>
                <w:highlight w:val="none"/>
                <w:lang w:eastAsia="zh-CN"/>
              </w:rPr>
              <w:t>》（</w:t>
            </w:r>
            <w:r>
              <w:rPr>
                <w:rFonts w:hint="eastAsia"/>
                <w:color w:val="auto"/>
                <w:highlight w:val="none"/>
                <w:lang w:val="en-US" w:eastAsia="zh-CN"/>
              </w:rPr>
              <w:t>HJ1122-2020</w:t>
            </w:r>
            <w:r>
              <w:rPr>
                <w:rFonts w:hint="eastAsia"/>
                <w:color w:val="auto"/>
                <w:highlight w:val="none"/>
                <w:lang w:eastAsia="zh-CN"/>
              </w:rPr>
              <w:t>），本次评价对热熔</w:t>
            </w:r>
            <w:r>
              <w:rPr>
                <w:rFonts w:hint="eastAsia"/>
                <w:color w:val="auto"/>
                <w:highlight w:val="none"/>
                <w:lang w:val="en-US" w:eastAsia="zh-CN"/>
              </w:rPr>
              <w:t>除渣废气</w:t>
            </w:r>
            <w:r>
              <w:rPr>
                <w:rFonts w:hint="eastAsia"/>
                <w:color w:val="auto"/>
                <w:highlight w:val="none"/>
                <w:lang w:eastAsia="zh-CN"/>
              </w:rPr>
              <w:t>、抛丸粉尘、磨加工粉尘以及压铸废气、浸胶、热压和固化废气、</w:t>
            </w:r>
            <w:r>
              <w:rPr>
                <w:rFonts w:hint="eastAsia"/>
                <w:color w:val="auto"/>
                <w:highlight w:val="none"/>
                <w:lang w:val="en-US" w:eastAsia="zh-CN"/>
              </w:rPr>
              <w:t>搅拌挤压废气</w:t>
            </w:r>
            <w:r>
              <w:rPr>
                <w:rFonts w:hint="eastAsia"/>
                <w:color w:val="auto"/>
                <w:highlight w:val="none"/>
                <w:lang w:eastAsia="zh-CN"/>
              </w:rPr>
              <w:t>采用的废气治理设施属于推荐可行技术。</w:t>
            </w:r>
          </w:p>
          <w:p w14:paraId="1D2BB454">
            <w:pPr>
              <w:pStyle w:val="74"/>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根据《2025 年重庆市夏季空气质量提升工作方案》“采用一次性颗粒状活性炭处理VOCs废气，年活性炭使用量宜不应低于VOCs产生量的5倍，即1吨VOCs产生量，需5吨活性炭用于吸附”。</w:t>
            </w:r>
          </w:p>
          <w:p w14:paraId="65B16166">
            <w:pPr>
              <w:pStyle w:val="74"/>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为确保活性炭吸附箱的处理效率，应满足“活性炭应装填齐整，避免气流短路。采用颗粒活性炭时，气体流速宜低于0.60m/s；采用活性炭纤维时，气体流速宜低于0.15m/s”、“颗粒活性炭碘吸附值≥800mg/g”、“&gt;650mg/g；活性炭纤维比表面积应不低于1100m</w:t>
            </w:r>
            <w:r>
              <w:rPr>
                <w:rFonts w:hint="eastAsia"/>
                <w:color w:val="auto"/>
                <w:highlight w:val="none"/>
                <w:vertAlign w:val="superscript"/>
                <w:lang w:eastAsia="zh-CN"/>
              </w:rPr>
              <w:t>2</w:t>
            </w:r>
            <w:r>
              <w:rPr>
                <w:rFonts w:hint="eastAsia"/>
                <w:color w:val="auto"/>
                <w:highlight w:val="none"/>
                <w:lang w:eastAsia="zh-CN"/>
              </w:rPr>
              <w:t>/g(BET法）”“采用一次性颗粒状活性炭处理VOCs废气，年活性炭使用量宜不应低于VOCs产生量的5倍，即1吨VOCs产生量，需5吨活性炭用于吸附。采取组合工艺的，光催化、光氧化、水喷淋（吸收可溶性VOCs除外)、低温等离子等低效治理工艺以去除率不超过10%计算活性炭装填量。排气浓度不满足设计或排放要求时，需及时更换活性炭。</w:t>
            </w:r>
          </w:p>
          <w:p w14:paraId="068133BD">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对照</w:t>
            </w:r>
            <w:r>
              <w:rPr>
                <w:rFonts w:hint="default"/>
                <w:color w:val="auto"/>
                <w:highlight w:val="none"/>
              </w:rPr>
              <w:t>《排污许可证申请与核发技术规范 铁路、船舶、航空航天和其他运输设备制造业》（HJ1124-2020）、《排污许可证申请与核发技术规范 金属铸造工业》（HJ1115-2020）、《排污许可证申请与核发技术规范 橡胶和塑料制品工业》（HJ1122-2020）</w:t>
            </w:r>
            <w:r>
              <w:rPr>
                <w:rFonts w:hint="eastAsia"/>
                <w:color w:val="auto"/>
                <w:highlight w:val="none"/>
                <w:lang w:eastAsia="zh-CN"/>
              </w:rPr>
              <w:t>，</w:t>
            </w:r>
            <w:r>
              <w:rPr>
                <w:rFonts w:hint="default"/>
                <w:color w:val="auto"/>
                <w:highlight w:val="none"/>
              </w:rPr>
              <w:t>项目废气治理设施可行性分析详见表4.2</w:t>
            </w:r>
            <w:r>
              <w:rPr>
                <w:rFonts w:hint="eastAsia"/>
                <w:color w:val="auto"/>
                <w:highlight w:val="none"/>
                <w:lang w:val="en-US" w:eastAsia="zh-CN"/>
              </w:rPr>
              <w:t>-8</w:t>
            </w:r>
            <w:r>
              <w:rPr>
                <w:rFonts w:hint="default"/>
                <w:color w:val="auto"/>
                <w:highlight w:val="none"/>
              </w:rPr>
              <w:t>。</w:t>
            </w:r>
          </w:p>
          <w:p w14:paraId="1848E26D">
            <w:pPr>
              <w:pStyle w:val="86"/>
              <w:keepNext w:val="0"/>
              <w:keepLines w:val="0"/>
              <w:suppressLineNumbers w:val="0"/>
              <w:bidi w:val="0"/>
              <w:spacing w:before="0" w:beforeAutospacing="0" w:after="0" w:afterAutospacing="0"/>
              <w:ind w:left="0" w:right="0"/>
              <w:rPr>
                <w:rFonts w:hint="default"/>
                <w:color w:val="auto"/>
                <w:highlight w:val="none"/>
              </w:rPr>
            </w:pPr>
          </w:p>
          <w:p w14:paraId="32EE9B7A">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表4.</w:t>
            </w:r>
            <w:r>
              <w:rPr>
                <w:rFonts w:hint="eastAsia"/>
                <w:color w:val="auto"/>
                <w:sz w:val="26"/>
                <w:szCs w:val="26"/>
                <w:highlight w:val="none"/>
                <w:lang w:val="en-US" w:eastAsia="zh-CN"/>
              </w:rPr>
              <w:t xml:space="preserve">2-8 </w:t>
            </w:r>
            <w:r>
              <w:rPr>
                <w:rFonts w:hint="default"/>
                <w:color w:val="auto"/>
                <w:sz w:val="26"/>
                <w:szCs w:val="26"/>
                <w:highlight w:val="none"/>
              </w:rPr>
              <w:t xml:space="preserve">  废气治理设施可行性分析表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797"/>
              <w:gridCol w:w="672"/>
              <w:gridCol w:w="1894"/>
              <w:gridCol w:w="2126"/>
              <w:gridCol w:w="1924"/>
              <w:gridCol w:w="861"/>
            </w:tblGrid>
            <w:tr w14:paraId="3E05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restart"/>
                  <w:vAlign w:val="center"/>
                </w:tcPr>
                <w:p w14:paraId="2CD5E709">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r>
                    <w:rPr>
                      <w:rFonts w:hint="default"/>
                      <w:b w:val="0"/>
                      <w:bCs w:val="0"/>
                      <w:color w:val="auto"/>
                      <w:sz w:val="20"/>
                      <w:szCs w:val="20"/>
                      <w:highlight w:val="none"/>
                    </w:rPr>
                    <w:t>废气产污环节</w:t>
                  </w:r>
                </w:p>
              </w:tc>
              <w:tc>
                <w:tcPr>
                  <w:tcW w:w="797" w:type="dxa"/>
                  <w:vMerge w:val="restart"/>
                  <w:vAlign w:val="center"/>
                </w:tcPr>
                <w:p w14:paraId="1DA57C2F">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r>
                    <w:rPr>
                      <w:rFonts w:hint="default"/>
                      <w:b w:val="0"/>
                      <w:bCs w:val="0"/>
                      <w:color w:val="auto"/>
                      <w:sz w:val="20"/>
                      <w:szCs w:val="20"/>
                      <w:highlight w:val="none"/>
                    </w:rPr>
                    <w:t>主要污染物项目</w:t>
                  </w:r>
                </w:p>
              </w:tc>
              <w:tc>
                <w:tcPr>
                  <w:tcW w:w="672" w:type="dxa"/>
                  <w:vMerge w:val="restart"/>
                  <w:vAlign w:val="center"/>
                </w:tcPr>
                <w:p w14:paraId="16A04E1A">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r>
                    <w:rPr>
                      <w:rFonts w:hint="default"/>
                      <w:b w:val="0"/>
                      <w:bCs w:val="0"/>
                      <w:color w:val="auto"/>
                      <w:sz w:val="20"/>
                      <w:szCs w:val="20"/>
                      <w:highlight w:val="none"/>
                    </w:rPr>
                    <w:t>主要排放形式</w:t>
                  </w:r>
                </w:p>
              </w:tc>
              <w:tc>
                <w:tcPr>
                  <w:tcW w:w="5944" w:type="dxa"/>
                  <w:gridSpan w:val="3"/>
                  <w:vAlign w:val="center"/>
                </w:tcPr>
                <w:p w14:paraId="58E1B1AF">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r>
                    <w:rPr>
                      <w:rFonts w:hint="default"/>
                      <w:b w:val="0"/>
                      <w:bCs w:val="0"/>
                      <w:color w:val="auto"/>
                      <w:sz w:val="20"/>
                      <w:szCs w:val="20"/>
                      <w:highlight w:val="none"/>
                    </w:rPr>
                    <w:t>主要污染治理设施</w:t>
                  </w:r>
                </w:p>
              </w:tc>
              <w:tc>
                <w:tcPr>
                  <w:tcW w:w="861" w:type="dxa"/>
                  <w:vMerge w:val="restart"/>
                  <w:vAlign w:val="center"/>
                </w:tcPr>
                <w:p w14:paraId="38C8B723">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val="0"/>
                      <w:bCs w:val="0"/>
                      <w:color w:val="auto"/>
                      <w:sz w:val="20"/>
                      <w:szCs w:val="20"/>
                      <w:highlight w:val="none"/>
                    </w:rPr>
                    <w:t>排放口类型</w:t>
                  </w:r>
                </w:p>
              </w:tc>
            </w:tr>
            <w:tr w14:paraId="141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14:paraId="047B2E2A">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p>
              </w:tc>
              <w:tc>
                <w:tcPr>
                  <w:tcW w:w="797" w:type="dxa"/>
                  <w:vMerge w:val="continue"/>
                  <w:vAlign w:val="center"/>
                </w:tcPr>
                <w:p w14:paraId="0A9790FE">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p>
              </w:tc>
              <w:tc>
                <w:tcPr>
                  <w:tcW w:w="672" w:type="dxa"/>
                  <w:vMerge w:val="continue"/>
                  <w:vAlign w:val="center"/>
                </w:tcPr>
                <w:p w14:paraId="3F7CABF7">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p>
              </w:tc>
              <w:tc>
                <w:tcPr>
                  <w:tcW w:w="1894" w:type="dxa"/>
                  <w:vAlign w:val="center"/>
                </w:tcPr>
                <w:p w14:paraId="113CB0F6">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r>
                    <w:rPr>
                      <w:rFonts w:hint="default"/>
                      <w:b w:val="0"/>
                      <w:bCs w:val="0"/>
                      <w:color w:val="auto"/>
                      <w:sz w:val="20"/>
                      <w:szCs w:val="20"/>
                      <w:highlight w:val="none"/>
                    </w:rPr>
                    <w:t>污染治理设施名称及工艺</w:t>
                  </w:r>
                </w:p>
              </w:tc>
              <w:tc>
                <w:tcPr>
                  <w:tcW w:w="2126" w:type="dxa"/>
                  <w:vAlign w:val="center"/>
                </w:tcPr>
                <w:p w14:paraId="2B6F1633">
                  <w:pPr>
                    <w:keepNext w:val="0"/>
                    <w:keepLines w:val="0"/>
                    <w:suppressLineNumbers w:val="0"/>
                    <w:adjustRightInd w:val="0"/>
                    <w:snapToGrid w:val="0"/>
                    <w:spacing w:before="0" w:beforeAutospacing="0" w:after="0" w:afterAutospacing="0"/>
                    <w:ind w:left="0" w:right="0"/>
                    <w:jc w:val="center"/>
                    <w:rPr>
                      <w:rFonts w:hint="default" w:eastAsia="宋体"/>
                      <w:b w:val="0"/>
                      <w:bCs w:val="0"/>
                      <w:color w:val="auto"/>
                      <w:sz w:val="20"/>
                      <w:szCs w:val="20"/>
                      <w:highlight w:val="none"/>
                      <w:lang w:val="en-US" w:eastAsia="zh-CN"/>
                    </w:rPr>
                  </w:pPr>
                  <w:r>
                    <w:rPr>
                      <w:rFonts w:hint="eastAsia"/>
                      <w:b w:val="0"/>
                      <w:bCs w:val="0"/>
                      <w:color w:val="auto"/>
                      <w:sz w:val="20"/>
                      <w:szCs w:val="20"/>
                      <w:highlight w:val="none"/>
                      <w:lang w:val="en-US" w:eastAsia="zh-CN"/>
                    </w:rPr>
                    <w:t>对应可行技术</w:t>
                  </w:r>
                </w:p>
              </w:tc>
              <w:tc>
                <w:tcPr>
                  <w:tcW w:w="1924" w:type="dxa"/>
                  <w:vAlign w:val="center"/>
                </w:tcPr>
                <w:p w14:paraId="0E726F49">
                  <w:pPr>
                    <w:keepNext w:val="0"/>
                    <w:keepLines w:val="0"/>
                    <w:suppressLineNumbers w:val="0"/>
                    <w:adjustRightInd w:val="0"/>
                    <w:snapToGrid w:val="0"/>
                    <w:spacing w:before="0" w:beforeAutospacing="0" w:after="0" w:afterAutospacing="0"/>
                    <w:ind w:left="0" w:right="0"/>
                    <w:jc w:val="center"/>
                    <w:rPr>
                      <w:rFonts w:hint="default"/>
                      <w:b w:val="0"/>
                      <w:bCs w:val="0"/>
                      <w:color w:val="auto"/>
                      <w:sz w:val="20"/>
                      <w:szCs w:val="20"/>
                      <w:highlight w:val="none"/>
                    </w:rPr>
                  </w:pPr>
                  <w:r>
                    <w:rPr>
                      <w:rFonts w:hint="default"/>
                      <w:b w:val="0"/>
                      <w:bCs w:val="0"/>
                      <w:color w:val="auto"/>
                      <w:sz w:val="20"/>
                      <w:szCs w:val="20"/>
                      <w:highlight w:val="none"/>
                    </w:rPr>
                    <w:t>是否为可行技术</w:t>
                  </w:r>
                </w:p>
              </w:tc>
              <w:tc>
                <w:tcPr>
                  <w:tcW w:w="861" w:type="dxa"/>
                  <w:vMerge w:val="continue"/>
                  <w:vAlign w:val="center"/>
                </w:tcPr>
                <w:p w14:paraId="62D2677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6C7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14:paraId="221B8A89">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default"/>
                      <w:bCs/>
                      <w:color w:val="auto"/>
                      <w:sz w:val="20"/>
                      <w:szCs w:val="20"/>
                      <w:highlight w:val="none"/>
                    </w:rPr>
                    <w:t>热熔</w:t>
                  </w:r>
                  <w:r>
                    <w:rPr>
                      <w:rFonts w:hint="eastAsia"/>
                      <w:bCs/>
                      <w:color w:val="auto"/>
                      <w:sz w:val="20"/>
                      <w:szCs w:val="20"/>
                      <w:highlight w:val="none"/>
                      <w:lang w:eastAsia="zh-CN"/>
                    </w:rPr>
                    <w:t>、</w:t>
                  </w:r>
                  <w:r>
                    <w:rPr>
                      <w:rFonts w:hint="eastAsia"/>
                      <w:bCs/>
                      <w:color w:val="auto"/>
                      <w:sz w:val="20"/>
                      <w:szCs w:val="20"/>
                      <w:highlight w:val="none"/>
                      <w:lang w:val="en-US" w:eastAsia="zh-CN"/>
                    </w:rPr>
                    <w:t>扒渣</w:t>
                  </w:r>
                </w:p>
              </w:tc>
              <w:tc>
                <w:tcPr>
                  <w:tcW w:w="797" w:type="dxa"/>
                  <w:vAlign w:val="center"/>
                </w:tcPr>
                <w:p w14:paraId="77AC8273">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default"/>
                      <w:bCs/>
                      <w:color w:val="auto"/>
                      <w:sz w:val="20"/>
                      <w:szCs w:val="20"/>
                      <w:highlight w:val="none"/>
                    </w:rPr>
                    <w:t>颗粒物</w:t>
                  </w:r>
                </w:p>
              </w:tc>
              <w:tc>
                <w:tcPr>
                  <w:tcW w:w="672" w:type="dxa"/>
                  <w:vAlign w:val="center"/>
                </w:tcPr>
                <w:p w14:paraId="3F3BCCB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有组织</w:t>
                  </w:r>
                </w:p>
              </w:tc>
              <w:tc>
                <w:tcPr>
                  <w:tcW w:w="1894" w:type="dxa"/>
                  <w:vAlign w:val="center"/>
                </w:tcPr>
                <w:p w14:paraId="3B6B0BE8">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rPr>
                  </w:pPr>
                  <w:r>
                    <w:rPr>
                      <w:rFonts w:hint="default"/>
                      <w:bCs/>
                      <w:color w:val="auto"/>
                      <w:sz w:val="20"/>
                      <w:szCs w:val="20"/>
                      <w:highlight w:val="none"/>
                    </w:rPr>
                    <w:t>袋式除尘器+15m高</w:t>
                  </w:r>
                  <w:r>
                    <w:rPr>
                      <w:rFonts w:hint="eastAsia"/>
                      <w:bCs/>
                      <w:color w:val="auto"/>
                      <w:sz w:val="20"/>
                      <w:szCs w:val="20"/>
                      <w:highlight w:val="none"/>
                      <w:lang w:val="en-US" w:eastAsia="zh-CN"/>
                    </w:rPr>
                    <w:t>DA001</w:t>
                  </w:r>
                  <w:r>
                    <w:rPr>
                      <w:rFonts w:hint="default"/>
                      <w:bCs/>
                      <w:color w:val="auto"/>
                      <w:sz w:val="20"/>
                      <w:szCs w:val="20"/>
                      <w:highlight w:val="none"/>
                    </w:rPr>
                    <w:t>排气筒</w:t>
                  </w:r>
                </w:p>
              </w:tc>
              <w:tc>
                <w:tcPr>
                  <w:tcW w:w="2126" w:type="dxa"/>
                  <w:vAlign w:val="center"/>
                </w:tcPr>
                <w:p w14:paraId="29C9BCD7">
                  <w:pPr>
                    <w:keepNext w:val="0"/>
                    <w:keepLines w:val="0"/>
                    <w:suppressLineNumbers w:val="0"/>
                    <w:adjustRightInd w:val="0"/>
                    <w:snapToGrid w:val="0"/>
                    <w:spacing w:before="0" w:beforeAutospacing="0" w:after="0" w:afterAutospacing="0"/>
                    <w:ind w:left="0" w:right="0"/>
                    <w:jc w:val="both"/>
                    <w:rPr>
                      <w:rFonts w:hint="eastAsia"/>
                      <w:bCs/>
                      <w:color w:val="auto"/>
                      <w:sz w:val="20"/>
                      <w:szCs w:val="20"/>
                      <w:highlight w:val="none"/>
                      <w:lang w:val="en-US" w:eastAsia="zh-CN"/>
                    </w:rPr>
                  </w:pPr>
                  <w:r>
                    <w:rPr>
                      <w:rFonts w:hint="eastAsia"/>
                      <w:bCs/>
                      <w:color w:val="auto"/>
                      <w:sz w:val="20"/>
                      <w:szCs w:val="20"/>
                      <w:highlight w:val="none"/>
                      <w:lang w:val="en-US" w:eastAsia="zh-CN"/>
                    </w:rPr>
                    <w:t>HJ1115表A.1：</w:t>
                  </w:r>
                </w:p>
                <w:p w14:paraId="43E99E05">
                  <w:pPr>
                    <w:keepNext w:val="0"/>
                    <w:keepLines w:val="0"/>
                    <w:suppressLineNumbers w:val="0"/>
                    <w:adjustRightInd w:val="0"/>
                    <w:snapToGrid w:val="0"/>
                    <w:spacing w:before="0" w:beforeAutospacing="0" w:after="0" w:afterAutospacing="0"/>
                    <w:ind w:left="0" w:right="0"/>
                    <w:jc w:val="both"/>
                    <w:rPr>
                      <w:rFonts w:hint="eastAsia"/>
                      <w:bCs/>
                      <w:color w:val="auto"/>
                      <w:sz w:val="20"/>
                      <w:szCs w:val="20"/>
                      <w:highlight w:val="none"/>
                      <w:lang w:val="en-US" w:eastAsia="zh-CN"/>
                    </w:rPr>
                  </w:pPr>
                  <w:r>
                    <w:rPr>
                      <w:rFonts w:hint="eastAsia"/>
                      <w:bCs/>
                      <w:color w:val="auto"/>
                      <w:sz w:val="20"/>
                      <w:szCs w:val="20"/>
                      <w:highlight w:val="none"/>
                      <w:lang w:val="en-US" w:eastAsia="zh-CN"/>
                    </w:rPr>
                    <w:t>对于熔炼工序（中频感应炉）颗粒物（执行排放限值）的可行技术为：设置集气罩，连接袋式除尘器进行除尘，除尘效率可达 99 %以上，排</w:t>
                  </w:r>
                </w:p>
                <w:p w14:paraId="05447985">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lang w:val="en-US" w:eastAsia="zh-CN"/>
                    </w:rPr>
                  </w:pPr>
                  <w:r>
                    <w:rPr>
                      <w:rFonts w:hint="eastAsia"/>
                      <w:bCs/>
                      <w:color w:val="auto"/>
                      <w:sz w:val="20"/>
                      <w:szCs w:val="20"/>
                      <w:highlight w:val="none"/>
                      <w:lang w:val="en-US" w:eastAsia="zh-CN"/>
                    </w:rPr>
                    <w:t>放浓度可达 30 mg/m</w:t>
                  </w:r>
                  <w:r>
                    <w:rPr>
                      <w:rFonts w:hint="eastAsia"/>
                      <w:bCs/>
                      <w:color w:val="auto"/>
                      <w:sz w:val="20"/>
                      <w:szCs w:val="20"/>
                      <w:highlight w:val="none"/>
                      <w:vertAlign w:val="superscript"/>
                      <w:lang w:val="en-US" w:eastAsia="zh-CN"/>
                    </w:rPr>
                    <w:t>3</w:t>
                  </w:r>
                  <w:r>
                    <w:rPr>
                      <w:rFonts w:hint="eastAsia"/>
                      <w:bCs/>
                      <w:color w:val="auto"/>
                      <w:sz w:val="20"/>
                      <w:szCs w:val="20"/>
                      <w:highlight w:val="none"/>
                      <w:lang w:val="en-US" w:eastAsia="zh-CN"/>
                    </w:rPr>
                    <w:t xml:space="preserve"> 以下</w:t>
                  </w:r>
                </w:p>
              </w:tc>
              <w:tc>
                <w:tcPr>
                  <w:tcW w:w="1924" w:type="dxa"/>
                  <w:vAlign w:val="center"/>
                </w:tcPr>
                <w:p w14:paraId="1C5EC06D">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eastAsia" w:ascii="MS Gothic" w:hAnsi="MS Gothic" w:eastAsia="MS Gothic" w:cs="MS Gothic"/>
                      <w:color w:val="auto"/>
                      <w:sz w:val="20"/>
                      <w:szCs w:val="20"/>
                      <w:highlight w:val="none"/>
                    </w:rPr>
                    <w:t>☑</w:t>
                  </w:r>
                  <w:r>
                    <w:rPr>
                      <w:rFonts w:hint="default"/>
                      <w:bCs/>
                      <w:color w:val="auto"/>
                      <w:sz w:val="20"/>
                      <w:szCs w:val="20"/>
                      <w:highlight w:val="none"/>
                    </w:rPr>
                    <w:t>是</w:t>
                  </w:r>
                </w:p>
                <w:p w14:paraId="29158A54">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default"/>
                      <w:bCs/>
                      <w:color w:val="auto"/>
                      <w:sz w:val="20"/>
                      <w:szCs w:val="20"/>
                      <w:highlight w:val="none"/>
                    </w:rPr>
                    <w:t>（推荐技术）</w:t>
                  </w:r>
                </w:p>
                <w:p w14:paraId="33EA8543">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w:t>
                  </w:r>
                  <w:r>
                    <w:rPr>
                      <w:rFonts w:hint="default"/>
                      <w:bCs/>
                      <w:color w:val="auto"/>
                      <w:sz w:val="20"/>
                      <w:szCs w:val="20"/>
                      <w:highlight w:val="none"/>
                    </w:rPr>
                    <w:t>否</w:t>
                  </w:r>
                </w:p>
              </w:tc>
              <w:tc>
                <w:tcPr>
                  <w:tcW w:w="861" w:type="dxa"/>
                  <w:vAlign w:val="center"/>
                </w:tcPr>
                <w:p w14:paraId="4CD97A2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一般排放口</w:t>
                  </w:r>
                </w:p>
              </w:tc>
            </w:tr>
            <w:tr w14:paraId="0308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7" w:type="dxa"/>
                  <w:vAlign w:val="center"/>
                </w:tcPr>
                <w:p w14:paraId="1220C011">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default"/>
                      <w:bCs/>
                      <w:color w:val="auto"/>
                      <w:sz w:val="20"/>
                      <w:szCs w:val="20"/>
                      <w:highlight w:val="none"/>
                    </w:rPr>
                    <w:t>脱模废气</w:t>
                  </w:r>
                </w:p>
              </w:tc>
              <w:tc>
                <w:tcPr>
                  <w:tcW w:w="797" w:type="dxa"/>
                  <w:vAlign w:val="center"/>
                </w:tcPr>
                <w:p w14:paraId="3DCBC9E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非甲烷总烃</w:t>
                  </w:r>
                </w:p>
              </w:tc>
              <w:tc>
                <w:tcPr>
                  <w:tcW w:w="672" w:type="dxa"/>
                  <w:vAlign w:val="center"/>
                </w:tcPr>
                <w:p w14:paraId="043D41A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有组织</w:t>
                  </w:r>
                </w:p>
              </w:tc>
              <w:tc>
                <w:tcPr>
                  <w:tcW w:w="1894" w:type="dxa"/>
                  <w:vAlign w:val="center"/>
                </w:tcPr>
                <w:p w14:paraId="4E7FA0E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eastAsia"/>
                      <w:color w:val="auto"/>
                      <w:kern w:val="0"/>
                      <w:sz w:val="20"/>
                      <w:szCs w:val="20"/>
                      <w:highlight w:val="none"/>
                    </w:rPr>
                    <w:t>1套“过滤棉+</w:t>
                  </w:r>
                  <w:r>
                    <w:rPr>
                      <w:rFonts w:hint="eastAsia"/>
                      <w:color w:val="auto"/>
                      <w:kern w:val="0"/>
                      <w:sz w:val="20"/>
                      <w:szCs w:val="20"/>
                      <w:highlight w:val="none"/>
                      <w:lang w:val="en-US" w:eastAsia="zh-CN"/>
                    </w:rPr>
                    <w:t>除湿装置+</w:t>
                  </w:r>
                  <w:r>
                    <w:rPr>
                      <w:rFonts w:hint="eastAsia"/>
                      <w:color w:val="auto"/>
                      <w:kern w:val="0"/>
                      <w:sz w:val="20"/>
                      <w:szCs w:val="20"/>
                      <w:highlight w:val="none"/>
                    </w:rPr>
                    <w:t>两级活性炭吸附”处理，经1根15m高的排气筒DA002有组织排放</w:t>
                  </w:r>
                </w:p>
              </w:tc>
              <w:tc>
                <w:tcPr>
                  <w:tcW w:w="2126" w:type="dxa"/>
                  <w:vAlign w:val="center"/>
                </w:tcPr>
                <w:p w14:paraId="4A40ACBF">
                  <w:pPr>
                    <w:keepNext w:val="0"/>
                    <w:keepLines w:val="0"/>
                    <w:suppressLineNumbers w:val="0"/>
                    <w:adjustRightInd w:val="0"/>
                    <w:snapToGrid w:val="0"/>
                    <w:spacing w:before="0" w:beforeAutospacing="0" w:after="0" w:afterAutospacing="0"/>
                    <w:ind w:left="0" w:right="0"/>
                    <w:jc w:val="both"/>
                    <w:rPr>
                      <w:rFonts w:hint="eastAsia"/>
                      <w:bCs/>
                      <w:color w:val="auto"/>
                      <w:sz w:val="20"/>
                      <w:szCs w:val="20"/>
                      <w:highlight w:val="none"/>
                      <w:lang w:val="en-US" w:eastAsia="zh-CN"/>
                    </w:rPr>
                  </w:pPr>
                  <w:r>
                    <w:rPr>
                      <w:rFonts w:hint="eastAsia"/>
                      <w:bCs/>
                      <w:color w:val="auto"/>
                      <w:sz w:val="20"/>
                      <w:szCs w:val="20"/>
                      <w:highlight w:val="none"/>
                      <w:lang w:val="en-US" w:eastAsia="zh-CN"/>
                    </w:rPr>
                    <w:t>HJ1115表A.1：</w:t>
                  </w:r>
                </w:p>
                <w:p w14:paraId="02AD7E11">
                  <w:pPr>
                    <w:keepNext w:val="0"/>
                    <w:keepLines w:val="0"/>
                    <w:suppressLineNumbers w:val="0"/>
                    <w:adjustRightInd w:val="0"/>
                    <w:snapToGrid w:val="0"/>
                    <w:spacing w:before="0" w:beforeAutospacing="0" w:after="0" w:afterAutospacing="0"/>
                    <w:ind w:left="0" w:right="0"/>
                    <w:jc w:val="center"/>
                    <w:rPr>
                      <w:rFonts w:hint="default"/>
                      <w:color w:val="auto"/>
                      <w:kern w:val="0"/>
                      <w:sz w:val="20"/>
                      <w:szCs w:val="20"/>
                      <w:highlight w:val="none"/>
                      <w:lang w:val="en-US" w:eastAsia="zh-CN"/>
                    </w:rPr>
                  </w:pPr>
                  <w:r>
                    <w:rPr>
                      <w:rFonts w:hint="eastAsia"/>
                      <w:color w:val="auto"/>
                      <w:kern w:val="0"/>
                      <w:sz w:val="20"/>
                      <w:szCs w:val="20"/>
                      <w:highlight w:val="none"/>
                      <w:lang w:val="en-US" w:eastAsia="zh-CN"/>
                    </w:rPr>
                    <w:t>对于浇注工序非甲烷总烃（执行排放限值）治理可行技术为“在浇注工位进行集气，连接净化装置，排放浓度可达 100 mg/m</w:t>
                  </w:r>
                  <w:r>
                    <w:rPr>
                      <w:rFonts w:hint="eastAsia"/>
                      <w:color w:val="auto"/>
                      <w:kern w:val="0"/>
                      <w:sz w:val="20"/>
                      <w:szCs w:val="20"/>
                      <w:highlight w:val="none"/>
                      <w:vertAlign w:val="superscript"/>
                      <w:lang w:val="en-US" w:eastAsia="zh-CN"/>
                    </w:rPr>
                    <w:t>3</w:t>
                  </w:r>
                  <w:r>
                    <w:rPr>
                      <w:rFonts w:hint="eastAsia"/>
                      <w:color w:val="auto"/>
                      <w:kern w:val="0"/>
                      <w:sz w:val="20"/>
                      <w:szCs w:val="20"/>
                      <w:highlight w:val="none"/>
                      <w:lang w:val="en-US" w:eastAsia="zh-CN"/>
                    </w:rPr>
                    <w:t xml:space="preserve"> 以下”；执行特别排放限值的克星技术为“连接活性炭吸附或催化燃烧装置，排放浓度可达 60 mg/m</w:t>
                  </w:r>
                  <w:r>
                    <w:rPr>
                      <w:rFonts w:hint="eastAsia"/>
                      <w:color w:val="auto"/>
                      <w:kern w:val="0"/>
                      <w:sz w:val="20"/>
                      <w:szCs w:val="20"/>
                      <w:highlight w:val="none"/>
                      <w:vertAlign w:val="superscript"/>
                      <w:lang w:val="en-US" w:eastAsia="zh-CN"/>
                    </w:rPr>
                    <w:t>3</w:t>
                  </w:r>
                  <w:r>
                    <w:rPr>
                      <w:rFonts w:hint="eastAsia"/>
                      <w:color w:val="auto"/>
                      <w:kern w:val="0"/>
                      <w:sz w:val="20"/>
                      <w:szCs w:val="20"/>
                      <w:highlight w:val="none"/>
                      <w:lang w:val="en-US" w:eastAsia="zh-CN"/>
                    </w:rPr>
                    <w:t xml:space="preserve"> 以下。”</w:t>
                  </w:r>
                </w:p>
              </w:tc>
              <w:tc>
                <w:tcPr>
                  <w:tcW w:w="1924" w:type="dxa"/>
                  <w:vAlign w:val="center"/>
                </w:tcPr>
                <w:p w14:paraId="1040BC3F">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eastAsia" w:ascii="MS Gothic" w:hAnsi="MS Gothic" w:eastAsia="MS Gothic" w:cs="MS Gothic"/>
                      <w:color w:val="auto"/>
                      <w:sz w:val="20"/>
                      <w:szCs w:val="20"/>
                      <w:highlight w:val="none"/>
                    </w:rPr>
                    <w:t>☑</w:t>
                  </w:r>
                  <w:r>
                    <w:rPr>
                      <w:rFonts w:hint="default"/>
                      <w:bCs/>
                      <w:color w:val="auto"/>
                      <w:sz w:val="20"/>
                      <w:szCs w:val="20"/>
                      <w:highlight w:val="none"/>
                    </w:rPr>
                    <w:t>是</w:t>
                  </w:r>
                </w:p>
                <w:p w14:paraId="4F899BF3">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default"/>
                      <w:bCs/>
                      <w:color w:val="auto"/>
                      <w:sz w:val="20"/>
                      <w:szCs w:val="20"/>
                      <w:highlight w:val="none"/>
                    </w:rPr>
                    <w:t>（推荐技术）</w:t>
                  </w:r>
                </w:p>
                <w:p w14:paraId="34FD26AB">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w:t>
                  </w:r>
                  <w:r>
                    <w:rPr>
                      <w:rFonts w:hint="default"/>
                      <w:bCs/>
                      <w:color w:val="auto"/>
                      <w:sz w:val="20"/>
                      <w:szCs w:val="20"/>
                      <w:highlight w:val="none"/>
                    </w:rPr>
                    <w:t>否</w:t>
                  </w:r>
                </w:p>
              </w:tc>
              <w:tc>
                <w:tcPr>
                  <w:tcW w:w="861" w:type="dxa"/>
                  <w:vAlign w:val="center"/>
                </w:tcPr>
                <w:p w14:paraId="17228D2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一般排放口</w:t>
                  </w:r>
                </w:p>
              </w:tc>
            </w:tr>
            <w:tr w14:paraId="398C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14:paraId="259C5D6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eastAsia"/>
                      <w:bCs/>
                      <w:color w:val="auto"/>
                      <w:sz w:val="20"/>
                      <w:szCs w:val="20"/>
                      <w:highlight w:val="none"/>
                      <w:lang w:val="en-US" w:eastAsia="zh-CN"/>
                    </w:rPr>
                    <w:t>浸胶</w:t>
                  </w:r>
                  <w:r>
                    <w:rPr>
                      <w:rFonts w:hint="default"/>
                      <w:bCs/>
                      <w:color w:val="auto"/>
                      <w:sz w:val="20"/>
                      <w:szCs w:val="20"/>
                      <w:highlight w:val="none"/>
                    </w:rPr>
                    <w:t>乙醇废气</w:t>
                  </w:r>
                </w:p>
              </w:tc>
              <w:tc>
                <w:tcPr>
                  <w:tcW w:w="797" w:type="dxa"/>
                  <w:vMerge w:val="restart"/>
                  <w:vAlign w:val="center"/>
                </w:tcPr>
                <w:p w14:paraId="2D06634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非甲烷总烃</w:t>
                  </w:r>
                </w:p>
              </w:tc>
              <w:tc>
                <w:tcPr>
                  <w:tcW w:w="672" w:type="dxa"/>
                  <w:vMerge w:val="restart"/>
                  <w:vAlign w:val="center"/>
                </w:tcPr>
                <w:p w14:paraId="59ABC8AA">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有组织</w:t>
                  </w:r>
                </w:p>
              </w:tc>
              <w:tc>
                <w:tcPr>
                  <w:tcW w:w="1894" w:type="dxa"/>
                  <w:vAlign w:val="center"/>
                </w:tcPr>
                <w:p w14:paraId="1F19C320">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rPr>
                  </w:pPr>
                  <w:r>
                    <w:rPr>
                      <w:rFonts w:hint="default"/>
                      <w:color w:val="auto"/>
                      <w:kern w:val="0"/>
                      <w:sz w:val="20"/>
                      <w:szCs w:val="20"/>
                      <w:highlight w:val="none"/>
                    </w:rPr>
                    <w:t>水喷淋吸附塔+15m高</w:t>
                  </w:r>
                  <w:r>
                    <w:rPr>
                      <w:rFonts w:hint="eastAsia"/>
                      <w:color w:val="auto"/>
                      <w:kern w:val="0"/>
                      <w:sz w:val="20"/>
                      <w:szCs w:val="20"/>
                      <w:highlight w:val="none"/>
                      <w:lang w:val="en-US" w:eastAsia="zh-CN"/>
                    </w:rPr>
                    <w:t>DA002</w:t>
                  </w:r>
                  <w:r>
                    <w:rPr>
                      <w:rFonts w:hint="default"/>
                      <w:color w:val="auto"/>
                      <w:kern w:val="0"/>
                      <w:sz w:val="20"/>
                      <w:szCs w:val="20"/>
                      <w:highlight w:val="none"/>
                    </w:rPr>
                    <w:t>排气筒排放</w:t>
                  </w:r>
                </w:p>
              </w:tc>
              <w:tc>
                <w:tcPr>
                  <w:tcW w:w="2126" w:type="dxa"/>
                  <w:vMerge w:val="restart"/>
                  <w:vAlign w:val="center"/>
                </w:tcPr>
                <w:p w14:paraId="6AD1D47C">
                  <w:pPr>
                    <w:keepNext w:val="0"/>
                    <w:keepLines w:val="0"/>
                    <w:suppressLineNumbers w:val="0"/>
                    <w:adjustRightInd w:val="0"/>
                    <w:snapToGrid w:val="0"/>
                    <w:spacing w:before="0" w:beforeAutospacing="0" w:after="0" w:afterAutospacing="0"/>
                    <w:ind w:left="0" w:right="0"/>
                    <w:jc w:val="center"/>
                    <w:rPr>
                      <w:rFonts w:hint="eastAsia"/>
                      <w:color w:val="auto"/>
                      <w:kern w:val="0"/>
                      <w:sz w:val="20"/>
                      <w:szCs w:val="20"/>
                      <w:highlight w:val="none"/>
                      <w:lang w:val="en-US" w:eastAsia="zh-CN"/>
                    </w:rPr>
                  </w:pPr>
                  <w:r>
                    <w:rPr>
                      <w:rFonts w:hint="eastAsia"/>
                      <w:color w:val="auto"/>
                      <w:kern w:val="0"/>
                      <w:sz w:val="20"/>
                      <w:szCs w:val="20"/>
                      <w:highlight w:val="none"/>
                      <w:lang w:val="en-US" w:eastAsia="zh-CN"/>
                    </w:rPr>
                    <w:t>HJ1124表C.4：</w:t>
                  </w:r>
                </w:p>
                <w:p w14:paraId="0B1A2E15">
                  <w:pPr>
                    <w:keepNext w:val="0"/>
                    <w:keepLines w:val="0"/>
                    <w:suppressLineNumbers w:val="0"/>
                    <w:adjustRightInd w:val="0"/>
                    <w:snapToGrid w:val="0"/>
                    <w:spacing w:before="0" w:beforeAutospacing="0" w:after="0" w:afterAutospacing="0"/>
                    <w:ind w:left="0" w:right="0"/>
                    <w:jc w:val="both"/>
                    <w:rPr>
                      <w:rFonts w:hint="default"/>
                      <w:color w:val="auto"/>
                      <w:kern w:val="0"/>
                      <w:sz w:val="20"/>
                      <w:szCs w:val="20"/>
                      <w:highlight w:val="none"/>
                    </w:rPr>
                  </w:pPr>
                  <w:r>
                    <w:rPr>
                      <w:rFonts w:hint="eastAsia"/>
                      <w:color w:val="auto"/>
                      <w:kern w:val="0"/>
                      <w:sz w:val="20"/>
                      <w:szCs w:val="20"/>
                      <w:highlight w:val="none"/>
                      <w:lang w:val="en-US" w:eastAsia="zh-CN"/>
                    </w:rPr>
                    <w:t>对于粘接的挥发性有机物治理可行技术包括有“活性炭吸附、吸附/浓缩+热力燃烧/催化氧化”</w:t>
                  </w:r>
                </w:p>
              </w:tc>
              <w:tc>
                <w:tcPr>
                  <w:tcW w:w="1924" w:type="dxa"/>
                  <w:vMerge w:val="restart"/>
                  <w:vAlign w:val="center"/>
                </w:tcPr>
                <w:p w14:paraId="7861D3A6">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eastAsia" w:ascii="MS Gothic" w:hAnsi="MS Gothic" w:eastAsia="MS Gothic" w:cs="MS Gothic"/>
                      <w:color w:val="auto"/>
                      <w:sz w:val="20"/>
                      <w:szCs w:val="20"/>
                      <w:highlight w:val="none"/>
                    </w:rPr>
                    <w:t>☑</w:t>
                  </w:r>
                  <w:r>
                    <w:rPr>
                      <w:rFonts w:hint="default"/>
                      <w:bCs/>
                      <w:color w:val="auto"/>
                      <w:sz w:val="20"/>
                      <w:szCs w:val="20"/>
                      <w:highlight w:val="none"/>
                    </w:rPr>
                    <w:t>是</w:t>
                  </w:r>
                </w:p>
                <w:p w14:paraId="6B644794">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default"/>
                      <w:bCs/>
                      <w:color w:val="auto"/>
                      <w:sz w:val="20"/>
                      <w:szCs w:val="20"/>
                      <w:highlight w:val="none"/>
                    </w:rPr>
                    <w:t>（推荐技术）</w:t>
                  </w:r>
                </w:p>
                <w:p w14:paraId="7F8F9CFB">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w:t>
                  </w:r>
                  <w:r>
                    <w:rPr>
                      <w:rFonts w:hint="default"/>
                      <w:bCs/>
                      <w:color w:val="auto"/>
                      <w:sz w:val="20"/>
                      <w:szCs w:val="20"/>
                      <w:highlight w:val="none"/>
                    </w:rPr>
                    <w:t>否</w:t>
                  </w:r>
                </w:p>
              </w:tc>
              <w:tc>
                <w:tcPr>
                  <w:tcW w:w="861" w:type="dxa"/>
                  <w:vMerge w:val="restart"/>
                  <w:vAlign w:val="center"/>
                </w:tcPr>
                <w:p w14:paraId="13A7405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一般排放口</w:t>
                  </w:r>
                </w:p>
              </w:tc>
            </w:tr>
            <w:tr w14:paraId="0F75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14:paraId="604EB1A2">
                  <w:pPr>
                    <w:keepNext w:val="0"/>
                    <w:keepLines w:val="0"/>
                    <w:suppressLineNumbers w:val="0"/>
                    <w:adjustRightInd w:val="0"/>
                    <w:snapToGrid w:val="0"/>
                    <w:spacing w:before="0" w:beforeAutospacing="0" w:after="0" w:afterAutospacing="0"/>
                    <w:ind w:left="0" w:right="0"/>
                    <w:jc w:val="center"/>
                    <w:rPr>
                      <w:rFonts w:hint="default"/>
                      <w:snapToGrid w:val="0"/>
                      <w:color w:val="auto"/>
                      <w:kern w:val="0"/>
                      <w:sz w:val="20"/>
                      <w:szCs w:val="20"/>
                      <w:highlight w:val="none"/>
                    </w:rPr>
                  </w:pPr>
                  <w:r>
                    <w:rPr>
                      <w:rFonts w:hint="default"/>
                      <w:snapToGrid w:val="0"/>
                      <w:color w:val="auto"/>
                      <w:kern w:val="0"/>
                      <w:sz w:val="20"/>
                      <w:szCs w:val="20"/>
                      <w:highlight w:val="none"/>
                    </w:rPr>
                    <w:t>热压和固化废气</w:t>
                  </w:r>
                </w:p>
              </w:tc>
              <w:tc>
                <w:tcPr>
                  <w:tcW w:w="797" w:type="dxa"/>
                  <w:vMerge w:val="continue"/>
                  <w:vAlign w:val="center"/>
                </w:tcPr>
                <w:p w14:paraId="207487B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672" w:type="dxa"/>
                  <w:vMerge w:val="continue"/>
                  <w:vAlign w:val="center"/>
                </w:tcPr>
                <w:p w14:paraId="0476981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1894" w:type="dxa"/>
                  <w:vAlign w:val="center"/>
                </w:tcPr>
                <w:p w14:paraId="3443F821">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rPr>
                  </w:pPr>
                  <w:r>
                    <w:rPr>
                      <w:rFonts w:hint="eastAsia"/>
                      <w:color w:val="auto"/>
                      <w:kern w:val="0"/>
                      <w:sz w:val="20"/>
                      <w:szCs w:val="20"/>
                      <w:highlight w:val="none"/>
                    </w:rPr>
                    <w:t>1套“干式过滤+两级活性炭吸附”装置处理，经1根15m高的排气筒DA002有组织排放</w:t>
                  </w:r>
                </w:p>
              </w:tc>
              <w:tc>
                <w:tcPr>
                  <w:tcW w:w="2126" w:type="dxa"/>
                  <w:vMerge w:val="continue"/>
                  <w:vAlign w:val="center"/>
                </w:tcPr>
                <w:p w14:paraId="02292420">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rPr>
                  </w:pPr>
                </w:p>
              </w:tc>
              <w:tc>
                <w:tcPr>
                  <w:tcW w:w="1924" w:type="dxa"/>
                  <w:vMerge w:val="continue"/>
                  <w:vAlign w:val="center"/>
                </w:tcPr>
                <w:p w14:paraId="24C324A6">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p>
              </w:tc>
              <w:tc>
                <w:tcPr>
                  <w:tcW w:w="861" w:type="dxa"/>
                  <w:vMerge w:val="continue"/>
                  <w:vAlign w:val="center"/>
                </w:tcPr>
                <w:p w14:paraId="03559D0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172D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1037" w:type="dxa"/>
                  <w:vAlign w:val="center"/>
                </w:tcPr>
                <w:p w14:paraId="2D416219">
                  <w:pPr>
                    <w:keepNext w:val="0"/>
                    <w:keepLines w:val="0"/>
                    <w:suppressLineNumbers w:val="0"/>
                    <w:adjustRightInd w:val="0"/>
                    <w:snapToGrid w:val="0"/>
                    <w:spacing w:before="0" w:beforeAutospacing="0" w:after="0" w:afterAutospacing="0"/>
                    <w:ind w:left="0" w:right="0"/>
                    <w:jc w:val="center"/>
                    <w:rPr>
                      <w:rFonts w:hint="default"/>
                      <w:snapToGrid w:val="0"/>
                      <w:color w:val="auto"/>
                      <w:kern w:val="0"/>
                      <w:sz w:val="20"/>
                      <w:szCs w:val="20"/>
                      <w:highlight w:val="none"/>
                    </w:rPr>
                  </w:pPr>
                  <w:r>
                    <w:rPr>
                      <w:rFonts w:hint="default"/>
                      <w:snapToGrid w:val="0"/>
                      <w:color w:val="auto"/>
                      <w:kern w:val="0"/>
                      <w:sz w:val="20"/>
                      <w:szCs w:val="20"/>
                      <w:highlight w:val="none"/>
                    </w:rPr>
                    <w:t>抛丸粉尘</w:t>
                  </w:r>
                </w:p>
              </w:tc>
              <w:tc>
                <w:tcPr>
                  <w:tcW w:w="797" w:type="dxa"/>
                  <w:vMerge w:val="restart"/>
                  <w:vAlign w:val="center"/>
                </w:tcPr>
                <w:p w14:paraId="49BB7A54">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颗粒物</w:t>
                  </w:r>
                </w:p>
              </w:tc>
              <w:tc>
                <w:tcPr>
                  <w:tcW w:w="672" w:type="dxa"/>
                  <w:vMerge w:val="restart"/>
                  <w:vAlign w:val="center"/>
                </w:tcPr>
                <w:p w14:paraId="39CFE84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有组织</w:t>
                  </w:r>
                </w:p>
              </w:tc>
              <w:tc>
                <w:tcPr>
                  <w:tcW w:w="1894" w:type="dxa"/>
                  <w:vMerge w:val="restart"/>
                  <w:vAlign w:val="center"/>
                </w:tcPr>
                <w:p w14:paraId="01F4A3B7">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rPr>
                  </w:pPr>
                  <w:r>
                    <w:rPr>
                      <w:rFonts w:hint="eastAsia" w:eastAsia="宋体"/>
                      <w:bCs/>
                      <w:color w:val="auto"/>
                      <w:sz w:val="22"/>
                      <w:szCs w:val="22"/>
                      <w:highlight w:val="none"/>
                      <w:lang w:eastAsia="zh-CN"/>
                    </w:rPr>
                    <w:t>4台抛丸机</w:t>
                  </w:r>
                  <w:r>
                    <w:rPr>
                      <w:rFonts w:hint="eastAsia"/>
                      <w:bCs/>
                      <w:color w:val="auto"/>
                      <w:sz w:val="22"/>
                      <w:szCs w:val="22"/>
                      <w:highlight w:val="none"/>
                      <w:lang w:eastAsia="zh-CN"/>
                    </w:rPr>
                    <w:t>（</w:t>
                  </w:r>
                  <w:r>
                    <w:rPr>
                      <w:rFonts w:hint="eastAsia"/>
                      <w:bCs/>
                      <w:color w:val="auto"/>
                      <w:sz w:val="22"/>
                      <w:szCs w:val="22"/>
                      <w:highlight w:val="none"/>
                      <w:lang w:val="en-US" w:eastAsia="zh-CN"/>
                    </w:rPr>
                    <w:t>密闭</w:t>
                  </w:r>
                  <w:r>
                    <w:rPr>
                      <w:rFonts w:hint="eastAsia"/>
                      <w:bCs/>
                      <w:color w:val="auto"/>
                      <w:sz w:val="22"/>
                      <w:szCs w:val="22"/>
                      <w:highlight w:val="none"/>
                      <w:lang w:eastAsia="zh-CN"/>
                    </w:rPr>
                    <w:t>）</w:t>
                  </w:r>
                  <w:r>
                    <w:rPr>
                      <w:rFonts w:hint="eastAsia" w:eastAsia="宋体"/>
                      <w:bCs/>
                      <w:color w:val="auto"/>
                      <w:sz w:val="22"/>
                      <w:szCs w:val="22"/>
                      <w:highlight w:val="none"/>
                      <w:lang w:eastAsia="zh-CN"/>
                    </w:rPr>
                    <w:t>经设备自带的4套“旋风+滤筒”防爆除尘系统处理后经1根15m高的排气筒DA003有组织排放，其余1台抛丸机、其他磨加工设备产生的粉尘一起进入一套袋式防爆除尘系统（编号为2#）处理后经1根15m高的排气筒DA003有组织排放，另外一台磨加工设备产生的粉尘经单独的一套防爆袋式除尘系统（编号为1#）处理后接入排气筒DA003有组织排放。</w:t>
                  </w:r>
                </w:p>
              </w:tc>
              <w:tc>
                <w:tcPr>
                  <w:tcW w:w="2126" w:type="dxa"/>
                  <w:vMerge w:val="restart"/>
                  <w:vAlign w:val="center"/>
                </w:tcPr>
                <w:p w14:paraId="3A5A89C0">
                  <w:pPr>
                    <w:keepNext w:val="0"/>
                    <w:keepLines w:val="0"/>
                    <w:suppressLineNumbers w:val="0"/>
                    <w:adjustRightInd w:val="0"/>
                    <w:snapToGrid w:val="0"/>
                    <w:spacing w:before="0" w:beforeAutospacing="0" w:after="0" w:afterAutospacing="0"/>
                    <w:ind w:left="0" w:right="0"/>
                    <w:jc w:val="both"/>
                    <w:rPr>
                      <w:rFonts w:hint="eastAsia"/>
                      <w:bCs/>
                      <w:color w:val="auto"/>
                      <w:sz w:val="20"/>
                      <w:szCs w:val="20"/>
                      <w:highlight w:val="none"/>
                      <w:lang w:val="en-US" w:eastAsia="zh-CN"/>
                    </w:rPr>
                  </w:pPr>
                  <w:r>
                    <w:rPr>
                      <w:rFonts w:hint="eastAsia"/>
                      <w:bCs/>
                      <w:color w:val="auto"/>
                      <w:sz w:val="20"/>
                      <w:szCs w:val="20"/>
                      <w:highlight w:val="none"/>
                      <w:lang w:val="en-US" w:eastAsia="zh-CN"/>
                    </w:rPr>
                    <w:t>HJ1115表A.1：</w:t>
                  </w:r>
                </w:p>
                <w:p w14:paraId="33E4B347">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lang w:val="en-US" w:eastAsia="zh-CN"/>
                    </w:rPr>
                  </w:pPr>
                  <w:r>
                    <w:rPr>
                      <w:rFonts w:hint="eastAsia"/>
                      <w:bCs/>
                      <w:color w:val="auto"/>
                      <w:sz w:val="20"/>
                      <w:szCs w:val="20"/>
                      <w:highlight w:val="none"/>
                      <w:lang w:val="en-US" w:eastAsia="zh-CN"/>
                    </w:rPr>
                    <w:t>对于抛丸清理（执行排放限值）的可行技术为“抛丸工序应密闭，除尘效率可达99 %以上，排放浓度可达 20～30 mg/m</w:t>
                  </w:r>
                  <w:r>
                    <w:rPr>
                      <w:rFonts w:hint="eastAsia"/>
                      <w:bCs/>
                      <w:color w:val="auto"/>
                      <w:sz w:val="20"/>
                      <w:szCs w:val="20"/>
                      <w:highlight w:val="none"/>
                      <w:vertAlign w:val="superscript"/>
                      <w:lang w:val="en-US" w:eastAsia="zh-CN"/>
                    </w:rPr>
                    <w:t>3</w:t>
                  </w:r>
                  <w:r>
                    <w:rPr>
                      <w:rFonts w:hint="eastAsia"/>
                      <w:bCs/>
                      <w:color w:val="auto"/>
                      <w:sz w:val="20"/>
                      <w:szCs w:val="20"/>
                      <w:highlight w:val="none"/>
                      <w:lang w:val="en-US" w:eastAsia="zh-CN"/>
                    </w:rPr>
                    <w:t xml:space="preserve"> 之间”。打磨工序（执行排放限值）的可行技术为“采用集气罩，经除尘器处理后排放，排放浓度可达 20～30 mg/m</w:t>
                  </w:r>
                  <w:r>
                    <w:rPr>
                      <w:rFonts w:hint="eastAsia"/>
                      <w:bCs/>
                      <w:color w:val="auto"/>
                      <w:sz w:val="20"/>
                      <w:szCs w:val="20"/>
                      <w:highlight w:val="none"/>
                      <w:vertAlign w:val="superscript"/>
                      <w:lang w:val="en-US" w:eastAsia="zh-CN"/>
                    </w:rPr>
                    <w:t>3</w:t>
                  </w:r>
                  <w:r>
                    <w:rPr>
                      <w:rFonts w:hint="eastAsia"/>
                      <w:bCs/>
                      <w:color w:val="auto"/>
                      <w:sz w:val="20"/>
                      <w:szCs w:val="20"/>
                      <w:highlight w:val="none"/>
                      <w:lang w:val="en-US" w:eastAsia="zh-CN"/>
                    </w:rPr>
                    <w:t>之间”</w:t>
                  </w:r>
                  <w:r>
                    <w:rPr>
                      <w:rFonts w:hint="eastAsia"/>
                      <w:color w:val="auto"/>
                      <w:kern w:val="0"/>
                      <w:sz w:val="20"/>
                      <w:szCs w:val="20"/>
                      <w:highlight w:val="none"/>
                      <w:lang w:val="en-US" w:eastAsia="zh-CN"/>
                    </w:rPr>
                    <w:t>。</w:t>
                  </w:r>
                </w:p>
              </w:tc>
              <w:tc>
                <w:tcPr>
                  <w:tcW w:w="1924" w:type="dxa"/>
                  <w:vMerge w:val="restart"/>
                  <w:vAlign w:val="center"/>
                </w:tcPr>
                <w:p w14:paraId="377F0014">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eastAsia" w:ascii="MS Gothic" w:hAnsi="MS Gothic" w:eastAsia="MS Gothic" w:cs="MS Gothic"/>
                      <w:color w:val="auto"/>
                      <w:sz w:val="20"/>
                      <w:szCs w:val="20"/>
                      <w:highlight w:val="none"/>
                    </w:rPr>
                    <w:t>☑</w:t>
                  </w:r>
                  <w:r>
                    <w:rPr>
                      <w:rFonts w:hint="default"/>
                      <w:bCs/>
                      <w:color w:val="auto"/>
                      <w:sz w:val="20"/>
                      <w:szCs w:val="20"/>
                      <w:highlight w:val="none"/>
                    </w:rPr>
                    <w:t>是</w:t>
                  </w:r>
                </w:p>
                <w:p w14:paraId="281CEE20">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default"/>
                      <w:bCs/>
                      <w:color w:val="auto"/>
                      <w:sz w:val="20"/>
                      <w:szCs w:val="20"/>
                      <w:highlight w:val="none"/>
                    </w:rPr>
                    <w:t>（推荐技术）</w:t>
                  </w:r>
                </w:p>
                <w:p w14:paraId="1412D854">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w:t>
                  </w:r>
                  <w:r>
                    <w:rPr>
                      <w:rFonts w:hint="default"/>
                      <w:bCs/>
                      <w:color w:val="auto"/>
                      <w:sz w:val="20"/>
                      <w:szCs w:val="20"/>
                      <w:highlight w:val="none"/>
                    </w:rPr>
                    <w:t>否</w:t>
                  </w:r>
                </w:p>
              </w:tc>
              <w:tc>
                <w:tcPr>
                  <w:tcW w:w="861" w:type="dxa"/>
                  <w:vMerge w:val="restart"/>
                  <w:vAlign w:val="center"/>
                </w:tcPr>
                <w:p w14:paraId="497B528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一般排放口</w:t>
                  </w:r>
                </w:p>
              </w:tc>
            </w:tr>
            <w:tr w14:paraId="282C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14:paraId="47596331">
                  <w:pPr>
                    <w:keepNext w:val="0"/>
                    <w:keepLines w:val="0"/>
                    <w:suppressLineNumbers w:val="0"/>
                    <w:adjustRightInd w:val="0"/>
                    <w:snapToGrid w:val="0"/>
                    <w:spacing w:before="0" w:beforeAutospacing="0" w:after="0" w:afterAutospacing="0"/>
                    <w:ind w:left="0" w:right="0"/>
                    <w:jc w:val="center"/>
                    <w:rPr>
                      <w:rFonts w:hint="default"/>
                      <w:snapToGrid w:val="0"/>
                      <w:color w:val="auto"/>
                      <w:kern w:val="0"/>
                      <w:sz w:val="20"/>
                      <w:szCs w:val="20"/>
                      <w:highlight w:val="none"/>
                    </w:rPr>
                  </w:pPr>
                  <w:r>
                    <w:rPr>
                      <w:rFonts w:hint="default"/>
                      <w:snapToGrid w:val="0"/>
                      <w:color w:val="auto"/>
                      <w:kern w:val="0"/>
                      <w:sz w:val="20"/>
                      <w:szCs w:val="20"/>
                      <w:highlight w:val="none"/>
                    </w:rPr>
                    <w:t>磨加工粉尘</w:t>
                  </w:r>
                </w:p>
              </w:tc>
              <w:tc>
                <w:tcPr>
                  <w:tcW w:w="797" w:type="dxa"/>
                  <w:vMerge w:val="continue"/>
                  <w:vAlign w:val="center"/>
                </w:tcPr>
                <w:p w14:paraId="7FAF973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672" w:type="dxa"/>
                  <w:vMerge w:val="continue"/>
                  <w:vAlign w:val="center"/>
                </w:tcPr>
                <w:p w14:paraId="5E73028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1894" w:type="dxa"/>
                  <w:vMerge w:val="continue"/>
                  <w:vAlign w:val="center"/>
                </w:tcPr>
                <w:p w14:paraId="794FFE1A">
                  <w:pPr>
                    <w:keepNext w:val="0"/>
                    <w:keepLines w:val="0"/>
                    <w:suppressLineNumbers w:val="0"/>
                    <w:adjustRightInd w:val="0"/>
                    <w:snapToGrid w:val="0"/>
                    <w:spacing w:before="0" w:beforeAutospacing="0" w:after="0" w:afterAutospacing="0"/>
                    <w:ind w:left="0" w:right="0"/>
                    <w:jc w:val="center"/>
                    <w:rPr>
                      <w:rFonts w:hint="default"/>
                      <w:color w:val="auto"/>
                      <w:kern w:val="0"/>
                      <w:sz w:val="20"/>
                      <w:szCs w:val="20"/>
                      <w:highlight w:val="none"/>
                    </w:rPr>
                  </w:pPr>
                </w:p>
              </w:tc>
              <w:tc>
                <w:tcPr>
                  <w:tcW w:w="2126" w:type="dxa"/>
                  <w:vMerge w:val="continue"/>
                  <w:vAlign w:val="center"/>
                </w:tcPr>
                <w:p w14:paraId="3150709B">
                  <w:pPr>
                    <w:keepNext w:val="0"/>
                    <w:keepLines w:val="0"/>
                    <w:suppressLineNumbers w:val="0"/>
                    <w:adjustRightInd w:val="0"/>
                    <w:snapToGrid w:val="0"/>
                    <w:spacing w:before="0" w:beforeAutospacing="0" w:after="0" w:afterAutospacing="0"/>
                    <w:ind w:left="0" w:right="0"/>
                    <w:jc w:val="center"/>
                    <w:rPr>
                      <w:rFonts w:hint="default"/>
                      <w:color w:val="auto"/>
                      <w:kern w:val="0"/>
                      <w:sz w:val="20"/>
                      <w:szCs w:val="20"/>
                      <w:highlight w:val="none"/>
                    </w:rPr>
                  </w:pPr>
                </w:p>
              </w:tc>
              <w:tc>
                <w:tcPr>
                  <w:tcW w:w="1924" w:type="dxa"/>
                  <w:vMerge w:val="continue"/>
                  <w:vAlign w:val="center"/>
                </w:tcPr>
                <w:p w14:paraId="39A088D3">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p>
              </w:tc>
              <w:tc>
                <w:tcPr>
                  <w:tcW w:w="861" w:type="dxa"/>
                  <w:vMerge w:val="continue"/>
                  <w:vAlign w:val="center"/>
                </w:tcPr>
                <w:p w14:paraId="23EFB2F4">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4479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1037" w:type="dxa"/>
                  <w:vMerge w:val="restart"/>
                  <w:vAlign w:val="center"/>
                </w:tcPr>
                <w:p w14:paraId="7F17666C">
                  <w:pPr>
                    <w:keepNext w:val="0"/>
                    <w:keepLines w:val="0"/>
                    <w:suppressLineNumbers w:val="0"/>
                    <w:adjustRightInd w:val="0"/>
                    <w:snapToGrid w:val="0"/>
                    <w:spacing w:before="0" w:beforeAutospacing="0" w:after="0" w:afterAutospacing="0"/>
                    <w:ind w:left="0" w:right="0"/>
                    <w:jc w:val="center"/>
                    <w:rPr>
                      <w:rFonts w:hint="default" w:eastAsia="宋体"/>
                      <w:snapToGrid w:val="0"/>
                      <w:color w:val="auto"/>
                      <w:kern w:val="0"/>
                      <w:sz w:val="20"/>
                      <w:szCs w:val="20"/>
                      <w:highlight w:val="none"/>
                      <w:lang w:val="en-US" w:eastAsia="zh-CN"/>
                    </w:rPr>
                  </w:pPr>
                  <w:r>
                    <w:rPr>
                      <w:rFonts w:hint="eastAsia"/>
                      <w:snapToGrid w:val="0"/>
                      <w:color w:val="auto"/>
                      <w:kern w:val="0"/>
                      <w:sz w:val="20"/>
                      <w:szCs w:val="20"/>
                      <w:highlight w:val="none"/>
                      <w:lang w:val="en-US" w:eastAsia="zh-CN"/>
                    </w:rPr>
                    <w:t>搅拌、挤压</w:t>
                  </w:r>
                </w:p>
              </w:tc>
              <w:tc>
                <w:tcPr>
                  <w:tcW w:w="797" w:type="dxa"/>
                  <w:vAlign w:val="center"/>
                </w:tcPr>
                <w:p w14:paraId="2BAE167B">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颗粒物</w:t>
                  </w:r>
                </w:p>
              </w:tc>
              <w:tc>
                <w:tcPr>
                  <w:tcW w:w="672" w:type="dxa"/>
                  <w:vMerge w:val="restart"/>
                  <w:vAlign w:val="center"/>
                </w:tcPr>
                <w:p w14:paraId="23F915CD">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eastAsia"/>
                      <w:bCs/>
                      <w:color w:val="auto"/>
                      <w:sz w:val="20"/>
                      <w:szCs w:val="20"/>
                      <w:highlight w:val="none"/>
                      <w:lang w:val="en-US" w:eastAsia="zh-CN"/>
                    </w:rPr>
                    <w:t>有组织</w:t>
                  </w:r>
                </w:p>
              </w:tc>
              <w:tc>
                <w:tcPr>
                  <w:tcW w:w="1894" w:type="dxa"/>
                  <w:vMerge w:val="restart"/>
                  <w:vAlign w:val="center"/>
                </w:tcPr>
                <w:p w14:paraId="44386EB0">
                  <w:pPr>
                    <w:keepNext w:val="0"/>
                    <w:keepLines w:val="0"/>
                    <w:suppressLineNumbers w:val="0"/>
                    <w:adjustRightInd w:val="0"/>
                    <w:snapToGrid w:val="0"/>
                    <w:spacing w:before="0" w:beforeAutospacing="0" w:after="0" w:afterAutospacing="0"/>
                    <w:ind w:left="0" w:right="0"/>
                    <w:jc w:val="both"/>
                    <w:rPr>
                      <w:rFonts w:hint="default"/>
                      <w:color w:val="auto"/>
                      <w:kern w:val="0"/>
                      <w:sz w:val="20"/>
                      <w:szCs w:val="20"/>
                      <w:highlight w:val="none"/>
                    </w:rPr>
                  </w:pPr>
                  <w:r>
                    <w:rPr>
                      <w:rFonts w:hint="eastAsia"/>
                      <w:color w:val="auto"/>
                      <w:kern w:val="0"/>
                      <w:sz w:val="20"/>
                      <w:szCs w:val="20"/>
                      <w:highlight w:val="none"/>
                    </w:rPr>
                    <w:t>搅拌机、挤压机产生的废气设置集气罩收集，废气收集后进入一套“滤筒除尘+两级活性炭吸附”系统处理后，接入1根15m高的排气筒DA004有组织排放。</w:t>
                  </w:r>
                </w:p>
              </w:tc>
              <w:tc>
                <w:tcPr>
                  <w:tcW w:w="2126" w:type="dxa"/>
                  <w:vAlign w:val="center"/>
                </w:tcPr>
                <w:p w14:paraId="64A80344">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lang w:val="en-US" w:eastAsia="zh-CN"/>
                    </w:rPr>
                  </w:pPr>
                  <w:r>
                    <w:rPr>
                      <w:rFonts w:hint="eastAsia"/>
                      <w:color w:val="auto"/>
                      <w:kern w:val="0"/>
                      <w:sz w:val="20"/>
                      <w:szCs w:val="20"/>
                      <w:highlight w:val="none"/>
                      <w:lang w:val="en-US" w:eastAsia="zh-CN"/>
                    </w:rPr>
                    <w:t>HJ1122的表A.1：</w:t>
                  </w:r>
                </w:p>
                <w:p w14:paraId="2D8D2F80">
                  <w:pPr>
                    <w:keepNext w:val="0"/>
                    <w:keepLines w:val="0"/>
                    <w:suppressLineNumbers w:val="0"/>
                    <w:adjustRightInd w:val="0"/>
                    <w:snapToGrid w:val="0"/>
                    <w:spacing w:before="0" w:beforeAutospacing="0" w:after="0" w:afterAutospacing="0"/>
                    <w:ind w:left="0" w:right="0"/>
                    <w:jc w:val="both"/>
                    <w:rPr>
                      <w:rFonts w:hint="default" w:eastAsia="宋体"/>
                      <w:color w:val="auto"/>
                      <w:kern w:val="0"/>
                      <w:sz w:val="20"/>
                      <w:szCs w:val="20"/>
                      <w:highlight w:val="none"/>
                      <w:lang w:val="en-US" w:eastAsia="zh-CN"/>
                    </w:rPr>
                  </w:pPr>
                  <w:r>
                    <w:rPr>
                      <w:rFonts w:hint="eastAsia"/>
                      <w:color w:val="auto"/>
                      <w:kern w:val="0"/>
                      <w:sz w:val="20"/>
                      <w:szCs w:val="20"/>
                      <w:highlight w:val="none"/>
                      <w:lang w:val="en-US" w:eastAsia="zh-CN"/>
                    </w:rPr>
                    <w:t>对炼胶废气颗粒物的可行技术为“袋式除尘；滤筒/滤芯除尘”，对臭气浓度的可行技术为“喷淋、吸附、低温等离子体、UV 光氧化/光催化、生物法两种及以上组合技术”</w:t>
                  </w:r>
                </w:p>
              </w:tc>
              <w:tc>
                <w:tcPr>
                  <w:tcW w:w="1924" w:type="dxa"/>
                  <w:vAlign w:val="center"/>
                </w:tcPr>
                <w:p w14:paraId="546BD535">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eastAsia" w:ascii="MS Gothic" w:hAnsi="MS Gothic" w:eastAsia="MS Gothic" w:cs="MS Gothic"/>
                      <w:color w:val="auto"/>
                      <w:sz w:val="20"/>
                      <w:szCs w:val="20"/>
                      <w:highlight w:val="none"/>
                    </w:rPr>
                    <w:t>☑</w:t>
                  </w:r>
                  <w:r>
                    <w:rPr>
                      <w:rFonts w:hint="default"/>
                      <w:bCs/>
                      <w:color w:val="auto"/>
                      <w:sz w:val="20"/>
                      <w:szCs w:val="20"/>
                      <w:highlight w:val="none"/>
                    </w:rPr>
                    <w:t>是</w:t>
                  </w:r>
                </w:p>
                <w:p w14:paraId="0643B714">
                  <w:pPr>
                    <w:keepNext w:val="0"/>
                    <w:keepLines w:val="0"/>
                    <w:suppressLineNumbers w:val="0"/>
                    <w:adjustRightInd w:val="0"/>
                    <w:snapToGrid w:val="0"/>
                    <w:spacing w:before="0" w:beforeAutospacing="0" w:after="0" w:afterAutospacing="0"/>
                    <w:ind w:left="0" w:right="0"/>
                    <w:rPr>
                      <w:rFonts w:hint="default"/>
                      <w:bCs/>
                      <w:color w:val="auto"/>
                      <w:sz w:val="20"/>
                      <w:szCs w:val="20"/>
                      <w:highlight w:val="none"/>
                    </w:rPr>
                  </w:pPr>
                  <w:r>
                    <w:rPr>
                      <w:rFonts w:hint="default"/>
                      <w:bCs/>
                      <w:color w:val="auto"/>
                      <w:sz w:val="20"/>
                      <w:szCs w:val="20"/>
                      <w:highlight w:val="none"/>
                    </w:rPr>
                    <w:t>（推荐技术）</w:t>
                  </w:r>
                </w:p>
                <w:p w14:paraId="740DC5DA">
                  <w:pPr>
                    <w:keepNext w:val="0"/>
                    <w:keepLines w:val="0"/>
                    <w:suppressLineNumbers w:val="0"/>
                    <w:adjustRightInd w:val="0"/>
                    <w:snapToGrid w:val="0"/>
                    <w:spacing w:before="0" w:beforeAutospacing="0" w:after="0" w:afterAutospacing="0"/>
                    <w:ind w:left="0" w:right="0"/>
                    <w:rPr>
                      <w:rFonts w:hint="default"/>
                      <w:color w:val="auto"/>
                      <w:sz w:val="20"/>
                      <w:szCs w:val="20"/>
                      <w:highlight w:val="none"/>
                    </w:rPr>
                  </w:pPr>
                  <w:r>
                    <w:rPr>
                      <w:rFonts w:hint="default"/>
                      <w:color w:val="auto"/>
                      <w:sz w:val="20"/>
                      <w:szCs w:val="20"/>
                      <w:highlight w:val="none"/>
                    </w:rPr>
                    <w:t>□</w:t>
                  </w:r>
                  <w:r>
                    <w:rPr>
                      <w:rFonts w:hint="default"/>
                      <w:bCs/>
                      <w:color w:val="auto"/>
                      <w:sz w:val="20"/>
                      <w:szCs w:val="20"/>
                      <w:highlight w:val="none"/>
                    </w:rPr>
                    <w:t>否</w:t>
                  </w:r>
                </w:p>
              </w:tc>
              <w:tc>
                <w:tcPr>
                  <w:tcW w:w="861" w:type="dxa"/>
                  <w:vMerge w:val="restart"/>
                  <w:vAlign w:val="center"/>
                </w:tcPr>
                <w:p w14:paraId="4E1D23B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一般排放口</w:t>
                  </w:r>
                </w:p>
              </w:tc>
            </w:tr>
            <w:tr w14:paraId="1A91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37" w:type="dxa"/>
                  <w:vMerge w:val="continue"/>
                  <w:vAlign w:val="center"/>
                </w:tcPr>
                <w:p w14:paraId="1AAB3A30">
                  <w:pPr>
                    <w:keepNext w:val="0"/>
                    <w:keepLines w:val="0"/>
                    <w:suppressLineNumbers w:val="0"/>
                    <w:adjustRightInd w:val="0"/>
                    <w:snapToGrid w:val="0"/>
                    <w:spacing w:before="0" w:beforeAutospacing="0" w:after="0" w:afterAutospacing="0"/>
                    <w:ind w:left="0" w:right="0"/>
                    <w:jc w:val="center"/>
                    <w:rPr>
                      <w:rFonts w:hint="eastAsia"/>
                      <w:snapToGrid w:val="0"/>
                      <w:color w:val="auto"/>
                      <w:kern w:val="0"/>
                      <w:sz w:val="20"/>
                      <w:szCs w:val="20"/>
                      <w:highlight w:val="none"/>
                      <w:lang w:val="en-US" w:eastAsia="zh-CN"/>
                    </w:rPr>
                  </w:pPr>
                </w:p>
              </w:tc>
              <w:tc>
                <w:tcPr>
                  <w:tcW w:w="797" w:type="dxa"/>
                  <w:vAlign w:val="center"/>
                </w:tcPr>
                <w:p w14:paraId="70D733A0">
                  <w:pPr>
                    <w:keepNext w:val="0"/>
                    <w:keepLines w:val="0"/>
                    <w:suppressLineNumbers w:val="0"/>
                    <w:adjustRightInd w:val="0"/>
                    <w:snapToGrid w:val="0"/>
                    <w:spacing w:before="0" w:beforeAutospacing="0" w:after="0" w:afterAutospacing="0"/>
                    <w:ind w:left="0" w:right="0"/>
                    <w:jc w:val="center"/>
                    <w:rPr>
                      <w:rFonts w:hint="eastAsia"/>
                      <w:bCs/>
                      <w:color w:val="auto"/>
                      <w:sz w:val="20"/>
                      <w:szCs w:val="20"/>
                      <w:highlight w:val="none"/>
                      <w:lang w:val="en-US" w:eastAsia="zh-CN"/>
                    </w:rPr>
                  </w:pPr>
                  <w:r>
                    <w:rPr>
                      <w:rFonts w:hint="eastAsia"/>
                      <w:bCs/>
                      <w:color w:val="auto"/>
                      <w:sz w:val="20"/>
                      <w:szCs w:val="20"/>
                      <w:highlight w:val="none"/>
                      <w:lang w:val="en-US" w:eastAsia="zh-CN"/>
                    </w:rPr>
                    <w:t>非甲烷总烃</w:t>
                  </w:r>
                </w:p>
              </w:tc>
              <w:tc>
                <w:tcPr>
                  <w:tcW w:w="672" w:type="dxa"/>
                  <w:vMerge w:val="continue"/>
                  <w:vAlign w:val="center"/>
                </w:tcPr>
                <w:p w14:paraId="3FA59554">
                  <w:pPr>
                    <w:keepNext w:val="0"/>
                    <w:keepLines w:val="0"/>
                    <w:suppressLineNumbers w:val="0"/>
                    <w:adjustRightInd w:val="0"/>
                    <w:snapToGrid w:val="0"/>
                    <w:spacing w:before="0" w:beforeAutospacing="0" w:after="0" w:afterAutospacing="0"/>
                    <w:ind w:left="0" w:right="0"/>
                    <w:jc w:val="center"/>
                    <w:rPr>
                      <w:rFonts w:hint="eastAsia"/>
                      <w:bCs/>
                      <w:color w:val="auto"/>
                      <w:sz w:val="20"/>
                      <w:szCs w:val="20"/>
                      <w:highlight w:val="none"/>
                      <w:lang w:val="en-US" w:eastAsia="zh-CN"/>
                    </w:rPr>
                  </w:pPr>
                </w:p>
              </w:tc>
              <w:tc>
                <w:tcPr>
                  <w:tcW w:w="1894" w:type="dxa"/>
                  <w:vMerge w:val="continue"/>
                  <w:vAlign w:val="center"/>
                </w:tcPr>
                <w:p w14:paraId="23875A72">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rPr>
                  </w:pPr>
                </w:p>
              </w:tc>
              <w:tc>
                <w:tcPr>
                  <w:tcW w:w="2126" w:type="dxa"/>
                  <w:vAlign w:val="center"/>
                </w:tcPr>
                <w:p w14:paraId="5BE13C7E">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lang w:val="en-US" w:eastAsia="zh-CN"/>
                    </w:rPr>
                  </w:pPr>
                  <w:r>
                    <w:rPr>
                      <w:rFonts w:hint="eastAsia"/>
                      <w:color w:val="auto"/>
                      <w:kern w:val="0"/>
                      <w:sz w:val="20"/>
                      <w:szCs w:val="20"/>
                      <w:highlight w:val="none"/>
                      <w:lang w:val="en-US" w:eastAsia="zh-CN"/>
                    </w:rPr>
                    <w:t>HJ1122的表A.1：</w:t>
                  </w:r>
                </w:p>
                <w:p w14:paraId="1AC4DA18">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lang w:val="en-US" w:eastAsia="zh-CN"/>
                    </w:rPr>
                  </w:pPr>
                  <w:r>
                    <w:rPr>
                      <w:rFonts w:hint="eastAsia"/>
                      <w:color w:val="auto"/>
                      <w:kern w:val="0"/>
                      <w:sz w:val="20"/>
                      <w:szCs w:val="20"/>
                      <w:highlight w:val="none"/>
                      <w:lang w:val="en-US" w:eastAsia="zh-CN"/>
                    </w:rPr>
                    <w:t>对非甲烷总烃未给出可行技术。</w:t>
                  </w:r>
                </w:p>
              </w:tc>
              <w:tc>
                <w:tcPr>
                  <w:tcW w:w="1924" w:type="dxa"/>
                  <w:vAlign w:val="center"/>
                </w:tcPr>
                <w:p w14:paraId="7A94A748">
                  <w:pPr>
                    <w:keepNext w:val="0"/>
                    <w:keepLines w:val="0"/>
                    <w:suppressLineNumbers w:val="0"/>
                    <w:adjustRightInd w:val="0"/>
                    <w:snapToGrid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由于《排污许可证申请与核发技术规范 橡胶和塑料制品工业》（HJ1122-2020）中未给出非甲烷总烃的治理可行技术，根据挥发性有机物治理使用手册（第二版）》（生态环境部大气环境司、生态环境部环境规划院编著），“间歇式、小风量废气可采用活性炭吸附等治理工艺”，属于可行的治理技术。</w:t>
                  </w:r>
                </w:p>
              </w:tc>
              <w:tc>
                <w:tcPr>
                  <w:tcW w:w="861" w:type="dxa"/>
                  <w:vMerge w:val="continue"/>
                  <w:vAlign w:val="center"/>
                </w:tcPr>
                <w:p w14:paraId="782C8A8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148A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37" w:type="dxa"/>
                  <w:vMerge w:val="restart"/>
                  <w:vAlign w:val="center"/>
                </w:tcPr>
                <w:p w14:paraId="3F34F1FC">
                  <w:pPr>
                    <w:keepNext w:val="0"/>
                    <w:keepLines w:val="0"/>
                    <w:suppressLineNumbers w:val="0"/>
                    <w:adjustRightInd w:val="0"/>
                    <w:snapToGrid w:val="0"/>
                    <w:spacing w:before="0" w:beforeAutospacing="0" w:after="0" w:afterAutospacing="0"/>
                    <w:ind w:left="0" w:right="0"/>
                    <w:jc w:val="center"/>
                    <w:rPr>
                      <w:rFonts w:hint="default"/>
                      <w:snapToGrid w:val="0"/>
                      <w:color w:val="auto"/>
                      <w:kern w:val="0"/>
                      <w:sz w:val="20"/>
                      <w:szCs w:val="20"/>
                      <w:highlight w:val="none"/>
                      <w:lang w:val="en-US" w:eastAsia="zh-CN"/>
                    </w:rPr>
                  </w:pPr>
                  <w:r>
                    <w:rPr>
                      <w:rFonts w:hint="eastAsia"/>
                      <w:snapToGrid w:val="0"/>
                      <w:color w:val="auto"/>
                      <w:kern w:val="0"/>
                      <w:sz w:val="20"/>
                      <w:szCs w:val="20"/>
                      <w:highlight w:val="none"/>
                      <w:lang w:val="en-US" w:eastAsia="zh-CN"/>
                    </w:rPr>
                    <w:t>危废贮存库废气</w:t>
                  </w:r>
                </w:p>
              </w:tc>
              <w:tc>
                <w:tcPr>
                  <w:tcW w:w="797" w:type="dxa"/>
                  <w:vAlign w:val="center"/>
                </w:tcPr>
                <w:p w14:paraId="3BA8878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lang w:val="en-US" w:eastAsia="zh-CN"/>
                    </w:rPr>
                  </w:pPr>
                  <w:r>
                    <w:rPr>
                      <w:rFonts w:hint="eastAsia"/>
                      <w:bCs/>
                      <w:color w:val="auto"/>
                      <w:sz w:val="20"/>
                      <w:szCs w:val="20"/>
                      <w:highlight w:val="none"/>
                      <w:lang w:val="en-US" w:eastAsia="zh-CN"/>
                    </w:rPr>
                    <w:t>颗粒物</w:t>
                  </w:r>
                </w:p>
              </w:tc>
              <w:tc>
                <w:tcPr>
                  <w:tcW w:w="672" w:type="dxa"/>
                  <w:vMerge w:val="restart"/>
                  <w:vAlign w:val="center"/>
                </w:tcPr>
                <w:p w14:paraId="0E69958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lang w:val="en-US" w:eastAsia="zh-CN"/>
                    </w:rPr>
                  </w:pPr>
                  <w:r>
                    <w:rPr>
                      <w:rFonts w:hint="eastAsia"/>
                      <w:bCs/>
                      <w:color w:val="auto"/>
                      <w:sz w:val="20"/>
                      <w:szCs w:val="20"/>
                      <w:highlight w:val="none"/>
                      <w:lang w:val="en-US" w:eastAsia="zh-CN"/>
                    </w:rPr>
                    <w:t>有组织</w:t>
                  </w:r>
                </w:p>
              </w:tc>
              <w:tc>
                <w:tcPr>
                  <w:tcW w:w="1894" w:type="dxa"/>
                  <w:vMerge w:val="restart"/>
                  <w:vAlign w:val="center"/>
                </w:tcPr>
                <w:p w14:paraId="3E468AFE">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rPr>
                  </w:pPr>
                  <w:r>
                    <w:rPr>
                      <w:rFonts w:hint="eastAsia"/>
                      <w:color w:val="auto"/>
                      <w:kern w:val="0"/>
                      <w:sz w:val="20"/>
                      <w:szCs w:val="20"/>
                      <w:highlight w:val="none"/>
                    </w:rPr>
                    <w:t>2间危险废物贮存库设置整体抽气后进入1套“G4板式过滤器+两级活性炭”装置，处理后经1根15m高的排气筒DA005有组织排放</w:t>
                  </w:r>
                </w:p>
              </w:tc>
              <w:tc>
                <w:tcPr>
                  <w:tcW w:w="2126" w:type="dxa"/>
                  <w:vMerge w:val="restart"/>
                  <w:vAlign w:val="center"/>
                </w:tcPr>
                <w:p w14:paraId="1AB0A1E2">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lang w:val="en-US" w:eastAsia="zh-CN"/>
                    </w:rPr>
                  </w:pPr>
                  <w:r>
                    <w:rPr>
                      <w:rFonts w:hint="eastAsia"/>
                      <w:color w:val="auto"/>
                      <w:kern w:val="0"/>
                      <w:sz w:val="20"/>
                      <w:szCs w:val="20"/>
                      <w:highlight w:val="none"/>
                      <w:lang w:val="en-US" w:eastAsia="zh-CN"/>
                    </w:rPr>
                    <w:t>参考《排污许可证申请与技术核发规范 工业固体废物和危险废物治理》中表C.2 中可行技术参考可知，危险废物贮存单元无推荐可行技术，应根据环境影响评价文件及其审批、审核意见确定可行技术。</w:t>
                  </w:r>
                </w:p>
              </w:tc>
              <w:tc>
                <w:tcPr>
                  <w:tcW w:w="1924" w:type="dxa"/>
                  <w:vAlign w:val="center"/>
                </w:tcPr>
                <w:p w14:paraId="48D0767E">
                  <w:pPr>
                    <w:keepNext w:val="0"/>
                    <w:keepLines w:val="0"/>
                    <w:suppressLineNumbers w:val="0"/>
                    <w:adjustRightInd w:val="0"/>
                    <w:snapToGrid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G4板式过滤器去除颗粒物：根据《大气污染治理工程技术导则》（HJ 2000-2010）“对于含尘气体，可根据含尘气体的性质、含尘浓度、粉尘粒径分布及处理要求等选择过滤材料、过滤风速及清灰方式”，该措施用于活性炭处理装置前的预处理，对于危废贮存间产生的极少量粉尘，属于可行的预处理技术。</w:t>
                  </w:r>
                </w:p>
              </w:tc>
              <w:tc>
                <w:tcPr>
                  <w:tcW w:w="861" w:type="dxa"/>
                  <w:vMerge w:val="restart"/>
                  <w:vAlign w:val="center"/>
                </w:tcPr>
                <w:p w14:paraId="568AC624">
                  <w:pPr>
                    <w:keepNext w:val="0"/>
                    <w:keepLines w:val="0"/>
                    <w:suppressLineNumbers w:val="0"/>
                    <w:adjustRightInd w:val="0"/>
                    <w:snapToGrid w:val="0"/>
                    <w:spacing w:before="0" w:beforeAutospacing="0" w:after="0" w:afterAutospacing="0"/>
                    <w:ind w:left="0" w:right="0"/>
                    <w:jc w:val="both"/>
                    <w:rPr>
                      <w:rFonts w:hint="default"/>
                      <w:bCs/>
                      <w:color w:val="auto"/>
                      <w:sz w:val="20"/>
                      <w:szCs w:val="20"/>
                      <w:highlight w:val="none"/>
                    </w:rPr>
                  </w:pPr>
                  <w:r>
                    <w:rPr>
                      <w:rFonts w:hint="default"/>
                      <w:bCs/>
                      <w:color w:val="auto"/>
                      <w:sz w:val="20"/>
                      <w:szCs w:val="20"/>
                      <w:highlight w:val="none"/>
                    </w:rPr>
                    <w:t>一般排放口</w:t>
                  </w:r>
                </w:p>
              </w:tc>
            </w:tr>
            <w:tr w14:paraId="0D7F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37" w:type="dxa"/>
                  <w:vMerge w:val="continue"/>
                  <w:vAlign w:val="center"/>
                </w:tcPr>
                <w:p w14:paraId="5EF6937D">
                  <w:pPr>
                    <w:keepNext w:val="0"/>
                    <w:keepLines w:val="0"/>
                    <w:suppressLineNumbers w:val="0"/>
                    <w:adjustRightInd w:val="0"/>
                    <w:snapToGrid w:val="0"/>
                    <w:spacing w:before="0" w:beforeAutospacing="0" w:after="0" w:afterAutospacing="0"/>
                    <w:ind w:left="0" w:right="0"/>
                    <w:jc w:val="center"/>
                    <w:rPr>
                      <w:rFonts w:hint="eastAsia"/>
                      <w:snapToGrid w:val="0"/>
                      <w:color w:val="auto"/>
                      <w:kern w:val="0"/>
                      <w:sz w:val="20"/>
                      <w:szCs w:val="20"/>
                      <w:highlight w:val="none"/>
                      <w:lang w:val="en-US" w:eastAsia="zh-CN"/>
                    </w:rPr>
                  </w:pPr>
                </w:p>
              </w:tc>
              <w:tc>
                <w:tcPr>
                  <w:tcW w:w="797" w:type="dxa"/>
                  <w:vAlign w:val="center"/>
                </w:tcPr>
                <w:p w14:paraId="2E2A3D19">
                  <w:pPr>
                    <w:keepNext w:val="0"/>
                    <w:keepLines w:val="0"/>
                    <w:suppressLineNumbers w:val="0"/>
                    <w:adjustRightInd w:val="0"/>
                    <w:snapToGrid w:val="0"/>
                    <w:spacing w:before="0" w:beforeAutospacing="0" w:after="0" w:afterAutospacing="0"/>
                    <w:ind w:left="0" w:right="0"/>
                    <w:jc w:val="center"/>
                    <w:rPr>
                      <w:rFonts w:hint="eastAsia"/>
                      <w:bCs/>
                      <w:color w:val="auto"/>
                      <w:sz w:val="20"/>
                      <w:szCs w:val="20"/>
                      <w:highlight w:val="none"/>
                      <w:lang w:val="en-US" w:eastAsia="zh-CN"/>
                    </w:rPr>
                  </w:pPr>
                  <w:r>
                    <w:rPr>
                      <w:rFonts w:hint="eastAsia"/>
                      <w:bCs/>
                      <w:color w:val="auto"/>
                      <w:sz w:val="20"/>
                      <w:szCs w:val="20"/>
                      <w:highlight w:val="none"/>
                      <w:lang w:val="en-US" w:eastAsia="zh-CN"/>
                    </w:rPr>
                    <w:t>非甲烷总烃</w:t>
                  </w:r>
                </w:p>
              </w:tc>
              <w:tc>
                <w:tcPr>
                  <w:tcW w:w="672" w:type="dxa"/>
                  <w:vMerge w:val="continue"/>
                  <w:vAlign w:val="center"/>
                </w:tcPr>
                <w:p w14:paraId="15619A5A">
                  <w:pPr>
                    <w:keepNext w:val="0"/>
                    <w:keepLines w:val="0"/>
                    <w:suppressLineNumbers w:val="0"/>
                    <w:adjustRightInd w:val="0"/>
                    <w:snapToGrid w:val="0"/>
                    <w:spacing w:before="0" w:beforeAutospacing="0" w:after="0" w:afterAutospacing="0"/>
                    <w:ind w:left="0" w:right="0"/>
                    <w:jc w:val="center"/>
                    <w:rPr>
                      <w:rFonts w:hint="eastAsia"/>
                      <w:bCs/>
                      <w:color w:val="auto"/>
                      <w:sz w:val="20"/>
                      <w:szCs w:val="20"/>
                      <w:highlight w:val="none"/>
                      <w:lang w:val="en-US" w:eastAsia="zh-CN"/>
                    </w:rPr>
                  </w:pPr>
                </w:p>
              </w:tc>
              <w:tc>
                <w:tcPr>
                  <w:tcW w:w="1894" w:type="dxa"/>
                  <w:vMerge w:val="continue"/>
                  <w:vAlign w:val="center"/>
                </w:tcPr>
                <w:p w14:paraId="694E006A">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rPr>
                  </w:pPr>
                </w:p>
              </w:tc>
              <w:tc>
                <w:tcPr>
                  <w:tcW w:w="2126" w:type="dxa"/>
                  <w:vMerge w:val="continue"/>
                  <w:vAlign w:val="center"/>
                </w:tcPr>
                <w:p w14:paraId="5EDA1A72">
                  <w:pPr>
                    <w:keepNext w:val="0"/>
                    <w:keepLines w:val="0"/>
                    <w:suppressLineNumbers w:val="0"/>
                    <w:adjustRightInd w:val="0"/>
                    <w:snapToGrid w:val="0"/>
                    <w:spacing w:before="0" w:beforeAutospacing="0" w:after="0" w:afterAutospacing="0"/>
                    <w:ind w:left="0" w:right="0"/>
                    <w:jc w:val="both"/>
                    <w:rPr>
                      <w:rFonts w:hint="eastAsia"/>
                      <w:color w:val="auto"/>
                      <w:kern w:val="0"/>
                      <w:sz w:val="20"/>
                      <w:szCs w:val="20"/>
                      <w:highlight w:val="none"/>
                      <w:lang w:val="en-US" w:eastAsia="zh-CN"/>
                    </w:rPr>
                  </w:pPr>
                </w:p>
              </w:tc>
              <w:tc>
                <w:tcPr>
                  <w:tcW w:w="1924" w:type="dxa"/>
                  <w:vAlign w:val="center"/>
                </w:tcPr>
                <w:p w14:paraId="468B2CC8">
                  <w:pPr>
                    <w:keepNext w:val="0"/>
                    <w:keepLines w:val="0"/>
                    <w:suppressLineNumbers w:val="0"/>
                    <w:adjustRightInd w:val="0"/>
                    <w:snapToGrid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两级活性炭吸附：根据挥发性有机物治理使用手册（第二版）》（生态环境部大气环境司、生态环境部环境规划院编著），“间歇式、小风量废气可采用活性炭吸附等治理工艺”，属于可行的治理技术。</w:t>
                  </w:r>
                </w:p>
              </w:tc>
              <w:tc>
                <w:tcPr>
                  <w:tcW w:w="861" w:type="dxa"/>
                  <w:vMerge w:val="continue"/>
                  <w:vAlign w:val="center"/>
                </w:tcPr>
                <w:p w14:paraId="701C894A">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bl>
          <w:p w14:paraId="4BC62025">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p>
          <w:p w14:paraId="7770E14F">
            <w:pPr>
              <w:pStyle w:val="74"/>
              <w:keepNext w:val="0"/>
              <w:keepLines w:val="0"/>
              <w:suppressLineNumbers w:val="0"/>
              <w:spacing w:before="0" w:beforeAutospacing="0" w:after="0" w:afterAutospacing="0"/>
              <w:ind w:left="0" w:right="0" w:firstLine="520"/>
              <w:rPr>
                <w:rFonts w:hint="eastAsia"/>
                <w:color w:val="auto"/>
                <w:highlight w:val="none"/>
              </w:rPr>
            </w:pPr>
            <w:r>
              <w:rPr>
                <w:rFonts w:hint="eastAsia"/>
                <w:color w:val="auto"/>
                <w:highlight w:val="none"/>
              </w:rPr>
              <w:t>因此</w:t>
            </w:r>
            <w:r>
              <w:rPr>
                <w:rFonts w:hint="eastAsia"/>
                <w:color w:val="auto"/>
                <w:highlight w:val="none"/>
                <w:lang w:eastAsia="zh-CN"/>
              </w:rPr>
              <w:t>，</w:t>
            </w:r>
            <w:r>
              <w:rPr>
                <w:rFonts w:hint="eastAsia"/>
                <w:color w:val="auto"/>
                <w:highlight w:val="none"/>
              </w:rPr>
              <w:t>本项目的废气治理设施可行。</w:t>
            </w:r>
          </w:p>
          <w:p w14:paraId="319CA6F6">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4.2.1.</w:t>
            </w:r>
            <w:r>
              <w:rPr>
                <w:rFonts w:hint="eastAsia"/>
                <w:b/>
                <w:color w:val="auto"/>
                <w:kern w:val="0"/>
                <w:sz w:val="26"/>
                <w:szCs w:val="26"/>
                <w:highlight w:val="none"/>
                <w:lang w:val="en-US" w:eastAsia="zh-CN"/>
              </w:rPr>
              <w:t>5</w:t>
            </w:r>
            <w:r>
              <w:rPr>
                <w:rFonts w:hint="eastAsia"/>
                <w:b/>
                <w:color w:val="auto"/>
                <w:kern w:val="0"/>
                <w:sz w:val="26"/>
                <w:szCs w:val="26"/>
                <w:highlight w:val="none"/>
              </w:rPr>
              <w:t>监测要求</w:t>
            </w:r>
          </w:p>
          <w:p w14:paraId="70481737">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rPr>
              <w:t>根据《排污单位自行监测技术指南 总则》（HJ 819-2017），并参照《排污许可证申请与核发技术规范 铁路、船舶、航空航天和其他运输设备制造业》（HJ1124-2020）</w:t>
            </w:r>
            <w:r>
              <w:rPr>
                <w:rFonts w:hint="eastAsia"/>
                <w:color w:val="auto"/>
                <w:highlight w:val="none"/>
                <w:lang w:eastAsia="zh-CN"/>
              </w:rPr>
              <w:t>、《排污单位自行监测技术指南 金属铸造工业》（HJ 1251</w:t>
            </w:r>
            <w:r>
              <w:rPr>
                <w:rFonts w:hint="eastAsia"/>
                <w:color w:val="auto"/>
                <w:highlight w:val="none"/>
                <w:lang w:val="en-US" w:eastAsia="zh-CN"/>
              </w:rPr>
              <w:t>-</w:t>
            </w:r>
            <w:r>
              <w:rPr>
                <w:rFonts w:hint="eastAsia"/>
                <w:color w:val="auto"/>
                <w:highlight w:val="none"/>
                <w:lang w:eastAsia="zh-CN"/>
              </w:rPr>
              <w:t>2022）、《排污许可证申请与核发  技术规范 金属铸造工业》（HJ1115-2020）、《排污许可证申请与核发技术规范</w:t>
            </w:r>
            <w:r>
              <w:rPr>
                <w:rFonts w:hint="eastAsia"/>
                <w:color w:val="auto"/>
                <w:highlight w:val="none"/>
                <w:lang w:val="en-US" w:eastAsia="zh-CN"/>
              </w:rPr>
              <w:t xml:space="preserve"> 橡胶和塑料制品工业</w:t>
            </w:r>
            <w:r>
              <w:rPr>
                <w:rFonts w:hint="eastAsia"/>
                <w:color w:val="auto"/>
                <w:highlight w:val="none"/>
                <w:lang w:eastAsia="zh-CN"/>
              </w:rPr>
              <w:t>》（</w:t>
            </w:r>
            <w:r>
              <w:rPr>
                <w:rFonts w:hint="eastAsia"/>
                <w:color w:val="auto"/>
                <w:highlight w:val="none"/>
                <w:lang w:val="en-US" w:eastAsia="zh-CN"/>
              </w:rPr>
              <w:t>HJ1122-2020</w:t>
            </w:r>
            <w:r>
              <w:rPr>
                <w:rFonts w:hint="eastAsia"/>
                <w:color w:val="auto"/>
                <w:highlight w:val="none"/>
                <w:lang w:eastAsia="zh-CN"/>
              </w:rPr>
              <w:t>）、《排污单位自行监测技术指南 橡胶和塑料制品》（</w:t>
            </w:r>
            <w:r>
              <w:rPr>
                <w:rFonts w:hint="eastAsia"/>
                <w:color w:val="auto"/>
                <w:highlight w:val="none"/>
                <w:lang w:val="en-US" w:eastAsia="zh-CN"/>
              </w:rPr>
              <w:t>HJ1207-2021</w:t>
            </w:r>
            <w:r>
              <w:rPr>
                <w:rFonts w:hint="eastAsia"/>
                <w:color w:val="auto"/>
                <w:highlight w:val="none"/>
                <w:lang w:eastAsia="zh-CN"/>
              </w:rPr>
              <w:t>）</w:t>
            </w:r>
            <w:r>
              <w:rPr>
                <w:rFonts w:hint="eastAsia"/>
                <w:color w:val="auto"/>
                <w:highlight w:val="none"/>
              </w:rPr>
              <w:t>。项目废气监测要求见下表。</w:t>
            </w:r>
          </w:p>
          <w:p w14:paraId="1555A3C2">
            <w:pPr>
              <w:pStyle w:val="50"/>
              <w:keepNext w:val="0"/>
              <w:keepLines w:val="0"/>
              <w:suppressLineNumbers w:val="0"/>
              <w:spacing w:before="0" w:beforeAutospacing="0" w:after="0" w:afterAutospacing="0"/>
              <w:ind w:left="0" w:right="0"/>
              <w:rPr>
                <w:rFonts w:hint="default"/>
                <w:color w:val="auto"/>
                <w:highlight w:val="none"/>
              </w:rPr>
            </w:pPr>
          </w:p>
          <w:p w14:paraId="540B72DB">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6"/>
                <w:szCs w:val="26"/>
                <w:highlight w:val="none"/>
              </w:rPr>
            </w:pPr>
            <w:r>
              <w:rPr>
                <w:rFonts w:hint="eastAsia"/>
                <w:color w:val="auto"/>
                <w:kern w:val="0"/>
                <w:sz w:val="26"/>
                <w:szCs w:val="26"/>
                <w:highlight w:val="none"/>
              </w:rPr>
              <w:t>表</w:t>
            </w:r>
            <w:r>
              <w:rPr>
                <w:rFonts w:hint="default"/>
                <w:color w:val="auto"/>
                <w:kern w:val="0"/>
                <w:sz w:val="26"/>
                <w:szCs w:val="26"/>
                <w:highlight w:val="none"/>
              </w:rPr>
              <w:t>4.2-</w:t>
            </w:r>
            <w:r>
              <w:rPr>
                <w:rFonts w:hint="eastAsia"/>
                <w:color w:val="auto"/>
                <w:kern w:val="0"/>
                <w:sz w:val="26"/>
                <w:szCs w:val="26"/>
                <w:highlight w:val="none"/>
                <w:lang w:val="en-US" w:eastAsia="zh-CN"/>
              </w:rPr>
              <w:t xml:space="preserve">9    </w:t>
            </w:r>
            <w:r>
              <w:rPr>
                <w:rFonts w:hint="eastAsia"/>
                <w:color w:val="auto"/>
                <w:kern w:val="0"/>
                <w:sz w:val="26"/>
                <w:szCs w:val="26"/>
                <w:highlight w:val="none"/>
              </w:rPr>
              <w:t>废气运营期监测计划</w:t>
            </w:r>
          </w:p>
          <w:tbl>
            <w:tblPr>
              <w:tblStyle w:val="25"/>
              <w:tblW w:w="499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421"/>
              <w:gridCol w:w="579"/>
              <w:gridCol w:w="1157"/>
              <w:gridCol w:w="1257"/>
              <w:gridCol w:w="994"/>
              <w:gridCol w:w="983"/>
              <w:gridCol w:w="1623"/>
              <w:gridCol w:w="2294"/>
            </w:tblGrid>
            <w:tr w14:paraId="2AF52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40" w:hRule="atLeast"/>
                <w:tblHeader/>
                <w:jc w:val="center"/>
              </w:trPr>
              <w:tc>
                <w:tcPr>
                  <w:tcW w:w="1002" w:type="dxa"/>
                  <w:gridSpan w:val="2"/>
                  <w:tcBorders>
                    <w:tl2br w:val="nil"/>
                    <w:tr2bl w:val="nil"/>
                  </w:tcBorders>
                  <w:shd w:val="clear" w:color="auto" w:fill="auto"/>
                  <w:tcMar>
                    <w:left w:w="28" w:type="dxa"/>
                    <w:right w:w="28" w:type="dxa"/>
                  </w:tcMar>
                  <w:vAlign w:val="center"/>
                </w:tcPr>
                <w:p w14:paraId="2D6A6FF0">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
                    </w:rPr>
                    <w:t>监测对象</w:t>
                  </w:r>
                </w:p>
              </w:tc>
              <w:tc>
                <w:tcPr>
                  <w:tcW w:w="1157" w:type="dxa"/>
                  <w:tcBorders>
                    <w:tl2br w:val="nil"/>
                    <w:tr2bl w:val="nil"/>
                  </w:tcBorders>
                  <w:shd w:val="clear" w:color="auto" w:fill="auto"/>
                  <w:tcMar>
                    <w:left w:w="28" w:type="dxa"/>
                    <w:right w:w="28" w:type="dxa"/>
                  </w:tcMar>
                  <w:vAlign w:val="center"/>
                </w:tcPr>
                <w:p w14:paraId="7A0FE42F">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
                    </w:rPr>
                    <w:t>监测点位</w:t>
                  </w:r>
                </w:p>
              </w:tc>
              <w:tc>
                <w:tcPr>
                  <w:tcW w:w="1257" w:type="dxa"/>
                  <w:tcBorders>
                    <w:tl2br w:val="nil"/>
                    <w:tr2bl w:val="nil"/>
                  </w:tcBorders>
                  <w:shd w:val="clear" w:color="auto" w:fill="auto"/>
                  <w:tcMar>
                    <w:left w:w="28" w:type="dxa"/>
                    <w:right w:w="28" w:type="dxa"/>
                  </w:tcMar>
                  <w:vAlign w:val="center"/>
                </w:tcPr>
                <w:p w14:paraId="4AADE450">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
                    </w:rPr>
                    <w:t>监测因子</w:t>
                  </w:r>
                </w:p>
              </w:tc>
              <w:tc>
                <w:tcPr>
                  <w:tcW w:w="994" w:type="dxa"/>
                  <w:tcBorders>
                    <w:tl2br w:val="nil"/>
                    <w:tr2bl w:val="nil"/>
                  </w:tcBorders>
                  <w:shd w:val="clear" w:color="auto" w:fill="auto"/>
                  <w:tcMar>
                    <w:left w:w="28" w:type="dxa"/>
                    <w:right w:w="28" w:type="dxa"/>
                  </w:tcMar>
                  <w:vAlign w:val="center"/>
                </w:tcPr>
                <w:p w14:paraId="7F8740B2">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
                    </w:rPr>
                    <w:t>验收监测频次</w:t>
                  </w:r>
                </w:p>
              </w:tc>
              <w:tc>
                <w:tcPr>
                  <w:tcW w:w="983" w:type="dxa"/>
                  <w:tcBorders>
                    <w:tl2br w:val="nil"/>
                    <w:tr2bl w:val="nil"/>
                  </w:tcBorders>
                  <w:shd w:val="clear" w:color="auto" w:fill="auto"/>
                  <w:tcMar>
                    <w:left w:w="28" w:type="dxa"/>
                    <w:right w:w="28" w:type="dxa"/>
                  </w:tcMar>
                  <w:vAlign w:val="center"/>
                </w:tcPr>
                <w:p w14:paraId="7B53A915">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
                    </w:rPr>
                    <w:t>自行监测频次</w:t>
                  </w:r>
                </w:p>
              </w:tc>
              <w:tc>
                <w:tcPr>
                  <w:tcW w:w="1623" w:type="dxa"/>
                  <w:tcBorders>
                    <w:tl2br w:val="nil"/>
                    <w:tr2bl w:val="nil"/>
                  </w:tcBorders>
                  <w:shd w:val="clear" w:color="auto" w:fill="auto"/>
                  <w:tcMar>
                    <w:left w:w="28" w:type="dxa"/>
                    <w:right w:w="28" w:type="dxa"/>
                  </w:tcMar>
                  <w:vAlign w:val="center"/>
                </w:tcPr>
                <w:p w14:paraId="01F2D007">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1"/>
                      <w:highlight w:val="none"/>
                      <w:lang w:val="en-US" w:eastAsia="zh-CN" w:bidi="ar"/>
                    </w:rPr>
                  </w:pPr>
                  <w:r>
                    <w:rPr>
                      <w:rFonts w:hint="eastAsia" w:ascii="Times New Roman" w:hAnsi="Times New Roman" w:cs="Times New Roman"/>
                      <w:b/>
                      <w:bCs/>
                      <w:color w:val="auto"/>
                      <w:kern w:val="2"/>
                      <w:sz w:val="21"/>
                      <w:szCs w:val="21"/>
                      <w:highlight w:val="none"/>
                      <w:lang w:val="en-US" w:eastAsia="zh-CN" w:bidi="ar"/>
                    </w:rPr>
                    <w:t>监测频次依据</w:t>
                  </w:r>
                </w:p>
              </w:tc>
              <w:tc>
                <w:tcPr>
                  <w:tcW w:w="2294" w:type="dxa"/>
                  <w:tcBorders>
                    <w:tl2br w:val="nil"/>
                    <w:tr2bl w:val="nil"/>
                  </w:tcBorders>
                  <w:shd w:val="clear" w:color="auto" w:fill="auto"/>
                  <w:tcMar>
                    <w:left w:w="28" w:type="dxa"/>
                    <w:right w:w="28" w:type="dxa"/>
                  </w:tcMar>
                  <w:vAlign w:val="center"/>
                </w:tcPr>
                <w:p w14:paraId="16FCE480">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b/>
                      <w:bCs/>
                      <w:color w:val="auto"/>
                      <w:sz w:val="21"/>
                      <w:szCs w:val="21"/>
                      <w:highlight w:val="none"/>
                      <w:lang w:val="en-US"/>
                    </w:rPr>
                  </w:pPr>
                  <w:r>
                    <w:rPr>
                      <w:rFonts w:hint="default" w:ascii="Times New Roman" w:hAnsi="Times New Roman" w:eastAsia="宋体" w:cs="Times New Roman"/>
                      <w:b/>
                      <w:bCs/>
                      <w:color w:val="auto"/>
                      <w:kern w:val="2"/>
                      <w:sz w:val="21"/>
                      <w:szCs w:val="21"/>
                      <w:highlight w:val="none"/>
                      <w:lang w:val="en-US" w:eastAsia="zh-CN" w:bidi="ar"/>
                    </w:rPr>
                    <w:t>执行标准</w:t>
                  </w:r>
                </w:p>
              </w:tc>
            </w:tr>
            <w:tr w14:paraId="3FEF32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847" w:hRule="atLeast"/>
                <w:jc w:val="center"/>
              </w:trPr>
              <w:tc>
                <w:tcPr>
                  <w:tcW w:w="422" w:type="dxa"/>
                  <w:vMerge w:val="restart"/>
                  <w:tcBorders>
                    <w:tl2br w:val="nil"/>
                    <w:tr2bl w:val="nil"/>
                  </w:tcBorders>
                  <w:shd w:val="clear" w:color="auto" w:fill="auto"/>
                  <w:tcMar>
                    <w:left w:w="28" w:type="dxa"/>
                    <w:right w:w="28" w:type="dxa"/>
                  </w:tcMar>
                  <w:vAlign w:val="center"/>
                </w:tcPr>
                <w:p w14:paraId="6B087CC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废气</w:t>
                  </w:r>
                </w:p>
              </w:tc>
              <w:tc>
                <w:tcPr>
                  <w:tcW w:w="580" w:type="dxa"/>
                  <w:vMerge w:val="restart"/>
                  <w:tcBorders>
                    <w:tl2br w:val="nil"/>
                    <w:tr2bl w:val="nil"/>
                  </w:tcBorders>
                  <w:shd w:val="clear" w:color="auto" w:fill="auto"/>
                  <w:tcMar>
                    <w:left w:w="28" w:type="dxa"/>
                    <w:right w:w="28" w:type="dxa"/>
                  </w:tcMar>
                  <w:vAlign w:val="center"/>
                </w:tcPr>
                <w:p w14:paraId="5B3204F7">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有组织</w:t>
                  </w:r>
                </w:p>
              </w:tc>
              <w:tc>
                <w:tcPr>
                  <w:tcW w:w="1157" w:type="dxa"/>
                  <w:vMerge w:val="restart"/>
                  <w:tcBorders>
                    <w:tl2br w:val="nil"/>
                    <w:tr2bl w:val="nil"/>
                  </w:tcBorders>
                  <w:shd w:val="clear" w:color="auto" w:fill="auto"/>
                  <w:tcMar>
                    <w:left w:w="28" w:type="dxa"/>
                    <w:right w:w="28" w:type="dxa"/>
                  </w:tcMar>
                  <w:vAlign w:val="center"/>
                </w:tcPr>
                <w:p w14:paraId="61281A90">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乙醇废气、热压和固化废气、压铸废气排气筒DA002</w:t>
                  </w:r>
                </w:p>
              </w:tc>
              <w:tc>
                <w:tcPr>
                  <w:tcW w:w="1257" w:type="dxa"/>
                  <w:tcBorders>
                    <w:bottom w:val="single" w:color="auto" w:sz="4" w:space="0"/>
                    <w:tl2br w:val="nil"/>
                    <w:tr2bl w:val="nil"/>
                  </w:tcBorders>
                  <w:shd w:val="clear" w:color="auto" w:fill="auto"/>
                  <w:tcMar>
                    <w:left w:w="28" w:type="dxa"/>
                    <w:right w:w="28" w:type="dxa"/>
                  </w:tcMar>
                  <w:vAlign w:val="center"/>
                </w:tcPr>
                <w:p w14:paraId="2D9065B7">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非甲烷总烃</w:t>
                  </w:r>
                </w:p>
              </w:tc>
              <w:tc>
                <w:tcPr>
                  <w:tcW w:w="994" w:type="dxa"/>
                  <w:tcBorders>
                    <w:bottom w:val="single" w:color="auto" w:sz="4" w:space="0"/>
                    <w:tl2br w:val="nil"/>
                    <w:tr2bl w:val="nil"/>
                  </w:tcBorders>
                  <w:shd w:val="clear" w:color="auto" w:fill="auto"/>
                  <w:tcMar>
                    <w:left w:w="28" w:type="dxa"/>
                    <w:right w:w="28" w:type="dxa"/>
                  </w:tcMar>
                  <w:vAlign w:val="center"/>
                </w:tcPr>
                <w:p w14:paraId="1506836F">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bottom w:val="single" w:color="auto" w:sz="4" w:space="0"/>
                    <w:tl2br w:val="nil"/>
                    <w:tr2bl w:val="nil"/>
                  </w:tcBorders>
                  <w:shd w:val="clear" w:color="auto" w:fill="auto"/>
                  <w:tcMar>
                    <w:left w:w="28" w:type="dxa"/>
                    <w:right w:w="28" w:type="dxa"/>
                  </w:tcMar>
                  <w:vAlign w:val="center"/>
                </w:tcPr>
                <w:p w14:paraId="28C0A929">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r>
                    <w:rPr>
                      <w:rFonts w:hint="eastAsia" w:ascii="Times New Roman" w:hAnsi="Times New Roman" w:cs="Times New Roman"/>
                      <w:color w:val="auto"/>
                      <w:kern w:val="2"/>
                      <w:sz w:val="21"/>
                      <w:szCs w:val="21"/>
                      <w:highlight w:val="none"/>
                      <w:lang w:val="en-US" w:eastAsia="zh-CN" w:bidi="ar"/>
                    </w:rPr>
                    <w:t>年</w:t>
                  </w:r>
                </w:p>
              </w:tc>
              <w:tc>
                <w:tcPr>
                  <w:tcW w:w="1623" w:type="dxa"/>
                  <w:tcBorders>
                    <w:bottom w:val="single" w:color="auto" w:sz="4" w:space="0"/>
                    <w:tl2br w:val="nil"/>
                    <w:tr2bl w:val="nil"/>
                  </w:tcBorders>
                  <w:shd w:val="clear" w:color="auto" w:fill="auto"/>
                  <w:tcMar>
                    <w:left w:w="28" w:type="dxa"/>
                    <w:right w:w="28" w:type="dxa"/>
                  </w:tcMar>
                  <w:vAlign w:val="center"/>
                </w:tcPr>
                <w:p w14:paraId="444272B1">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HJ1124的表25</w:t>
                  </w:r>
                </w:p>
                <w:p w14:paraId="72D5C8D6">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HJ819的表1</w:t>
                  </w:r>
                </w:p>
              </w:tc>
              <w:tc>
                <w:tcPr>
                  <w:tcW w:w="2294" w:type="dxa"/>
                  <w:tcBorders>
                    <w:bottom w:val="single" w:color="auto" w:sz="4" w:space="0"/>
                    <w:tl2br w:val="nil"/>
                    <w:tr2bl w:val="nil"/>
                  </w:tcBorders>
                  <w:shd w:val="clear" w:color="auto" w:fill="auto"/>
                  <w:tcMar>
                    <w:left w:w="28" w:type="dxa"/>
                    <w:right w:w="28" w:type="dxa"/>
                  </w:tcMar>
                  <w:vAlign w:val="center"/>
                </w:tcPr>
                <w:p w14:paraId="3B692716">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《大气污染物综合排放标准》（DB 50/418-2016）</w:t>
                  </w:r>
                </w:p>
              </w:tc>
            </w:tr>
            <w:tr w14:paraId="12D717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8" w:hRule="atLeast"/>
                <w:jc w:val="center"/>
              </w:trPr>
              <w:tc>
                <w:tcPr>
                  <w:tcW w:w="422" w:type="dxa"/>
                  <w:vMerge w:val="continue"/>
                  <w:tcBorders>
                    <w:tl2br w:val="nil"/>
                    <w:tr2bl w:val="nil"/>
                  </w:tcBorders>
                  <w:shd w:val="clear" w:color="auto" w:fill="auto"/>
                  <w:tcMar>
                    <w:left w:w="28" w:type="dxa"/>
                    <w:right w:w="28" w:type="dxa"/>
                  </w:tcMar>
                  <w:vAlign w:val="center"/>
                </w:tcPr>
                <w:p w14:paraId="4449CA33">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p>
              </w:tc>
              <w:tc>
                <w:tcPr>
                  <w:tcW w:w="580" w:type="dxa"/>
                  <w:vMerge w:val="continue"/>
                  <w:tcBorders>
                    <w:tl2br w:val="nil"/>
                    <w:tr2bl w:val="nil"/>
                  </w:tcBorders>
                  <w:shd w:val="clear" w:color="auto" w:fill="auto"/>
                  <w:tcMar>
                    <w:left w:w="28" w:type="dxa"/>
                    <w:right w:w="28" w:type="dxa"/>
                  </w:tcMar>
                  <w:vAlign w:val="center"/>
                </w:tcPr>
                <w:p w14:paraId="35EA3B3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p>
              </w:tc>
              <w:tc>
                <w:tcPr>
                  <w:tcW w:w="1157" w:type="dxa"/>
                  <w:vMerge w:val="continue"/>
                  <w:tcBorders>
                    <w:tl2br w:val="nil"/>
                    <w:tr2bl w:val="nil"/>
                  </w:tcBorders>
                  <w:shd w:val="clear" w:color="auto" w:fill="auto"/>
                  <w:tcMar>
                    <w:left w:w="28" w:type="dxa"/>
                    <w:right w:w="28" w:type="dxa"/>
                  </w:tcMar>
                  <w:vAlign w:val="center"/>
                </w:tcPr>
                <w:p w14:paraId="36ECB21C">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highlight w:val="none"/>
                      <w:lang w:val="en-US" w:eastAsia="zh-CN"/>
                    </w:rPr>
                  </w:pPr>
                </w:p>
              </w:tc>
              <w:tc>
                <w:tcPr>
                  <w:tcW w:w="1257" w:type="dxa"/>
                  <w:tcBorders>
                    <w:top w:val="single" w:color="auto" w:sz="4" w:space="0"/>
                    <w:bottom w:val="single" w:color="auto" w:sz="4" w:space="0"/>
                    <w:tl2br w:val="nil"/>
                    <w:tr2bl w:val="nil"/>
                  </w:tcBorders>
                  <w:shd w:val="clear" w:color="auto" w:fill="auto"/>
                  <w:tcMar>
                    <w:left w:w="28" w:type="dxa"/>
                    <w:right w:w="28" w:type="dxa"/>
                  </w:tcMar>
                  <w:vAlign w:val="center"/>
                </w:tcPr>
                <w:p w14:paraId="797C7219">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颗粒物</w:t>
                  </w:r>
                </w:p>
              </w:tc>
              <w:tc>
                <w:tcPr>
                  <w:tcW w:w="994" w:type="dxa"/>
                  <w:tcBorders>
                    <w:top w:val="single" w:color="auto" w:sz="4" w:space="0"/>
                    <w:tl2br w:val="nil"/>
                    <w:tr2bl w:val="nil"/>
                  </w:tcBorders>
                  <w:shd w:val="clear" w:color="auto" w:fill="auto"/>
                  <w:tcMar>
                    <w:left w:w="28" w:type="dxa"/>
                    <w:right w:w="28" w:type="dxa"/>
                  </w:tcMar>
                  <w:vAlign w:val="center"/>
                </w:tcPr>
                <w:p w14:paraId="581EA70C">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tl2br w:val="nil"/>
                    <w:tr2bl w:val="nil"/>
                  </w:tcBorders>
                  <w:shd w:val="clear" w:color="auto" w:fill="auto"/>
                  <w:tcMar>
                    <w:left w:w="28" w:type="dxa"/>
                    <w:right w:w="28" w:type="dxa"/>
                  </w:tcMar>
                  <w:vAlign w:val="center"/>
                </w:tcPr>
                <w:p w14:paraId="1036F315">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w:t>
                  </w:r>
                </w:p>
              </w:tc>
              <w:tc>
                <w:tcPr>
                  <w:tcW w:w="1623" w:type="dxa"/>
                  <w:tcBorders>
                    <w:top w:val="single" w:color="auto" w:sz="4" w:space="0"/>
                    <w:bottom w:val="single" w:color="auto" w:sz="4" w:space="0"/>
                    <w:tl2br w:val="nil"/>
                    <w:tr2bl w:val="nil"/>
                  </w:tcBorders>
                  <w:shd w:val="clear" w:color="auto" w:fill="auto"/>
                  <w:tcMar>
                    <w:left w:w="28" w:type="dxa"/>
                    <w:right w:w="28" w:type="dxa"/>
                  </w:tcMar>
                  <w:vAlign w:val="center"/>
                </w:tcPr>
                <w:p w14:paraId="674BF50E">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w:t>
                  </w:r>
                </w:p>
              </w:tc>
              <w:tc>
                <w:tcPr>
                  <w:tcW w:w="2294" w:type="dxa"/>
                  <w:tcBorders>
                    <w:top w:val="single" w:color="auto" w:sz="4" w:space="0"/>
                    <w:bottom w:val="single" w:color="auto" w:sz="4" w:space="0"/>
                    <w:tl2br w:val="nil"/>
                    <w:tr2bl w:val="nil"/>
                  </w:tcBorders>
                  <w:shd w:val="clear" w:color="auto" w:fill="auto"/>
                  <w:tcMar>
                    <w:left w:w="28" w:type="dxa"/>
                    <w:right w:w="28" w:type="dxa"/>
                  </w:tcMar>
                  <w:vAlign w:val="center"/>
                </w:tcPr>
                <w:p w14:paraId="2A05540B">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《铸造工业大气污染物排放标准》（GB39726-2020）</w:t>
                  </w:r>
                </w:p>
              </w:tc>
            </w:tr>
            <w:tr w14:paraId="2D3759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01" w:hRule="atLeast"/>
                <w:jc w:val="center"/>
              </w:trPr>
              <w:tc>
                <w:tcPr>
                  <w:tcW w:w="422" w:type="dxa"/>
                  <w:vMerge w:val="continue"/>
                  <w:tcBorders>
                    <w:tl2br w:val="nil"/>
                    <w:tr2bl w:val="nil"/>
                  </w:tcBorders>
                  <w:shd w:val="clear" w:color="auto" w:fill="auto"/>
                  <w:tcMar>
                    <w:left w:w="28" w:type="dxa"/>
                    <w:right w:w="28" w:type="dxa"/>
                  </w:tcMar>
                  <w:vAlign w:val="center"/>
                </w:tcPr>
                <w:p w14:paraId="3E9A428A">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6E56703B">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restart"/>
                  <w:tcBorders>
                    <w:tl2br w:val="nil"/>
                    <w:tr2bl w:val="nil"/>
                  </w:tcBorders>
                  <w:shd w:val="clear" w:color="auto" w:fill="auto"/>
                  <w:tcMar>
                    <w:left w:w="28" w:type="dxa"/>
                    <w:right w:w="28" w:type="dxa"/>
                  </w:tcMar>
                  <w:vAlign w:val="center"/>
                </w:tcPr>
                <w:p w14:paraId="724EBDC2">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搅拌、挤压废气排气筒DA004</w:t>
                  </w:r>
                </w:p>
              </w:tc>
              <w:tc>
                <w:tcPr>
                  <w:tcW w:w="1257" w:type="dxa"/>
                  <w:tcBorders>
                    <w:top w:val="single" w:color="auto" w:sz="4" w:space="0"/>
                    <w:bottom w:val="single" w:color="auto" w:sz="4" w:space="0"/>
                    <w:tl2br w:val="nil"/>
                    <w:tr2bl w:val="nil"/>
                  </w:tcBorders>
                  <w:shd w:val="clear" w:color="auto" w:fill="auto"/>
                  <w:tcMar>
                    <w:left w:w="28" w:type="dxa"/>
                    <w:right w:w="28" w:type="dxa"/>
                  </w:tcMar>
                  <w:vAlign w:val="center"/>
                </w:tcPr>
                <w:p w14:paraId="2516DB9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颗粒物</w:t>
                  </w:r>
                </w:p>
              </w:tc>
              <w:tc>
                <w:tcPr>
                  <w:tcW w:w="994" w:type="dxa"/>
                  <w:tcBorders>
                    <w:bottom w:val="single" w:color="auto" w:sz="4" w:space="0"/>
                    <w:tl2br w:val="nil"/>
                    <w:tr2bl w:val="nil"/>
                  </w:tcBorders>
                  <w:shd w:val="clear" w:color="auto" w:fill="auto"/>
                  <w:tcMar>
                    <w:left w:w="28" w:type="dxa"/>
                    <w:right w:w="28" w:type="dxa"/>
                  </w:tcMar>
                  <w:vAlign w:val="center"/>
                </w:tcPr>
                <w:p w14:paraId="0456E98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bottom w:val="single" w:color="auto" w:sz="4" w:space="0"/>
                    <w:tl2br w:val="nil"/>
                    <w:tr2bl w:val="nil"/>
                  </w:tcBorders>
                  <w:shd w:val="clear" w:color="auto" w:fill="auto"/>
                  <w:tcMar>
                    <w:left w:w="28" w:type="dxa"/>
                    <w:right w:w="28" w:type="dxa"/>
                  </w:tcMar>
                  <w:vAlign w:val="center"/>
                </w:tcPr>
                <w:p w14:paraId="5ADAC7A4">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1次/年</w:t>
                  </w:r>
                </w:p>
              </w:tc>
              <w:tc>
                <w:tcPr>
                  <w:tcW w:w="1623" w:type="dxa"/>
                  <w:vMerge w:val="restart"/>
                  <w:tcBorders>
                    <w:top w:val="single" w:color="auto" w:sz="4" w:space="0"/>
                    <w:tl2br w:val="nil"/>
                    <w:tr2bl w:val="nil"/>
                  </w:tcBorders>
                  <w:shd w:val="clear" w:color="auto" w:fill="auto"/>
                  <w:tcMar>
                    <w:left w:w="28" w:type="dxa"/>
                    <w:right w:w="28" w:type="dxa"/>
                  </w:tcMar>
                  <w:vAlign w:val="center"/>
                </w:tcPr>
                <w:p w14:paraId="45CE6A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HJ1207的表3</w:t>
                  </w:r>
                </w:p>
              </w:tc>
              <w:tc>
                <w:tcPr>
                  <w:tcW w:w="2294" w:type="dxa"/>
                  <w:tcBorders>
                    <w:top w:val="single" w:color="auto" w:sz="4" w:space="0"/>
                    <w:bottom w:val="single" w:color="auto" w:sz="4" w:space="0"/>
                    <w:tl2br w:val="nil"/>
                    <w:tr2bl w:val="nil"/>
                  </w:tcBorders>
                  <w:shd w:val="clear" w:color="auto" w:fill="auto"/>
                  <w:tcMar>
                    <w:left w:w="28" w:type="dxa"/>
                    <w:right w:w="28" w:type="dxa"/>
                  </w:tcMar>
                  <w:vAlign w:val="center"/>
                </w:tcPr>
                <w:p w14:paraId="2202AB5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《橡胶制品工业污染物排放标准》（GB27632-2011）</w:t>
                  </w:r>
                </w:p>
              </w:tc>
            </w:tr>
            <w:tr w14:paraId="2FD763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94" w:hRule="atLeast"/>
                <w:jc w:val="center"/>
              </w:trPr>
              <w:tc>
                <w:tcPr>
                  <w:tcW w:w="422" w:type="dxa"/>
                  <w:vMerge w:val="continue"/>
                  <w:tcBorders>
                    <w:tl2br w:val="nil"/>
                    <w:tr2bl w:val="nil"/>
                  </w:tcBorders>
                  <w:shd w:val="clear" w:color="auto" w:fill="auto"/>
                  <w:tcMar>
                    <w:left w:w="28" w:type="dxa"/>
                    <w:right w:w="28" w:type="dxa"/>
                  </w:tcMar>
                  <w:vAlign w:val="center"/>
                </w:tcPr>
                <w:p w14:paraId="3265B221">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5D15BB7B">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continue"/>
                  <w:tcBorders>
                    <w:tl2br w:val="nil"/>
                    <w:tr2bl w:val="nil"/>
                  </w:tcBorders>
                  <w:shd w:val="clear" w:color="auto" w:fill="auto"/>
                  <w:tcMar>
                    <w:left w:w="28" w:type="dxa"/>
                    <w:right w:w="28" w:type="dxa"/>
                  </w:tcMar>
                  <w:vAlign w:val="center"/>
                </w:tcPr>
                <w:p w14:paraId="6E33135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highlight w:val="none"/>
                      <w:lang w:val="en-US" w:eastAsia="zh-CN"/>
                    </w:rPr>
                  </w:pPr>
                </w:p>
              </w:tc>
              <w:tc>
                <w:tcPr>
                  <w:tcW w:w="1257" w:type="dxa"/>
                  <w:tcBorders>
                    <w:top w:val="single" w:color="auto" w:sz="4" w:space="0"/>
                    <w:bottom w:val="single" w:color="auto" w:sz="4" w:space="0"/>
                    <w:tl2br w:val="nil"/>
                    <w:tr2bl w:val="nil"/>
                  </w:tcBorders>
                  <w:shd w:val="clear" w:color="auto" w:fill="auto"/>
                  <w:tcMar>
                    <w:left w:w="28" w:type="dxa"/>
                    <w:right w:w="28" w:type="dxa"/>
                  </w:tcMar>
                  <w:vAlign w:val="center"/>
                </w:tcPr>
                <w:p w14:paraId="17BC6CEF">
                  <w:pPr>
                    <w:keepNext w:val="0"/>
                    <w:keepLines w:val="0"/>
                    <w:suppressLineNumbers w:val="0"/>
                    <w:spacing w:before="0" w:beforeAutospacing="0" w:after="0" w:afterAutospacing="0"/>
                    <w:ind w:left="0" w:right="0"/>
                    <w:rPr>
                      <w:rFonts w:hint="eastAsia" w:cs="Times New Roman"/>
                      <w:color w:val="auto"/>
                      <w:sz w:val="21"/>
                      <w:szCs w:val="21"/>
                      <w:highlight w:val="none"/>
                      <w:lang w:val="en-US" w:eastAsia="zh-CN"/>
                    </w:rPr>
                  </w:pPr>
                  <w:r>
                    <w:rPr>
                      <w:rFonts w:hint="eastAsia" w:ascii="Times New Roman" w:hAnsi="Times New Roman" w:cs="Times New Roman"/>
                      <w:color w:val="auto"/>
                      <w:kern w:val="2"/>
                      <w:sz w:val="21"/>
                      <w:szCs w:val="21"/>
                      <w:highlight w:val="none"/>
                      <w:lang w:val="en-US" w:eastAsia="zh-CN" w:bidi="ar"/>
                    </w:rPr>
                    <w:t>臭气浓度（无量纲）</w:t>
                  </w:r>
                </w:p>
              </w:tc>
              <w:tc>
                <w:tcPr>
                  <w:tcW w:w="994" w:type="dxa"/>
                  <w:tcBorders>
                    <w:top w:val="single" w:color="auto" w:sz="4" w:space="0"/>
                    <w:bottom w:val="single" w:color="auto" w:sz="4" w:space="0"/>
                    <w:tl2br w:val="nil"/>
                    <w:tr2bl w:val="nil"/>
                  </w:tcBorders>
                  <w:shd w:val="clear" w:color="auto" w:fill="auto"/>
                  <w:tcMar>
                    <w:left w:w="28" w:type="dxa"/>
                    <w:right w:w="28" w:type="dxa"/>
                  </w:tcMar>
                  <w:vAlign w:val="center"/>
                </w:tcPr>
                <w:p w14:paraId="37D0B5F3">
                  <w:pPr>
                    <w:pStyle w:val="22"/>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bottom w:val="single" w:color="auto" w:sz="4" w:space="0"/>
                    <w:tl2br w:val="nil"/>
                    <w:tr2bl w:val="nil"/>
                  </w:tcBorders>
                  <w:shd w:val="clear" w:color="auto" w:fill="auto"/>
                  <w:tcMar>
                    <w:left w:w="28" w:type="dxa"/>
                    <w:right w:w="28" w:type="dxa"/>
                  </w:tcMar>
                  <w:vAlign w:val="center"/>
                </w:tcPr>
                <w:p w14:paraId="23064CA5">
                  <w:pPr>
                    <w:pStyle w:val="22"/>
                    <w:keepNext w:val="0"/>
                    <w:keepLines w:val="0"/>
                    <w:widowControl w:val="0"/>
                    <w:suppressLineNumbers w:val="0"/>
                    <w:autoSpaceDE w:val="0"/>
                    <w:autoSpaceDN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1次/年</w:t>
                  </w:r>
                </w:p>
              </w:tc>
              <w:tc>
                <w:tcPr>
                  <w:tcW w:w="1623" w:type="dxa"/>
                  <w:vMerge w:val="continue"/>
                  <w:tcBorders>
                    <w:tl2br w:val="nil"/>
                    <w:tr2bl w:val="nil"/>
                  </w:tcBorders>
                  <w:shd w:val="clear" w:color="auto" w:fill="auto"/>
                  <w:tcMar>
                    <w:left w:w="28" w:type="dxa"/>
                    <w:right w:w="28" w:type="dxa"/>
                  </w:tcMar>
                  <w:vAlign w:val="center"/>
                </w:tcPr>
                <w:p w14:paraId="2E898FA1">
                  <w:pPr>
                    <w:keepNext w:val="0"/>
                    <w:keepLines w:val="0"/>
                    <w:suppressLineNumbers w:val="0"/>
                    <w:spacing w:before="0" w:beforeAutospacing="0" w:after="0" w:afterAutospacing="0"/>
                    <w:ind w:left="0" w:right="0"/>
                    <w:jc w:val="center"/>
                    <w:rPr>
                      <w:rFonts w:hint="eastAsia" w:cs="Times New Roman"/>
                      <w:color w:val="auto"/>
                      <w:sz w:val="21"/>
                      <w:szCs w:val="21"/>
                      <w:highlight w:val="none"/>
                      <w:lang w:val="en-US" w:eastAsia="zh-CN"/>
                    </w:rPr>
                  </w:pPr>
                </w:p>
              </w:tc>
              <w:tc>
                <w:tcPr>
                  <w:tcW w:w="2294" w:type="dxa"/>
                  <w:tcBorders>
                    <w:top w:val="single" w:color="auto" w:sz="4" w:space="0"/>
                    <w:bottom w:val="single" w:color="auto" w:sz="4" w:space="0"/>
                    <w:tl2br w:val="nil"/>
                    <w:tr2bl w:val="nil"/>
                  </w:tcBorders>
                  <w:shd w:val="clear" w:color="auto" w:fill="auto"/>
                  <w:tcMar>
                    <w:left w:w="28" w:type="dxa"/>
                    <w:right w:w="28" w:type="dxa"/>
                  </w:tcMar>
                  <w:vAlign w:val="center"/>
                </w:tcPr>
                <w:p w14:paraId="19CF024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《恶臭污染物排放标准》（GB14554-93）</w:t>
                  </w:r>
                </w:p>
              </w:tc>
            </w:tr>
            <w:tr w14:paraId="5FD40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42" w:hRule="atLeast"/>
                <w:jc w:val="center"/>
              </w:trPr>
              <w:tc>
                <w:tcPr>
                  <w:tcW w:w="422" w:type="dxa"/>
                  <w:vMerge w:val="continue"/>
                  <w:tcBorders>
                    <w:tl2br w:val="nil"/>
                    <w:tr2bl w:val="nil"/>
                  </w:tcBorders>
                  <w:shd w:val="clear" w:color="auto" w:fill="auto"/>
                  <w:tcMar>
                    <w:left w:w="28" w:type="dxa"/>
                    <w:right w:w="28" w:type="dxa"/>
                  </w:tcMar>
                  <w:vAlign w:val="center"/>
                </w:tcPr>
                <w:p w14:paraId="2C9EA11E">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4E7BD5A5">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continue"/>
                  <w:tcBorders>
                    <w:tl2br w:val="nil"/>
                    <w:tr2bl w:val="nil"/>
                  </w:tcBorders>
                  <w:shd w:val="clear" w:color="auto" w:fill="auto"/>
                  <w:tcMar>
                    <w:left w:w="28" w:type="dxa"/>
                    <w:right w:w="28" w:type="dxa"/>
                  </w:tcMar>
                  <w:vAlign w:val="center"/>
                </w:tcPr>
                <w:p w14:paraId="01C532D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Times New Roman" w:hAnsi="Times New Roman" w:cs="Times New Roman"/>
                      <w:color w:val="auto"/>
                      <w:sz w:val="21"/>
                      <w:szCs w:val="21"/>
                      <w:highlight w:val="none"/>
                      <w:lang w:val="en-US" w:eastAsia="zh-CN"/>
                    </w:rPr>
                  </w:pPr>
                </w:p>
              </w:tc>
              <w:tc>
                <w:tcPr>
                  <w:tcW w:w="1257" w:type="dxa"/>
                  <w:tcBorders>
                    <w:top w:val="single" w:color="auto" w:sz="4" w:space="0"/>
                    <w:tl2br w:val="nil"/>
                    <w:tr2bl w:val="nil"/>
                  </w:tcBorders>
                  <w:shd w:val="clear" w:color="auto" w:fill="auto"/>
                  <w:tcMar>
                    <w:left w:w="28" w:type="dxa"/>
                    <w:right w:w="28" w:type="dxa"/>
                  </w:tcMar>
                  <w:vAlign w:val="center"/>
                </w:tcPr>
                <w:p w14:paraId="1AA6091C">
                  <w:pPr>
                    <w:keepNext w:val="0"/>
                    <w:keepLines w:val="0"/>
                    <w:suppressLineNumbers w:val="0"/>
                    <w:spacing w:before="0" w:beforeAutospacing="0" w:after="0" w:afterAutospacing="0"/>
                    <w:ind w:left="0" w:right="0"/>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非甲烷总烃</w:t>
                  </w:r>
                </w:p>
              </w:tc>
              <w:tc>
                <w:tcPr>
                  <w:tcW w:w="994" w:type="dxa"/>
                  <w:tcBorders>
                    <w:top w:val="single" w:color="auto" w:sz="4" w:space="0"/>
                    <w:tl2br w:val="nil"/>
                    <w:tr2bl w:val="nil"/>
                  </w:tcBorders>
                  <w:shd w:val="clear" w:color="auto" w:fill="auto"/>
                  <w:tcMar>
                    <w:left w:w="28" w:type="dxa"/>
                    <w:right w:w="28" w:type="dxa"/>
                  </w:tcMar>
                  <w:vAlign w:val="center"/>
                </w:tcPr>
                <w:p w14:paraId="62F920FD">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tl2br w:val="nil"/>
                    <w:tr2bl w:val="nil"/>
                  </w:tcBorders>
                  <w:shd w:val="clear" w:color="auto" w:fill="auto"/>
                  <w:tcMar>
                    <w:left w:w="28" w:type="dxa"/>
                    <w:right w:w="28" w:type="dxa"/>
                  </w:tcMar>
                  <w:vAlign w:val="center"/>
                </w:tcPr>
                <w:p w14:paraId="7DA21393">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r>
                    <w:rPr>
                      <w:rFonts w:hint="eastAsia" w:ascii="Times New Roman" w:hAnsi="Times New Roman" w:cs="Times New Roman"/>
                      <w:color w:val="auto"/>
                      <w:kern w:val="2"/>
                      <w:sz w:val="21"/>
                      <w:szCs w:val="21"/>
                      <w:highlight w:val="none"/>
                      <w:lang w:val="en-US" w:eastAsia="zh-CN" w:bidi="ar"/>
                    </w:rPr>
                    <w:t>半</w:t>
                  </w:r>
                  <w:r>
                    <w:rPr>
                      <w:rFonts w:hint="default" w:ascii="Times New Roman" w:hAnsi="Times New Roman" w:eastAsia="宋体" w:cs="Times New Roman"/>
                      <w:color w:val="auto"/>
                      <w:kern w:val="2"/>
                      <w:sz w:val="21"/>
                      <w:szCs w:val="21"/>
                      <w:highlight w:val="none"/>
                      <w:lang w:val="en-US" w:eastAsia="zh-CN" w:bidi="ar"/>
                    </w:rPr>
                    <w:t>年</w:t>
                  </w:r>
                </w:p>
              </w:tc>
              <w:tc>
                <w:tcPr>
                  <w:tcW w:w="1623" w:type="dxa"/>
                  <w:vMerge w:val="continue"/>
                  <w:tcBorders>
                    <w:tl2br w:val="nil"/>
                    <w:tr2bl w:val="nil"/>
                  </w:tcBorders>
                  <w:shd w:val="clear" w:color="auto" w:fill="auto"/>
                  <w:tcMar>
                    <w:left w:w="28" w:type="dxa"/>
                    <w:right w:w="28" w:type="dxa"/>
                  </w:tcMar>
                  <w:vAlign w:val="center"/>
                </w:tcPr>
                <w:p w14:paraId="48B8484B">
                  <w:pPr>
                    <w:keepNext w:val="0"/>
                    <w:keepLines w:val="0"/>
                    <w:suppressLineNumbers w:val="0"/>
                    <w:spacing w:before="0" w:beforeAutospacing="0" w:after="0" w:afterAutospacing="0"/>
                    <w:ind w:left="0" w:right="0"/>
                    <w:jc w:val="center"/>
                    <w:rPr>
                      <w:rFonts w:hint="eastAsia" w:cs="Times New Roman"/>
                      <w:color w:val="auto"/>
                      <w:sz w:val="21"/>
                      <w:szCs w:val="21"/>
                      <w:highlight w:val="none"/>
                      <w:lang w:val="en-US" w:eastAsia="zh-CN"/>
                    </w:rPr>
                  </w:pPr>
                </w:p>
              </w:tc>
              <w:tc>
                <w:tcPr>
                  <w:tcW w:w="2294" w:type="dxa"/>
                  <w:tcBorders>
                    <w:top w:val="single" w:color="auto" w:sz="4" w:space="0"/>
                    <w:tl2br w:val="nil"/>
                    <w:tr2bl w:val="nil"/>
                  </w:tcBorders>
                  <w:shd w:val="clear" w:color="auto" w:fill="auto"/>
                  <w:tcMar>
                    <w:left w:w="28" w:type="dxa"/>
                    <w:right w:w="28" w:type="dxa"/>
                  </w:tcMar>
                  <w:vAlign w:val="center"/>
                </w:tcPr>
                <w:p w14:paraId="55E10A2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《橡胶制品工业污染物排放标准》（GB27632-2011）</w:t>
                  </w:r>
                </w:p>
              </w:tc>
            </w:tr>
            <w:tr w14:paraId="24A37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99" w:hRule="atLeast"/>
                <w:jc w:val="center"/>
              </w:trPr>
              <w:tc>
                <w:tcPr>
                  <w:tcW w:w="422" w:type="dxa"/>
                  <w:vMerge w:val="continue"/>
                  <w:tcBorders>
                    <w:tl2br w:val="nil"/>
                    <w:tr2bl w:val="nil"/>
                  </w:tcBorders>
                  <w:shd w:val="clear" w:color="auto" w:fill="auto"/>
                  <w:tcMar>
                    <w:left w:w="28" w:type="dxa"/>
                    <w:right w:w="28" w:type="dxa"/>
                  </w:tcMar>
                  <w:vAlign w:val="center"/>
                </w:tcPr>
                <w:p w14:paraId="48F635B6">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564263B4">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restart"/>
                  <w:tcBorders>
                    <w:tl2br w:val="nil"/>
                    <w:tr2bl w:val="nil"/>
                  </w:tcBorders>
                  <w:shd w:val="clear" w:color="auto" w:fill="auto"/>
                  <w:tcMar>
                    <w:left w:w="28" w:type="dxa"/>
                    <w:right w:w="28" w:type="dxa"/>
                  </w:tcMar>
                  <w:vAlign w:val="center"/>
                </w:tcPr>
                <w:p w14:paraId="06A60654">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eastAsia" w:ascii="Times New Roman" w:hAnsi="Times New Roman" w:cs="Times New Roman"/>
                      <w:color w:val="auto"/>
                      <w:kern w:val="2"/>
                      <w:sz w:val="21"/>
                      <w:szCs w:val="21"/>
                      <w:highlight w:val="none"/>
                      <w:lang w:val="en-US" w:eastAsia="zh-CN" w:bidi="ar"/>
                    </w:rPr>
                    <w:t>热熔废气排气筒</w:t>
                  </w:r>
                  <w:r>
                    <w:rPr>
                      <w:rFonts w:hint="default" w:ascii="Times New Roman" w:hAnsi="Times New Roman" w:eastAsia="宋体" w:cs="Times New Roman"/>
                      <w:color w:val="auto"/>
                      <w:kern w:val="2"/>
                      <w:sz w:val="21"/>
                      <w:szCs w:val="21"/>
                      <w:highlight w:val="none"/>
                      <w:lang w:val="en-US" w:eastAsia="zh-CN" w:bidi="ar"/>
                    </w:rPr>
                    <w:t>DA00</w:t>
                  </w:r>
                  <w:r>
                    <w:rPr>
                      <w:rFonts w:hint="eastAsia" w:ascii="Times New Roman" w:hAnsi="Times New Roman" w:cs="Times New Roman"/>
                      <w:color w:val="auto"/>
                      <w:kern w:val="2"/>
                      <w:sz w:val="21"/>
                      <w:szCs w:val="21"/>
                      <w:highlight w:val="none"/>
                      <w:lang w:val="en-US" w:eastAsia="zh-CN" w:bidi="ar"/>
                    </w:rPr>
                    <w:t>1</w:t>
                  </w:r>
                </w:p>
              </w:tc>
              <w:tc>
                <w:tcPr>
                  <w:tcW w:w="1257" w:type="dxa"/>
                  <w:tcBorders>
                    <w:bottom w:val="single" w:color="auto" w:sz="4" w:space="0"/>
                    <w:tl2br w:val="nil"/>
                    <w:tr2bl w:val="nil"/>
                  </w:tcBorders>
                  <w:shd w:val="clear" w:color="auto" w:fill="auto"/>
                  <w:tcMar>
                    <w:left w:w="28" w:type="dxa"/>
                    <w:right w:w="28" w:type="dxa"/>
                  </w:tcMar>
                  <w:vAlign w:val="center"/>
                </w:tcPr>
                <w:p w14:paraId="6400D11E">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颗粒物</w:t>
                  </w:r>
                </w:p>
              </w:tc>
              <w:tc>
                <w:tcPr>
                  <w:tcW w:w="994" w:type="dxa"/>
                  <w:tcBorders>
                    <w:bottom w:val="single" w:color="auto" w:sz="4" w:space="0"/>
                    <w:tl2br w:val="nil"/>
                    <w:tr2bl w:val="nil"/>
                  </w:tcBorders>
                  <w:shd w:val="clear" w:color="auto" w:fill="auto"/>
                  <w:tcMar>
                    <w:left w:w="28" w:type="dxa"/>
                    <w:right w:w="28" w:type="dxa"/>
                  </w:tcMar>
                  <w:vAlign w:val="center"/>
                </w:tcPr>
                <w:p w14:paraId="0FCCFB52">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bottom w:val="single" w:color="auto" w:sz="4" w:space="0"/>
                    <w:tl2br w:val="nil"/>
                    <w:tr2bl w:val="nil"/>
                  </w:tcBorders>
                  <w:shd w:val="clear" w:color="auto" w:fill="auto"/>
                  <w:tcMar>
                    <w:left w:w="28" w:type="dxa"/>
                    <w:right w:w="28" w:type="dxa"/>
                  </w:tcMar>
                  <w:vAlign w:val="center"/>
                </w:tcPr>
                <w:p w14:paraId="3D2F6C36">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r>
                    <w:rPr>
                      <w:rFonts w:hint="eastAsia" w:ascii="Times New Roman" w:hAnsi="Times New Roman" w:cs="Times New Roman"/>
                      <w:color w:val="auto"/>
                      <w:kern w:val="2"/>
                      <w:sz w:val="21"/>
                      <w:szCs w:val="21"/>
                      <w:highlight w:val="none"/>
                      <w:lang w:val="en-US" w:eastAsia="zh-CN" w:bidi="ar"/>
                    </w:rPr>
                    <w:t>半</w:t>
                  </w:r>
                  <w:r>
                    <w:rPr>
                      <w:rFonts w:hint="default" w:ascii="Times New Roman" w:hAnsi="Times New Roman" w:eastAsia="宋体" w:cs="Times New Roman"/>
                      <w:color w:val="auto"/>
                      <w:kern w:val="2"/>
                      <w:sz w:val="21"/>
                      <w:szCs w:val="21"/>
                      <w:highlight w:val="none"/>
                      <w:lang w:val="en-US" w:eastAsia="zh-CN" w:bidi="ar"/>
                    </w:rPr>
                    <w:t>年</w:t>
                  </w:r>
                </w:p>
              </w:tc>
              <w:tc>
                <w:tcPr>
                  <w:tcW w:w="1623" w:type="dxa"/>
                  <w:tcBorders>
                    <w:bottom w:val="single" w:color="auto" w:sz="4" w:space="0"/>
                    <w:tl2br w:val="nil"/>
                    <w:tr2bl w:val="nil"/>
                  </w:tcBorders>
                  <w:shd w:val="clear" w:color="auto" w:fill="auto"/>
                  <w:tcMar>
                    <w:left w:w="28" w:type="dxa"/>
                    <w:right w:w="28" w:type="dxa"/>
                  </w:tcMar>
                  <w:vAlign w:val="center"/>
                </w:tcPr>
                <w:p w14:paraId="276BB79B">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HJ1251的表1</w:t>
                  </w:r>
                </w:p>
              </w:tc>
              <w:tc>
                <w:tcPr>
                  <w:tcW w:w="2294" w:type="dxa"/>
                  <w:tcBorders>
                    <w:bottom w:val="single" w:color="auto" w:sz="4" w:space="0"/>
                    <w:tl2br w:val="nil"/>
                    <w:tr2bl w:val="nil"/>
                  </w:tcBorders>
                  <w:shd w:val="clear" w:color="auto" w:fill="auto"/>
                  <w:tcMar>
                    <w:left w:w="28" w:type="dxa"/>
                    <w:right w:w="28" w:type="dxa"/>
                  </w:tcMar>
                  <w:vAlign w:val="center"/>
                </w:tcPr>
                <w:p w14:paraId="38924A0F">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《铸造工业大气污染物排放标准》（GB39726-2020）</w:t>
                  </w:r>
                </w:p>
              </w:tc>
            </w:tr>
            <w:tr w14:paraId="0AF6A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50" w:hRule="atLeast"/>
                <w:jc w:val="center"/>
              </w:trPr>
              <w:tc>
                <w:tcPr>
                  <w:tcW w:w="422" w:type="dxa"/>
                  <w:vMerge w:val="continue"/>
                  <w:tcBorders>
                    <w:tl2br w:val="nil"/>
                    <w:tr2bl w:val="nil"/>
                  </w:tcBorders>
                  <w:shd w:val="clear" w:color="auto" w:fill="auto"/>
                  <w:tcMar>
                    <w:left w:w="28" w:type="dxa"/>
                    <w:right w:w="28" w:type="dxa"/>
                  </w:tcMar>
                  <w:vAlign w:val="center"/>
                </w:tcPr>
                <w:p w14:paraId="47DF5C42">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679BE8F5">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continue"/>
                  <w:tcBorders>
                    <w:bottom w:val="single" w:color="auto" w:sz="4" w:space="0"/>
                    <w:tl2br w:val="nil"/>
                    <w:tr2bl w:val="nil"/>
                  </w:tcBorders>
                  <w:shd w:val="clear" w:color="auto" w:fill="auto"/>
                  <w:tcMar>
                    <w:left w:w="28" w:type="dxa"/>
                    <w:right w:w="28" w:type="dxa"/>
                  </w:tcMar>
                  <w:vAlign w:val="center"/>
                </w:tcPr>
                <w:p w14:paraId="47C7204E">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p>
              </w:tc>
              <w:tc>
                <w:tcPr>
                  <w:tcW w:w="1257" w:type="dxa"/>
                  <w:tcBorders>
                    <w:top w:val="single" w:color="auto" w:sz="4" w:space="0"/>
                    <w:bottom w:val="single" w:color="auto" w:sz="4" w:space="0"/>
                    <w:tl2br w:val="nil"/>
                    <w:tr2bl w:val="nil"/>
                  </w:tcBorders>
                  <w:shd w:val="clear" w:color="auto" w:fill="auto"/>
                  <w:tcMar>
                    <w:left w:w="28" w:type="dxa"/>
                    <w:right w:w="28" w:type="dxa"/>
                  </w:tcMar>
                  <w:vAlign w:val="center"/>
                </w:tcPr>
                <w:p w14:paraId="2802721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氯化氢</w:t>
                  </w:r>
                </w:p>
              </w:tc>
              <w:tc>
                <w:tcPr>
                  <w:tcW w:w="994" w:type="dxa"/>
                  <w:tcBorders>
                    <w:top w:val="single" w:color="auto" w:sz="4" w:space="0"/>
                    <w:bottom w:val="single" w:color="auto" w:sz="4" w:space="0"/>
                    <w:tl2br w:val="nil"/>
                    <w:tr2bl w:val="nil"/>
                  </w:tcBorders>
                  <w:shd w:val="clear" w:color="auto" w:fill="auto"/>
                  <w:tcMar>
                    <w:left w:w="28" w:type="dxa"/>
                    <w:right w:w="28" w:type="dxa"/>
                  </w:tcMar>
                  <w:vAlign w:val="center"/>
                </w:tcPr>
                <w:p w14:paraId="0F46AEFF">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bottom w:val="single" w:color="auto" w:sz="4" w:space="0"/>
                    <w:tl2br w:val="nil"/>
                    <w:tr2bl w:val="nil"/>
                  </w:tcBorders>
                  <w:shd w:val="clear" w:color="auto" w:fill="auto"/>
                  <w:tcMar>
                    <w:left w:w="28" w:type="dxa"/>
                    <w:right w:w="28" w:type="dxa"/>
                  </w:tcMar>
                  <w:vAlign w:val="center"/>
                </w:tcPr>
                <w:p w14:paraId="3674AC1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1次/年</w:t>
                  </w:r>
                </w:p>
              </w:tc>
              <w:tc>
                <w:tcPr>
                  <w:tcW w:w="1623" w:type="dxa"/>
                  <w:tcBorders>
                    <w:top w:val="single" w:color="auto" w:sz="4" w:space="0"/>
                    <w:bottom w:val="single" w:color="auto" w:sz="4" w:space="0"/>
                    <w:tl2br w:val="nil"/>
                    <w:tr2bl w:val="nil"/>
                  </w:tcBorders>
                  <w:shd w:val="clear" w:color="auto" w:fill="auto"/>
                  <w:tcMar>
                    <w:left w:w="28" w:type="dxa"/>
                    <w:right w:w="28" w:type="dxa"/>
                  </w:tcMar>
                  <w:vAlign w:val="center"/>
                </w:tcPr>
                <w:p w14:paraId="45CB8B8E">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HJ819的表1</w:t>
                  </w:r>
                </w:p>
              </w:tc>
              <w:tc>
                <w:tcPr>
                  <w:tcW w:w="2294" w:type="dxa"/>
                  <w:tcBorders>
                    <w:top w:val="single" w:color="auto" w:sz="4" w:space="0"/>
                    <w:bottom w:val="single" w:color="auto" w:sz="4" w:space="0"/>
                    <w:tl2br w:val="nil"/>
                    <w:tr2bl w:val="nil"/>
                  </w:tcBorders>
                  <w:shd w:val="clear" w:color="auto" w:fill="auto"/>
                  <w:tcMar>
                    <w:left w:w="28" w:type="dxa"/>
                    <w:right w:w="28" w:type="dxa"/>
                  </w:tcMar>
                  <w:vAlign w:val="center"/>
                </w:tcPr>
                <w:p w14:paraId="565CD5BF">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《大气污染物综合排放标准》（DB50/418-2016）</w:t>
                  </w:r>
                </w:p>
              </w:tc>
            </w:tr>
            <w:tr w14:paraId="49755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75" w:hRule="atLeast"/>
                <w:jc w:val="center"/>
              </w:trPr>
              <w:tc>
                <w:tcPr>
                  <w:tcW w:w="422" w:type="dxa"/>
                  <w:vMerge w:val="continue"/>
                  <w:tcBorders>
                    <w:tl2br w:val="nil"/>
                    <w:tr2bl w:val="nil"/>
                  </w:tcBorders>
                  <w:shd w:val="clear" w:color="auto" w:fill="auto"/>
                  <w:tcMar>
                    <w:left w:w="28" w:type="dxa"/>
                    <w:right w:w="28" w:type="dxa"/>
                  </w:tcMar>
                  <w:vAlign w:val="center"/>
                </w:tcPr>
                <w:p w14:paraId="437E3832">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1614CE8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tcBorders>
                    <w:top w:val="single" w:color="auto" w:sz="4" w:space="0"/>
                    <w:tl2br w:val="nil"/>
                    <w:tr2bl w:val="nil"/>
                  </w:tcBorders>
                  <w:shd w:val="clear" w:color="auto" w:fill="auto"/>
                  <w:tcMar>
                    <w:left w:w="28" w:type="dxa"/>
                    <w:right w:w="28" w:type="dxa"/>
                  </w:tcMar>
                  <w:vAlign w:val="center"/>
                </w:tcPr>
                <w:p w14:paraId="774E02FF">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抛丸、磨加工粉尘排气筒DA003</w:t>
                  </w:r>
                </w:p>
              </w:tc>
              <w:tc>
                <w:tcPr>
                  <w:tcW w:w="1257" w:type="dxa"/>
                  <w:tcBorders>
                    <w:top w:val="single" w:color="auto" w:sz="4" w:space="0"/>
                    <w:tl2br w:val="nil"/>
                    <w:tr2bl w:val="nil"/>
                  </w:tcBorders>
                  <w:shd w:val="clear" w:color="auto" w:fill="auto"/>
                  <w:tcMar>
                    <w:left w:w="28" w:type="dxa"/>
                    <w:right w:w="28" w:type="dxa"/>
                  </w:tcMar>
                  <w:vAlign w:val="center"/>
                </w:tcPr>
                <w:p w14:paraId="0EDB8803">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颗粒物</w:t>
                  </w:r>
                </w:p>
              </w:tc>
              <w:tc>
                <w:tcPr>
                  <w:tcW w:w="994" w:type="dxa"/>
                  <w:tcBorders>
                    <w:top w:val="single" w:color="auto" w:sz="4" w:space="0"/>
                    <w:tl2br w:val="nil"/>
                    <w:tr2bl w:val="nil"/>
                  </w:tcBorders>
                  <w:shd w:val="clear" w:color="auto" w:fill="auto"/>
                  <w:tcMar>
                    <w:left w:w="28" w:type="dxa"/>
                    <w:right w:w="28" w:type="dxa"/>
                  </w:tcMar>
                  <w:vAlign w:val="center"/>
                </w:tcPr>
                <w:p w14:paraId="0FC236A9">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tl2br w:val="nil"/>
                    <w:tr2bl w:val="nil"/>
                  </w:tcBorders>
                  <w:shd w:val="clear" w:color="auto" w:fill="auto"/>
                  <w:tcMar>
                    <w:left w:w="28" w:type="dxa"/>
                    <w:right w:w="28" w:type="dxa"/>
                  </w:tcMar>
                  <w:vAlign w:val="center"/>
                </w:tcPr>
                <w:p w14:paraId="1F8C8096">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r>
                    <w:rPr>
                      <w:rFonts w:hint="eastAsia" w:ascii="Times New Roman" w:hAnsi="Times New Roman" w:cs="Times New Roman"/>
                      <w:color w:val="auto"/>
                      <w:kern w:val="2"/>
                      <w:sz w:val="21"/>
                      <w:szCs w:val="21"/>
                      <w:highlight w:val="none"/>
                      <w:lang w:val="en-US" w:eastAsia="zh-CN" w:bidi="ar"/>
                    </w:rPr>
                    <w:t>半</w:t>
                  </w:r>
                  <w:r>
                    <w:rPr>
                      <w:rFonts w:hint="default" w:ascii="Times New Roman" w:hAnsi="Times New Roman" w:eastAsia="宋体" w:cs="Times New Roman"/>
                      <w:color w:val="auto"/>
                      <w:kern w:val="2"/>
                      <w:sz w:val="21"/>
                      <w:szCs w:val="21"/>
                      <w:highlight w:val="none"/>
                      <w:lang w:val="en-US" w:eastAsia="zh-CN" w:bidi="ar"/>
                    </w:rPr>
                    <w:t>年</w:t>
                  </w:r>
                </w:p>
              </w:tc>
              <w:tc>
                <w:tcPr>
                  <w:tcW w:w="1623" w:type="dxa"/>
                  <w:tcBorders>
                    <w:top w:val="single" w:color="auto" w:sz="4" w:space="0"/>
                    <w:tl2br w:val="nil"/>
                    <w:tr2bl w:val="nil"/>
                  </w:tcBorders>
                  <w:shd w:val="clear" w:color="auto" w:fill="auto"/>
                  <w:tcMar>
                    <w:left w:w="28" w:type="dxa"/>
                    <w:right w:w="28" w:type="dxa"/>
                  </w:tcMar>
                  <w:vAlign w:val="center"/>
                </w:tcPr>
                <w:p w14:paraId="7D8BF944">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HJ1251的表1</w:t>
                  </w:r>
                </w:p>
              </w:tc>
              <w:tc>
                <w:tcPr>
                  <w:tcW w:w="2294" w:type="dxa"/>
                  <w:tcBorders>
                    <w:top w:val="single" w:color="auto" w:sz="4" w:space="0"/>
                    <w:tl2br w:val="nil"/>
                    <w:tr2bl w:val="nil"/>
                  </w:tcBorders>
                  <w:shd w:val="clear" w:color="auto" w:fill="auto"/>
                  <w:tcMar>
                    <w:left w:w="28" w:type="dxa"/>
                    <w:right w:w="28" w:type="dxa"/>
                  </w:tcMar>
                  <w:vAlign w:val="center"/>
                </w:tcPr>
                <w:p w14:paraId="6E98E14C">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《铸造工业大气污染物排放标准》（GB39726-2020）</w:t>
                  </w:r>
                </w:p>
              </w:tc>
            </w:tr>
            <w:tr w14:paraId="7372E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75" w:hRule="atLeast"/>
                <w:jc w:val="center"/>
              </w:trPr>
              <w:tc>
                <w:tcPr>
                  <w:tcW w:w="422" w:type="dxa"/>
                  <w:vMerge w:val="continue"/>
                  <w:tcBorders>
                    <w:tl2br w:val="nil"/>
                    <w:tr2bl w:val="nil"/>
                  </w:tcBorders>
                  <w:shd w:val="clear" w:color="auto" w:fill="auto"/>
                  <w:tcMar>
                    <w:left w:w="28" w:type="dxa"/>
                    <w:right w:w="28" w:type="dxa"/>
                  </w:tcMar>
                  <w:vAlign w:val="center"/>
                </w:tcPr>
                <w:p w14:paraId="60394321">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376C1A58">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tcBorders>
                    <w:top w:val="single" w:color="auto" w:sz="4" w:space="0"/>
                    <w:tl2br w:val="nil"/>
                    <w:tr2bl w:val="nil"/>
                  </w:tcBorders>
                  <w:shd w:val="clear" w:color="auto" w:fill="auto"/>
                  <w:tcMar>
                    <w:left w:w="28" w:type="dxa"/>
                    <w:right w:w="28" w:type="dxa"/>
                  </w:tcMar>
                  <w:vAlign w:val="center"/>
                </w:tcPr>
                <w:p w14:paraId="302EA47D">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危废贮存库废气排气筒DA005</w:t>
                  </w:r>
                </w:p>
              </w:tc>
              <w:tc>
                <w:tcPr>
                  <w:tcW w:w="1257" w:type="dxa"/>
                  <w:tcBorders>
                    <w:top w:val="single" w:color="auto" w:sz="4" w:space="0"/>
                    <w:tl2br w:val="nil"/>
                    <w:tr2bl w:val="nil"/>
                  </w:tcBorders>
                  <w:shd w:val="clear" w:color="auto" w:fill="auto"/>
                  <w:tcMar>
                    <w:left w:w="28" w:type="dxa"/>
                    <w:right w:w="28" w:type="dxa"/>
                  </w:tcMar>
                  <w:vAlign w:val="center"/>
                </w:tcPr>
                <w:p w14:paraId="60317B81">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颗粒物、非甲烷总烃</w:t>
                  </w:r>
                </w:p>
              </w:tc>
              <w:tc>
                <w:tcPr>
                  <w:tcW w:w="994" w:type="dxa"/>
                  <w:tcBorders>
                    <w:top w:val="single" w:color="auto" w:sz="4" w:space="0"/>
                    <w:tl2br w:val="nil"/>
                    <w:tr2bl w:val="nil"/>
                  </w:tcBorders>
                  <w:shd w:val="clear" w:color="auto" w:fill="auto"/>
                  <w:tcMar>
                    <w:left w:w="28" w:type="dxa"/>
                    <w:right w:w="28" w:type="dxa"/>
                  </w:tcMar>
                  <w:vAlign w:val="center"/>
                </w:tcPr>
                <w:p w14:paraId="2B4A5411">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tl2br w:val="nil"/>
                    <w:tr2bl w:val="nil"/>
                  </w:tcBorders>
                  <w:shd w:val="clear" w:color="auto" w:fill="auto"/>
                  <w:tcMar>
                    <w:left w:w="28" w:type="dxa"/>
                    <w:right w:w="28" w:type="dxa"/>
                  </w:tcMar>
                  <w:vAlign w:val="center"/>
                </w:tcPr>
                <w:p w14:paraId="09D91C4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1次/年</w:t>
                  </w:r>
                </w:p>
              </w:tc>
              <w:tc>
                <w:tcPr>
                  <w:tcW w:w="1623" w:type="dxa"/>
                  <w:tcBorders>
                    <w:top w:val="single" w:color="auto" w:sz="4" w:space="0"/>
                    <w:tl2br w:val="nil"/>
                    <w:tr2bl w:val="nil"/>
                  </w:tcBorders>
                  <w:shd w:val="clear" w:color="auto" w:fill="auto"/>
                  <w:tcMar>
                    <w:left w:w="28" w:type="dxa"/>
                    <w:right w:w="28" w:type="dxa"/>
                  </w:tcMar>
                  <w:vAlign w:val="center"/>
                </w:tcPr>
                <w:p w14:paraId="66966D23">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HJ819的表1</w:t>
                  </w:r>
                </w:p>
              </w:tc>
              <w:tc>
                <w:tcPr>
                  <w:tcW w:w="2294" w:type="dxa"/>
                  <w:tcBorders>
                    <w:top w:val="single" w:color="auto" w:sz="4" w:space="0"/>
                    <w:tl2br w:val="nil"/>
                    <w:tr2bl w:val="nil"/>
                  </w:tcBorders>
                  <w:shd w:val="clear" w:color="auto" w:fill="auto"/>
                  <w:tcMar>
                    <w:left w:w="28" w:type="dxa"/>
                    <w:right w:w="28" w:type="dxa"/>
                  </w:tcMar>
                  <w:vAlign w:val="center"/>
                </w:tcPr>
                <w:p w14:paraId="6A9763C7">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《大气污染物综合排放标准》（DB 50/418-2016）</w:t>
                  </w:r>
                </w:p>
              </w:tc>
            </w:tr>
            <w:tr w14:paraId="35684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40" w:hRule="atLeast"/>
                <w:jc w:val="center"/>
              </w:trPr>
              <w:tc>
                <w:tcPr>
                  <w:tcW w:w="422" w:type="dxa"/>
                  <w:vMerge w:val="continue"/>
                  <w:tcBorders>
                    <w:tl2br w:val="nil"/>
                    <w:tr2bl w:val="nil"/>
                  </w:tcBorders>
                  <w:shd w:val="clear" w:color="auto" w:fill="auto"/>
                  <w:tcMar>
                    <w:left w:w="28" w:type="dxa"/>
                    <w:right w:w="28" w:type="dxa"/>
                  </w:tcMar>
                  <w:vAlign w:val="center"/>
                </w:tcPr>
                <w:p w14:paraId="474F691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restart"/>
                  <w:tcBorders>
                    <w:tl2br w:val="nil"/>
                    <w:tr2bl w:val="nil"/>
                  </w:tcBorders>
                  <w:shd w:val="clear" w:color="auto" w:fill="auto"/>
                  <w:tcMar>
                    <w:left w:w="28" w:type="dxa"/>
                    <w:right w:w="28" w:type="dxa"/>
                  </w:tcMar>
                  <w:vAlign w:val="center"/>
                </w:tcPr>
                <w:p w14:paraId="1B2F16BD">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无组织</w:t>
                  </w:r>
                </w:p>
              </w:tc>
              <w:tc>
                <w:tcPr>
                  <w:tcW w:w="1157" w:type="dxa"/>
                  <w:tcBorders>
                    <w:tl2br w:val="nil"/>
                    <w:tr2bl w:val="nil"/>
                  </w:tcBorders>
                  <w:shd w:val="clear" w:color="auto" w:fill="auto"/>
                  <w:tcMar>
                    <w:left w:w="28" w:type="dxa"/>
                    <w:right w:w="28" w:type="dxa"/>
                  </w:tcMar>
                  <w:vAlign w:val="center"/>
                </w:tcPr>
                <w:p w14:paraId="020DF959">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厂房外</w:t>
                  </w:r>
                </w:p>
              </w:tc>
              <w:tc>
                <w:tcPr>
                  <w:tcW w:w="1257" w:type="dxa"/>
                  <w:tcBorders>
                    <w:tl2br w:val="nil"/>
                    <w:tr2bl w:val="nil"/>
                  </w:tcBorders>
                  <w:shd w:val="clear" w:color="auto" w:fill="auto"/>
                  <w:tcMar>
                    <w:left w:w="28" w:type="dxa"/>
                    <w:right w:w="28" w:type="dxa"/>
                  </w:tcMar>
                  <w:vAlign w:val="center"/>
                </w:tcPr>
                <w:p w14:paraId="7D47872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颗粒物</w:t>
                  </w:r>
                  <w:r>
                    <w:rPr>
                      <w:rFonts w:hint="eastAsia" w:ascii="Times New Roman" w:hAnsi="Times New Roman" w:cs="Times New Roman"/>
                      <w:color w:val="auto"/>
                      <w:kern w:val="2"/>
                      <w:sz w:val="21"/>
                      <w:szCs w:val="21"/>
                      <w:highlight w:val="none"/>
                      <w:lang w:val="en-US" w:eastAsia="zh-CN" w:bidi="ar"/>
                    </w:rPr>
                    <w:t>、非甲烷总烃</w:t>
                  </w:r>
                </w:p>
              </w:tc>
              <w:tc>
                <w:tcPr>
                  <w:tcW w:w="994" w:type="dxa"/>
                  <w:tcBorders>
                    <w:tl2br w:val="nil"/>
                    <w:tr2bl w:val="nil"/>
                  </w:tcBorders>
                  <w:shd w:val="clear" w:color="auto" w:fill="auto"/>
                  <w:tcMar>
                    <w:left w:w="28" w:type="dxa"/>
                    <w:right w:w="28" w:type="dxa"/>
                  </w:tcMar>
                  <w:vAlign w:val="center"/>
                </w:tcPr>
                <w:p w14:paraId="5CE5E6AB">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l2br w:val="nil"/>
                    <w:tr2bl w:val="nil"/>
                  </w:tcBorders>
                  <w:shd w:val="clear" w:color="auto" w:fill="auto"/>
                  <w:tcMar>
                    <w:left w:w="28" w:type="dxa"/>
                    <w:right w:w="28" w:type="dxa"/>
                  </w:tcMar>
                  <w:vAlign w:val="center"/>
                </w:tcPr>
                <w:p w14:paraId="01A4A06D">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1次/年</w:t>
                  </w:r>
                </w:p>
              </w:tc>
              <w:tc>
                <w:tcPr>
                  <w:tcW w:w="1623" w:type="dxa"/>
                  <w:tcBorders>
                    <w:tl2br w:val="nil"/>
                    <w:tr2bl w:val="nil"/>
                  </w:tcBorders>
                  <w:shd w:val="clear" w:color="auto" w:fill="auto"/>
                  <w:tcMar>
                    <w:left w:w="28" w:type="dxa"/>
                    <w:right w:w="28" w:type="dxa"/>
                  </w:tcMar>
                  <w:vAlign w:val="center"/>
                </w:tcPr>
                <w:p w14:paraId="17A99706">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HJ1251的表2</w:t>
                  </w:r>
                </w:p>
              </w:tc>
              <w:tc>
                <w:tcPr>
                  <w:tcW w:w="2294" w:type="dxa"/>
                  <w:tcBorders>
                    <w:tl2br w:val="nil"/>
                    <w:tr2bl w:val="nil"/>
                  </w:tcBorders>
                  <w:shd w:val="clear" w:color="auto" w:fill="auto"/>
                  <w:tcMar>
                    <w:left w:w="28" w:type="dxa"/>
                    <w:right w:w="28" w:type="dxa"/>
                  </w:tcMar>
                  <w:vAlign w:val="center"/>
                </w:tcPr>
                <w:p w14:paraId="6F8B9445">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《铸造工业大气污染物排放标准》（GB39726-2020）</w:t>
                  </w:r>
                </w:p>
              </w:tc>
            </w:tr>
            <w:tr w14:paraId="3A22A3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55" w:hRule="atLeast"/>
                <w:jc w:val="center"/>
              </w:trPr>
              <w:tc>
                <w:tcPr>
                  <w:tcW w:w="422" w:type="dxa"/>
                  <w:vMerge w:val="continue"/>
                  <w:tcBorders>
                    <w:tl2br w:val="nil"/>
                    <w:tr2bl w:val="nil"/>
                  </w:tcBorders>
                  <w:shd w:val="clear" w:color="auto" w:fill="auto"/>
                  <w:tcMar>
                    <w:left w:w="28" w:type="dxa"/>
                    <w:right w:w="28" w:type="dxa"/>
                  </w:tcMar>
                  <w:vAlign w:val="center"/>
                </w:tcPr>
                <w:p w14:paraId="345288E3">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43A7E778">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restart"/>
                  <w:tcBorders>
                    <w:tl2br w:val="nil"/>
                    <w:tr2bl w:val="nil"/>
                  </w:tcBorders>
                  <w:shd w:val="clear" w:color="auto" w:fill="auto"/>
                  <w:tcMar>
                    <w:left w:w="28" w:type="dxa"/>
                    <w:right w:w="28" w:type="dxa"/>
                  </w:tcMar>
                  <w:vAlign w:val="center"/>
                </w:tcPr>
                <w:p w14:paraId="47CC7823">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厂界</w:t>
                  </w:r>
                </w:p>
              </w:tc>
              <w:tc>
                <w:tcPr>
                  <w:tcW w:w="1257" w:type="dxa"/>
                  <w:tcBorders>
                    <w:bottom w:val="single" w:color="auto" w:sz="4" w:space="0"/>
                    <w:tl2br w:val="nil"/>
                    <w:tr2bl w:val="nil"/>
                  </w:tcBorders>
                  <w:shd w:val="clear" w:color="auto" w:fill="auto"/>
                  <w:tcMar>
                    <w:left w:w="28" w:type="dxa"/>
                    <w:right w:w="28" w:type="dxa"/>
                  </w:tcMar>
                  <w:vAlign w:val="center"/>
                </w:tcPr>
                <w:p w14:paraId="7A6EC45C">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颗粒物</w:t>
                  </w:r>
                  <w:r>
                    <w:rPr>
                      <w:rFonts w:hint="eastAsia" w:ascii="Times New Roman" w:hAnsi="Times New Roman" w:cs="Times New Roman"/>
                      <w:color w:val="auto"/>
                      <w:kern w:val="2"/>
                      <w:sz w:val="21"/>
                      <w:szCs w:val="21"/>
                      <w:highlight w:val="none"/>
                      <w:lang w:val="en-US" w:eastAsia="zh-CN" w:bidi="ar"/>
                    </w:rPr>
                    <w:t>、NMHC、</w:t>
                  </w:r>
                </w:p>
              </w:tc>
              <w:tc>
                <w:tcPr>
                  <w:tcW w:w="994" w:type="dxa"/>
                  <w:tcBorders>
                    <w:bottom w:val="single" w:color="auto" w:sz="4" w:space="0"/>
                    <w:tl2br w:val="nil"/>
                    <w:tr2bl w:val="nil"/>
                  </w:tcBorders>
                  <w:shd w:val="clear" w:color="auto" w:fill="auto"/>
                  <w:tcMar>
                    <w:left w:w="28" w:type="dxa"/>
                    <w:right w:w="28" w:type="dxa"/>
                  </w:tcMar>
                  <w:vAlign w:val="center"/>
                </w:tcPr>
                <w:p w14:paraId="6BFBA60E">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bottom w:val="single" w:color="auto" w:sz="4" w:space="0"/>
                    <w:tl2br w:val="nil"/>
                    <w:tr2bl w:val="nil"/>
                  </w:tcBorders>
                  <w:shd w:val="clear" w:color="auto" w:fill="auto"/>
                  <w:tcMar>
                    <w:left w:w="28" w:type="dxa"/>
                    <w:right w:w="28" w:type="dxa"/>
                  </w:tcMar>
                  <w:vAlign w:val="center"/>
                </w:tcPr>
                <w:p w14:paraId="21D21900">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1次/</w:t>
                  </w:r>
                  <w:r>
                    <w:rPr>
                      <w:rFonts w:hint="eastAsia" w:ascii="Times New Roman" w:hAnsi="Times New Roman" w:cs="Times New Roman"/>
                      <w:color w:val="auto"/>
                      <w:kern w:val="2"/>
                      <w:sz w:val="21"/>
                      <w:szCs w:val="21"/>
                      <w:highlight w:val="none"/>
                      <w:lang w:val="en-US" w:eastAsia="zh-CN" w:bidi="ar"/>
                    </w:rPr>
                    <w:t>半</w:t>
                  </w:r>
                  <w:r>
                    <w:rPr>
                      <w:rFonts w:hint="default" w:ascii="Times New Roman" w:hAnsi="Times New Roman" w:eastAsia="宋体" w:cs="Times New Roman"/>
                      <w:color w:val="auto"/>
                      <w:kern w:val="2"/>
                      <w:sz w:val="21"/>
                      <w:szCs w:val="21"/>
                      <w:highlight w:val="none"/>
                      <w:lang w:val="en-US" w:eastAsia="zh-CN" w:bidi="ar"/>
                    </w:rPr>
                    <w:t>年</w:t>
                  </w:r>
                </w:p>
              </w:tc>
              <w:tc>
                <w:tcPr>
                  <w:tcW w:w="1623" w:type="dxa"/>
                  <w:vMerge w:val="restart"/>
                  <w:tcBorders>
                    <w:tl2br w:val="nil"/>
                    <w:tr2bl w:val="nil"/>
                  </w:tcBorders>
                  <w:shd w:val="clear" w:color="auto" w:fill="auto"/>
                  <w:tcMar>
                    <w:left w:w="28" w:type="dxa"/>
                    <w:right w:w="28" w:type="dxa"/>
                  </w:tcMar>
                  <w:vAlign w:val="center"/>
                </w:tcPr>
                <w:p w14:paraId="66547E42">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HJ1124的表25</w:t>
                  </w:r>
                </w:p>
              </w:tc>
              <w:tc>
                <w:tcPr>
                  <w:tcW w:w="2294" w:type="dxa"/>
                  <w:tcBorders>
                    <w:tl2br w:val="nil"/>
                    <w:tr2bl w:val="nil"/>
                  </w:tcBorders>
                  <w:shd w:val="clear" w:color="auto" w:fill="auto"/>
                  <w:tcMar>
                    <w:left w:w="28" w:type="dxa"/>
                    <w:right w:w="28" w:type="dxa"/>
                  </w:tcMar>
                  <w:vAlign w:val="center"/>
                </w:tcPr>
                <w:p w14:paraId="51B9CE46">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kern w:val="2"/>
                      <w:sz w:val="21"/>
                      <w:szCs w:val="21"/>
                      <w:highlight w:val="none"/>
                      <w:lang w:val="en-US" w:eastAsia="zh-CN" w:bidi="ar"/>
                    </w:rPr>
                    <w:t>《大气污染物综合排放标准》（DB50/418-2016）</w:t>
                  </w:r>
                </w:p>
              </w:tc>
            </w:tr>
            <w:tr w14:paraId="0B6E5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267" w:hRule="atLeast"/>
                <w:jc w:val="center"/>
              </w:trPr>
              <w:tc>
                <w:tcPr>
                  <w:tcW w:w="422" w:type="dxa"/>
                  <w:vMerge w:val="continue"/>
                  <w:tcBorders>
                    <w:tl2br w:val="nil"/>
                    <w:tr2bl w:val="nil"/>
                  </w:tcBorders>
                  <w:shd w:val="clear" w:color="auto" w:fill="auto"/>
                  <w:tcMar>
                    <w:left w:w="28" w:type="dxa"/>
                    <w:right w:w="28" w:type="dxa"/>
                  </w:tcMar>
                  <w:vAlign w:val="center"/>
                </w:tcPr>
                <w:p w14:paraId="1BDE810B">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72CCD482">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continue"/>
                  <w:tcBorders>
                    <w:tl2br w:val="nil"/>
                    <w:tr2bl w:val="nil"/>
                  </w:tcBorders>
                  <w:shd w:val="clear" w:color="auto" w:fill="auto"/>
                  <w:tcMar>
                    <w:left w:w="28" w:type="dxa"/>
                    <w:right w:w="28" w:type="dxa"/>
                  </w:tcMar>
                  <w:vAlign w:val="center"/>
                </w:tcPr>
                <w:p w14:paraId="402817D8">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p>
              </w:tc>
              <w:tc>
                <w:tcPr>
                  <w:tcW w:w="1257" w:type="dxa"/>
                  <w:tcBorders>
                    <w:top w:val="single" w:color="auto" w:sz="4" w:space="0"/>
                    <w:bottom w:val="single" w:color="auto" w:sz="4" w:space="0"/>
                    <w:tl2br w:val="nil"/>
                    <w:tr2bl w:val="nil"/>
                  </w:tcBorders>
                  <w:shd w:val="clear" w:color="auto" w:fill="auto"/>
                  <w:tcMar>
                    <w:left w:w="28" w:type="dxa"/>
                    <w:right w:w="28" w:type="dxa"/>
                  </w:tcMar>
                  <w:vAlign w:val="center"/>
                </w:tcPr>
                <w:p w14:paraId="5C64B57A">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臭气浓度（无量纲）</w:t>
                  </w:r>
                </w:p>
              </w:tc>
              <w:tc>
                <w:tcPr>
                  <w:tcW w:w="994" w:type="dxa"/>
                  <w:tcBorders>
                    <w:top w:val="single" w:color="auto" w:sz="4" w:space="0"/>
                    <w:bottom w:val="single" w:color="auto" w:sz="4" w:space="0"/>
                    <w:tl2br w:val="nil"/>
                    <w:tr2bl w:val="nil"/>
                  </w:tcBorders>
                  <w:shd w:val="clear" w:color="auto" w:fill="auto"/>
                  <w:tcMar>
                    <w:left w:w="28" w:type="dxa"/>
                    <w:right w:w="28" w:type="dxa"/>
                  </w:tcMar>
                  <w:vAlign w:val="center"/>
                </w:tcPr>
                <w:p w14:paraId="5FB4EBAC">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bottom w:val="single" w:color="auto" w:sz="4" w:space="0"/>
                    <w:tl2br w:val="nil"/>
                    <w:tr2bl w:val="nil"/>
                  </w:tcBorders>
                  <w:shd w:val="clear" w:color="auto" w:fill="auto"/>
                  <w:tcMar>
                    <w:left w:w="28" w:type="dxa"/>
                    <w:right w:w="28" w:type="dxa"/>
                  </w:tcMar>
                  <w:vAlign w:val="center"/>
                </w:tcPr>
                <w:p w14:paraId="354755C9">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r>
                    <w:rPr>
                      <w:rFonts w:hint="eastAsia" w:ascii="Times New Roman" w:hAnsi="Times New Roman" w:cs="Times New Roman"/>
                      <w:color w:val="auto"/>
                      <w:kern w:val="2"/>
                      <w:sz w:val="21"/>
                      <w:szCs w:val="21"/>
                      <w:highlight w:val="none"/>
                      <w:lang w:val="en-US" w:eastAsia="zh-CN" w:bidi="ar"/>
                    </w:rPr>
                    <w:t>半</w:t>
                  </w:r>
                  <w:r>
                    <w:rPr>
                      <w:rFonts w:hint="default" w:ascii="Times New Roman" w:hAnsi="Times New Roman" w:eastAsia="宋体" w:cs="Times New Roman"/>
                      <w:color w:val="auto"/>
                      <w:kern w:val="2"/>
                      <w:sz w:val="21"/>
                      <w:szCs w:val="21"/>
                      <w:highlight w:val="none"/>
                      <w:lang w:val="en-US" w:eastAsia="zh-CN" w:bidi="ar"/>
                    </w:rPr>
                    <w:t>年</w:t>
                  </w:r>
                </w:p>
              </w:tc>
              <w:tc>
                <w:tcPr>
                  <w:tcW w:w="1623" w:type="dxa"/>
                  <w:vMerge w:val="continue"/>
                  <w:tcBorders>
                    <w:bottom w:val="single" w:color="auto" w:sz="4" w:space="0"/>
                    <w:tl2br w:val="nil"/>
                    <w:tr2bl w:val="nil"/>
                  </w:tcBorders>
                  <w:shd w:val="clear" w:color="auto" w:fill="auto"/>
                  <w:tcMar>
                    <w:left w:w="28" w:type="dxa"/>
                    <w:right w:w="28" w:type="dxa"/>
                  </w:tcMar>
                  <w:vAlign w:val="center"/>
                </w:tcPr>
                <w:p w14:paraId="7E101C1F">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eastAsia" w:ascii="Times New Roman" w:hAnsi="Times New Roman" w:cs="Times New Roman"/>
                      <w:color w:val="auto"/>
                      <w:kern w:val="2"/>
                      <w:sz w:val="21"/>
                      <w:szCs w:val="21"/>
                      <w:highlight w:val="none"/>
                      <w:lang w:val="en-US" w:eastAsia="zh-CN" w:bidi="ar"/>
                    </w:rPr>
                  </w:pPr>
                </w:p>
              </w:tc>
              <w:tc>
                <w:tcPr>
                  <w:tcW w:w="2294" w:type="dxa"/>
                  <w:tcBorders>
                    <w:tl2br w:val="nil"/>
                    <w:tr2bl w:val="nil"/>
                  </w:tcBorders>
                  <w:shd w:val="clear" w:color="auto" w:fill="auto"/>
                  <w:tcMar>
                    <w:left w:w="28" w:type="dxa"/>
                    <w:right w:w="28" w:type="dxa"/>
                  </w:tcMar>
                  <w:vAlign w:val="center"/>
                </w:tcPr>
                <w:p w14:paraId="2581E9E8">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《恶臭污染物排放标准》（GB14554-93）</w:t>
                  </w:r>
                </w:p>
              </w:tc>
            </w:tr>
            <w:tr w14:paraId="2ED12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52" w:hRule="atLeast"/>
                <w:jc w:val="center"/>
              </w:trPr>
              <w:tc>
                <w:tcPr>
                  <w:tcW w:w="422" w:type="dxa"/>
                  <w:vMerge w:val="continue"/>
                  <w:tcBorders>
                    <w:tl2br w:val="nil"/>
                    <w:tr2bl w:val="nil"/>
                  </w:tcBorders>
                  <w:shd w:val="clear" w:color="auto" w:fill="auto"/>
                  <w:tcMar>
                    <w:left w:w="28" w:type="dxa"/>
                    <w:right w:w="28" w:type="dxa"/>
                  </w:tcMar>
                  <w:vAlign w:val="center"/>
                </w:tcPr>
                <w:p w14:paraId="42BC2D8C">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580" w:type="dxa"/>
                  <w:vMerge w:val="continue"/>
                  <w:tcBorders>
                    <w:tl2br w:val="nil"/>
                    <w:tr2bl w:val="nil"/>
                  </w:tcBorders>
                  <w:shd w:val="clear" w:color="auto" w:fill="auto"/>
                  <w:tcMar>
                    <w:left w:w="28" w:type="dxa"/>
                    <w:right w:w="28" w:type="dxa"/>
                  </w:tcMar>
                  <w:vAlign w:val="center"/>
                </w:tcPr>
                <w:p w14:paraId="76CC61B7">
                  <w:pPr>
                    <w:keepNext w:val="0"/>
                    <w:keepLines w:val="0"/>
                    <w:suppressLineNumbers w:val="0"/>
                    <w:spacing w:before="0" w:beforeAutospacing="0" w:after="0" w:afterAutospacing="0"/>
                    <w:ind w:left="0" w:right="0"/>
                    <w:rPr>
                      <w:rFonts w:hint="default" w:ascii="Times New Roman" w:hAnsi="Times New Roman" w:cs="Times New Roman"/>
                      <w:color w:val="auto"/>
                      <w:sz w:val="21"/>
                      <w:szCs w:val="21"/>
                      <w:highlight w:val="none"/>
                    </w:rPr>
                  </w:pPr>
                </w:p>
              </w:tc>
              <w:tc>
                <w:tcPr>
                  <w:tcW w:w="1157" w:type="dxa"/>
                  <w:vMerge w:val="continue"/>
                  <w:tcBorders>
                    <w:tl2br w:val="nil"/>
                    <w:tr2bl w:val="nil"/>
                  </w:tcBorders>
                  <w:shd w:val="clear" w:color="auto" w:fill="auto"/>
                  <w:tcMar>
                    <w:left w:w="28" w:type="dxa"/>
                    <w:right w:w="28" w:type="dxa"/>
                  </w:tcMar>
                  <w:vAlign w:val="center"/>
                </w:tcPr>
                <w:p w14:paraId="3A2827ED">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p>
              </w:tc>
              <w:tc>
                <w:tcPr>
                  <w:tcW w:w="1257" w:type="dxa"/>
                  <w:tcBorders>
                    <w:top w:val="single" w:color="auto" w:sz="4" w:space="0"/>
                    <w:tl2br w:val="nil"/>
                    <w:tr2bl w:val="nil"/>
                  </w:tcBorders>
                  <w:shd w:val="clear" w:color="auto" w:fill="auto"/>
                  <w:tcMar>
                    <w:left w:w="28" w:type="dxa"/>
                    <w:right w:w="28" w:type="dxa"/>
                  </w:tcMar>
                  <w:vAlign w:val="center"/>
                </w:tcPr>
                <w:p w14:paraId="577CA4C4">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氯化氢</w:t>
                  </w:r>
                </w:p>
              </w:tc>
              <w:tc>
                <w:tcPr>
                  <w:tcW w:w="994" w:type="dxa"/>
                  <w:tcBorders>
                    <w:top w:val="single" w:color="auto" w:sz="4" w:space="0"/>
                    <w:tl2br w:val="nil"/>
                    <w:tr2bl w:val="nil"/>
                  </w:tcBorders>
                  <w:shd w:val="clear" w:color="auto" w:fill="auto"/>
                  <w:tcMar>
                    <w:left w:w="28" w:type="dxa"/>
                    <w:right w:w="28" w:type="dxa"/>
                  </w:tcMar>
                  <w:vAlign w:val="center"/>
                </w:tcPr>
                <w:p w14:paraId="061EFC94">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1次</w:t>
                  </w:r>
                </w:p>
              </w:tc>
              <w:tc>
                <w:tcPr>
                  <w:tcW w:w="983" w:type="dxa"/>
                  <w:tcBorders>
                    <w:top w:val="single" w:color="auto" w:sz="4" w:space="0"/>
                    <w:tl2br w:val="nil"/>
                    <w:tr2bl w:val="nil"/>
                  </w:tcBorders>
                  <w:shd w:val="clear" w:color="auto" w:fill="auto"/>
                  <w:tcMar>
                    <w:left w:w="28" w:type="dxa"/>
                    <w:right w:w="28" w:type="dxa"/>
                  </w:tcMar>
                  <w:vAlign w:val="center"/>
                </w:tcPr>
                <w:p w14:paraId="089598E2">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1次/年</w:t>
                  </w:r>
                </w:p>
              </w:tc>
              <w:tc>
                <w:tcPr>
                  <w:tcW w:w="1623" w:type="dxa"/>
                  <w:tcBorders>
                    <w:top w:val="single" w:color="auto" w:sz="4" w:space="0"/>
                    <w:tl2br w:val="nil"/>
                    <w:tr2bl w:val="nil"/>
                  </w:tcBorders>
                  <w:shd w:val="clear" w:color="auto" w:fill="auto"/>
                  <w:tcMar>
                    <w:left w:w="28" w:type="dxa"/>
                    <w:right w:w="28" w:type="dxa"/>
                  </w:tcMar>
                  <w:vAlign w:val="center"/>
                </w:tcPr>
                <w:p w14:paraId="31EF4775">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cs="Times New Roman"/>
                      <w:color w:val="auto"/>
                      <w:kern w:val="2"/>
                      <w:sz w:val="21"/>
                      <w:szCs w:val="21"/>
                      <w:highlight w:val="none"/>
                      <w:lang w:val="en-US" w:eastAsia="zh-CN" w:bidi="ar"/>
                    </w:rPr>
                  </w:pPr>
                  <w:r>
                    <w:rPr>
                      <w:rFonts w:hint="eastAsia" w:ascii="Times New Roman" w:hAnsi="Times New Roman" w:cs="Times New Roman"/>
                      <w:color w:val="auto"/>
                      <w:kern w:val="2"/>
                      <w:sz w:val="21"/>
                      <w:szCs w:val="21"/>
                      <w:highlight w:val="none"/>
                      <w:lang w:val="en-US" w:eastAsia="zh-CN" w:bidi="ar"/>
                    </w:rPr>
                    <w:t>HJ819的5.2.2.3</w:t>
                  </w:r>
                </w:p>
              </w:tc>
              <w:tc>
                <w:tcPr>
                  <w:tcW w:w="2294" w:type="dxa"/>
                  <w:tcBorders>
                    <w:tl2br w:val="nil"/>
                    <w:tr2bl w:val="nil"/>
                  </w:tcBorders>
                  <w:shd w:val="clear" w:color="auto" w:fill="auto"/>
                  <w:tcMar>
                    <w:left w:w="28" w:type="dxa"/>
                    <w:right w:w="28" w:type="dxa"/>
                  </w:tcMar>
                  <w:vAlign w:val="center"/>
                </w:tcPr>
                <w:p w14:paraId="0B81D578">
                  <w:pPr>
                    <w:pStyle w:val="22"/>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《大气污染物综合排放标准》（DB50/418-2016）</w:t>
                  </w:r>
                </w:p>
              </w:tc>
            </w:tr>
          </w:tbl>
          <w:p w14:paraId="04576FA9">
            <w:pPr>
              <w:pStyle w:val="65"/>
              <w:keepNext w:val="0"/>
              <w:keepLines w:val="0"/>
              <w:suppressLineNumbers w:val="0"/>
              <w:spacing w:before="0" w:beforeAutospacing="0" w:after="0" w:afterAutospacing="0"/>
              <w:ind w:left="0" w:right="0"/>
              <w:jc w:val="both"/>
              <w:rPr>
                <w:rFonts w:hint="default"/>
                <w:color w:val="auto"/>
                <w:highlight w:val="none"/>
                <w:lang w:val="en-US" w:eastAsia="zh-CN"/>
              </w:rPr>
            </w:pPr>
            <w:r>
              <w:rPr>
                <w:rFonts w:hint="eastAsia"/>
                <w:color w:val="auto"/>
                <w:highlight w:val="none"/>
                <w:lang w:val="en-US" w:eastAsia="zh-CN"/>
              </w:rPr>
              <w:t>*备注：乙醇废气、热压和固化废气、压铸脱模废气排气筒DA002中，仅压铸脱模涉及极少量颗粒物产生，本次评价不定量核算，纳入验收监测一次。</w:t>
            </w:r>
          </w:p>
          <w:p w14:paraId="240717A5">
            <w:pPr>
              <w:pStyle w:val="65"/>
              <w:keepNext w:val="0"/>
              <w:keepLines w:val="0"/>
              <w:suppressLineNumbers w:val="0"/>
              <w:spacing w:before="0" w:beforeAutospacing="0" w:after="0" w:afterAutospacing="0"/>
              <w:ind w:left="0" w:right="0"/>
              <w:rPr>
                <w:rFonts w:hint="default"/>
                <w:color w:val="auto"/>
                <w:highlight w:val="none"/>
                <w:lang w:val="en-US" w:eastAsia="zh-CN"/>
              </w:rPr>
            </w:pPr>
          </w:p>
          <w:p w14:paraId="4921F014">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4.2.1.5</w:t>
            </w:r>
            <w:r>
              <w:rPr>
                <w:rFonts w:hint="eastAsia"/>
                <w:b/>
                <w:color w:val="auto"/>
                <w:kern w:val="0"/>
                <w:sz w:val="26"/>
                <w:szCs w:val="26"/>
                <w:highlight w:val="none"/>
              </w:rPr>
              <w:t>废气排放的环境影响</w:t>
            </w:r>
          </w:p>
          <w:p w14:paraId="57277994">
            <w:pPr>
              <w:pStyle w:val="74"/>
              <w:keepNext w:val="0"/>
              <w:keepLines w:val="0"/>
              <w:suppressLineNumbers w:val="0"/>
              <w:spacing w:before="0" w:beforeAutospacing="0" w:after="0" w:afterAutospacing="0"/>
              <w:ind w:left="0" w:right="0" w:firstLine="520"/>
              <w:rPr>
                <w:rFonts w:hint="default"/>
                <w:color w:val="auto"/>
                <w:highlight w:val="none"/>
              </w:rPr>
            </w:pPr>
            <w:r>
              <w:rPr>
                <w:rFonts w:hint="eastAsia"/>
                <w:color w:val="auto"/>
                <w:highlight w:val="none"/>
                <w:lang w:val="en-US" w:eastAsia="zh-CN"/>
              </w:rPr>
              <w:t>项目所在区域PM</w:t>
            </w:r>
            <w:r>
              <w:rPr>
                <w:rFonts w:hint="eastAsia"/>
                <w:color w:val="auto"/>
                <w:highlight w:val="none"/>
                <w:vertAlign w:val="subscript"/>
                <w:lang w:val="en-US" w:eastAsia="zh-CN"/>
              </w:rPr>
              <w:t>2.5</w:t>
            </w:r>
            <w:r>
              <w:rPr>
                <w:rFonts w:hint="eastAsia"/>
                <w:color w:val="auto"/>
                <w:highlight w:val="none"/>
                <w:lang w:val="en-US" w:eastAsia="zh-CN"/>
              </w:rPr>
              <w:t>不满足《环境空气质量标准》（GB3095-2012）二级标准，綦江区属于环境空气质量不达标区，但本项目不属于高排放PM</w:t>
            </w:r>
            <w:r>
              <w:rPr>
                <w:rFonts w:hint="eastAsia"/>
                <w:color w:val="auto"/>
                <w:highlight w:val="none"/>
                <w:vertAlign w:val="subscript"/>
                <w:lang w:val="en-US" w:eastAsia="zh-CN"/>
              </w:rPr>
              <w:t>2.5</w:t>
            </w:r>
            <w:r>
              <w:rPr>
                <w:rFonts w:hint="eastAsia"/>
                <w:color w:val="auto"/>
                <w:highlight w:val="none"/>
                <w:lang w:val="en-US" w:eastAsia="zh-CN"/>
              </w:rPr>
              <w:t>行业，排放特征污染物非甲烷总烃达标；本项目周边500m范围内下风向大气环境保护较少；项目采取的污染治理措施技术可行，符合要求，根据排放口分析污染物达标排放；项目运行时废气排放对周边大气环境影响较小，大气环境影响可接受。</w:t>
            </w:r>
          </w:p>
          <w:p w14:paraId="6D1B5CBF">
            <w:pPr>
              <w:pStyle w:val="71"/>
              <w:keepNext w:val="0"/>
              <w:keepLines w:val="0"/>
              <w:suppressLineNumbers w:val="0"/>
              <w:snapToGrid w:val="0"/>
              <w:spacing w:before="0" w:beforeAutospacing="0" w:after="0" w:afterAutospacing="0" w:line="400" w:lineRule="exact"/>
              <w:ind w:left="0" w:right="0" w:firstLine="525"/>
              <w:jc w:val="both"/>
              <w:rPr>
                <w:rFonts w:hint="default"/>
                <w:b/>
                <w:color w:val="auto"/>
                <w:sz w:val="26"/>
                <w:highlight w:val="none"/>
              </w:rPr>
            </w:pPr>
            <w:r>
              <w:rPr>
                <w:rFonts w:hint="default"/>
                <w:b/>
                <w:color w:val="auto"/>
                <w:sz w:val="26"/>
                <w:highlight w:val="none"/>
              </w:rPr>
              <w:t>4.2.2</w:t>
            </w:r>
            <w:r>
              <w:rPr>
                <w:rFonts w:hint="eastAsia"/>
                <w:b/>
                <w:color w:val="auto"/>
                <w:sz w:val="26"/>
                <w:highlight w:val="none"/>
              </w:rPr>
              <w:t>废水</w:t>
            </w:r>
          </w:p>
          <w:p w14:paraId="2BE3AB30">
            <w:pPr>
              <w:pStyle w:val="71"/>
              <w:keepNext w:val="0"/>
              <w:keepLines w:val="0"/>
              <w:suppressLineNumbers w:val="0"/>
              <w:snapToGrid w:val="0"/>
              <w:spacing w:before="0" w:beforeAutospacing="0" w:after="0" w:afterAutospacing="0" w:line="400" w:lineRule="exact"/>
              <w:ind w:left="0" w:right="0" w:firstLine="525"/>
              <w:jc w:val="both"/>
              <w:rPr>
                <w:rFonts w:hint="eastAsia"/>
                <w:b/>
                <w:color w:val="auto"/>
                <w:sz w:val="26"/>
                <w:highlight w:val="none"/>
              </w:rPr>
            </w:pPr>
            <w:r>
              <w:rPr>
                <w:rFonts w:hint="default"/>
                <w:b/>
                <w:color w:val="auto"/>
                <w:sz w:val="26"/>
                <w:highlight w:val="none"/>
              </w:rPr>
              <w:t>4.2.2.1</w:t>
            </w:r>
            <w:r>
              <w:rPr>
                <w:rFonts w:hint="eastAsia"/>
                <w:b/>
                <w:color w:val="auto"/>
                <w:sz w:val="26"/>
                <w:highlight w:val="none"/>
              </w:rPr>
              <w:t>废水产生、排放情况</w:t>
            </w:r>
          </w:p>
          <w:p w14:paraId="3420663B">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营运期废水主要来自离合器清洗废水、员工办公生活污水、地面清洁废水、餐饮废水、乙醇喷淋废水、空压机含油冷凝水、冷却废水、脱模废气治理除湿产生冷凝水。</w:t>
            </w:r>
          </w:p>
          <w:p w14:paraId="520A60CD">
            <w:pPr>
              <w:pStyle w:val="74"/>
              <w:keepNext w:val="0"/>
              <w:keepLines w:val="0"/>
              <w:suppressLineNumbers w:val="0"/>
              <w:bidi w:val="0"/>
              <w:spacing w:before="0" w:beforeAutospacing="0" w:after="0" w:afterAutospacing="0"/>
              <w:ind w:left="0" w:right="0"/>
              <w:rPr>
                <w:rFonts w:hint="default" w:eastAsia="宋体"/>
                <w:b/>
                <w:bCs/>
                <w:color w:val="auto"/>
                <w:highlight w:val="none"/>
                <w:lang w:val="en-US" w:eastAsia="zh-CN"/>
              </w:rPr>
            </w:pPr>
            <w:r>
              <w:rPr>
                <w:rFonts w:hint="eastAsia"/>
                <w:b/>
                <w:bCs/>
                <w:color w:val="auto"/>
                <w:highlight w:val="none"/>
                <w:lang w:val="en-US" w:eastAsia="zh-CN"/>
              </w:rPr>
              <w:t>（1）生活污水</w:t>
            </w:r>
          </w:p>
          <w:p w14:paraId="45569A8A">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w:t>
            </w:r>
            <w:r>
              <w:rPr>
                <w:rFonts w:hint="eastAsia"/>
                <w:color w:val="auto"/>
                <w:highlight w:val="none"/>
                <w:lang w:eastAsia="zh-CN"/>
              </w:rPr>
              <w:t>）</w:t>
            </w:r>
            <w:r>
              <w:rPr>
                <w:rFonts w:hint="default"/>
                <w:color w:val="auto"/>
                <w:highlight w:val="none"/>
              </w:rPr>
              <w:t>员工生活污水：厂区员工共计</w:t>
            </w:r>
            <w:r>
              <w:rPr>
                <w:rFonts w:hint="eastAsia"/>
                <w:color w:val="auto"/>
                <w:highlight w:val="none"/>
                <w:lang w:val="en-US" w:eastAsia="zh-CN"/>
              </w:rPr>
              <w:t>170</w:t>
            </w:r>
            <w:r>
              <w:rPr>
                <w:rFonts w:hint="default"/>
                <w:color w:val="auto"/>
                <w:highlight w:val="none"/>
              </w:rPr>
              <w:t>人，生活用水（不涉及住宿）按50L/（人·d）计，则生活用水日用水量为</w:t>
            </w:r>
            <w:r>
              <w:rPr>
                <w:rFonts w:hint="eastAsia"/>
                <w:color w:val="auto"/>
                <w:highlight w:val="none"/>
                <w:lang w:val="en-US" w:eastAsia="zh-CN"/>
              </w:rPr>
              <w:t>8.5</w:t>
            </w:r>
            <w:r>
              <w:rPr>
                <w:rFonts w:hint="default"/>
                <w:color w:val="auto"/>
                <w:highlight w:val="none"/>
              </w:rPr>
              <w:t>m</w:t>
            </w:r>
            <w:r>
              <w:rPr>
                <w:rFonts w:hint="default"/>
                <w:color w:val="auto"/>
                <w:highlight w:val="none"/>
                <w:vertAlign w:val="superscript"/>
              </w:rPr>
              <w:t>3</w:t>
            </w:r>
            <w:r>
              <w:rPr>
                <w:rFonts w:hint="default"/>
                <w:color w:val="auto"/>
                <w:highlight w:val="none"/>
              </w:rPr>
              <w:t>/d，年生产250天，年用水量为</w:t>
            </w:r>
            <w:r>
              <w:rPr>
                <w:rFonts w:hint="eastAsia"/>
                <w:color w:val="auto"/>
                <w:highlight w:val="none"/>
                <w:lang w:val="en-US" w:eastAsia="zh-CN"/>
              </w:rPr>
              <w:t>2125</w:t>
            </w:r>
            <w:r>
              <w:rPr>
                <w:rFonts w:hint="default"/>
                <w:color w:val="auto"/>
                <w:highlight w:val="none"/>
              </w:rPr>
              <w:t>m</w:t>
            </w:r>
            <w:r>
              <w:rPr>
                <w:rFonts w:hint="default"/>
                <w:color w:val="auto"/>
                <w:highlight w:val="none"/>
                <w:vertAlign w:val="superscript"/>
              </w:rPr>
              <w:t>3</w:t>
            </w:r>
            <w:r>
              <w:rPr>
                <w:rFonts w:hint="default"/>
                <w:color w:val="auto"/>
                <w:highlight w:val="none"/>
              </w:rPr>
              <w:t>/a，产污系数为0.9，则生活污水产生量为</w:t>
            </w:r>
            <w:r>
              <w:rPr>
                <w:rFonts w:hint="eastAsia"/>
                <w:color w:val="auto"/>
                <w:highlight w:val="none"/>
                <w:lang w:val="en-US" w:eastAsia="zh-CN"/>
              </w:rPr>
              <w:t>7.65</w:t>
            </w:r>
            <w:r>
              <w:rPr>
                <w:rFonts w:hint="default"/>
                <w:color w:val="auto"/>
                <w:highlight w:val="none"/>
              </w:rPr>
              <w:t>m</w:t>
            </w:r>
            <w:r>
              <w:rPr>
                <w:rFonts w:hint="default"/>
                <w:color w:val="auto"/>
                <w:highlight w:val="none"/>
                <w:vertAlign w:val="superscript"/>
              </w:rPr>
              <w:t>3</w:t>
            </w:r>
            <w:r>
              <w:rPr>
                <w:rFonts w:hint="default"/>
                <w:color w:val="auto"/>
                <w:highlight w:val="none"/>
              </w:rPr>
              <w:t>/d（</w:t>
            </w:r>
            <w:r>
              <w:rPr>
                <w:rFonts w:hint="eastAsia"/>
                <w:color w:val="auto"/>
                <w:highlight w:val="none"/>
                <w:lang w:val="en-US" w:eastAsia="zh-CN"/>
              </w:rPr>
              <w:t>1912.5</w:t>
            </w:r>
            <w:r>
              <w:rPr>
                <w:rFonts w:hint="default"/>
                <w:color w:val="auto"/>
                <w:highlight w:val="none"/>
              </w:rPr>
              <w:t>m</w:t>
            </w:r>
            <w:r>
              <w:rPr>
                <w:rFonts w:hint="default"/>
                <w:color w:val="auto"/>
                <w:highlight w:val="none"/>
                <w:vertAlign w:val="superscript"/>
              </w:rPr>
              <w:t>3</w:t>
            </w:r>
            <w:r>
              <w:rPr>
                <w:rFonts w:hint="default"/>
                <w:color w:val="auto"/>
                <w:highlight w:val="none"/>
              </w:rPr>
              <w:t>/a）。</w:t>
            </w:r>
          </w:p>
          <w:p w14:paraId="69A833EB">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2）综合楼</w:t>
            </w:r>
            <w:r>
              <w:rPr>
                <w:rFonts w:hint="default"/>
                <w:color w:val="auto"/>
                <w:highlight w:val="none"/>
              </w:rPr>
              <w:t>地面清洁</w:t>
            </w:r>
            <w:r>
              <w:rPr>
                <w:rFonts w:hint="eastAsia"/>
                <w:color w:val="auto"/>
                <w:highlight w:val="none"/>
                <w:lang w:val="en-US" w:eastAsia="zh-CN"/>
              </w:rPr>
              <w:t>废水</w:t>
            </w:r>
            <w:r>
              <w:rPr>
                <w:rFonts w:hint="default"/>
                <w:color w:val="auto"/>
                <w:highlight w:val="none"/>
              </w:rPr>
              <w:t>：本项目1号和2号厂房内仅对地面进行清扫，不涉及清洗，综合楼进行地面清洁，综合楼建筑面积1849.69m</w:t>
            </w:r>
            <w:r>
              <w:rPr>
                <w:rFonts w:hint="default"/>
                <w:color w:val="auto"/>
                <w:highlight w:val="none"/>
                <w:vertAlign w:val="superscript"/>
              </w:rPr>
              <w:t>2</w:t>
            </w:r>
            <w:r>
              <w:rPr>
                <w:rFonts w:hint="default"/>
                <w:color w:val="auto"/>
                <w:highlight w:val="none"/>
              </w:rPr>
              <w:t>，</w:t>
            </w:r>
            <w:r>
              <w:rPr>
                <w:rFonts w:hint="eastAsia"/>
                <w:bCs/>
                <w:color w:val="auto"/>
                <w:sz w:val="26"/>
                <w:szCs w:val="26"/>
                <w:highlight w:val="none"/>
                <w:lang w:val="en-US" w:eastAsia="zh-CN"/>
              </w:rPr>
              <w:t>按照0.5L/m</w:t>
            </w:r>
            <w:r>
              <w:rPr>
                <w:rFonts w:hint="eastAsia"/>
                <w:bCs/>
                <w:color w:val="auto"/>
                <w:sz w:val="26"/>
                <w:szCs w:val="26"/>
                <w:highlight w:val="none"/>
                <w:vertAlign w:val="superscript"/>
                <w:lang w:val="en-US" w:eastAsia="zh-CN"/>
              </w:rPr>
              <w:t>2</w:t>
            </w:r>
            <w:r>
              <w:rPr>
                <w:rFonts w:hint="eastAsia"/>
                <w:bCs/>
                <w:color w:val="auto"/>
                <w:sz w:val="26"/>
                <w:szCs w:val="26"/>
                <w:highlight w:val="none"/>
                <w:lang w:val="en-US" w:eastAsia="zh-CN"/>
              </w:rPr>
              <w:t>·次（每周一次）计，地面清洁用水为0.192m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/d（48.1 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/a），产污系数为0.9，则地面清洁废水产生量为0.173m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/d（43.3m</w:t>
            </w:r>
            <w:r>
              <w:rPr>
                <w:rFonts w:hint="eastAsia"/>
                <w:bCs/>
                <w:color w:val="auto"/>
                <w:sz w:val="26"/>
                <w:szCs w:val="26"/>
                <w:highlight w:val="none"/>
                <w:vertAlign w:val="superscript"/>
                <w:lang w:val="en-US" w:eastAsia="zh-CN"/>
              </w:rPr>
              <w:t>3</w:t>
            </w:r>
            <w:r>
              <w:rPr>
                <w:rFonts w:hint="eastAsia"/>
                <w:bCs/>
                <w:color w:val="auto"/>
                <w:sz w:val="26"/>
                <w:szCs w:val="26"/>
                <w:highlight w:val="none"/>
                <w:lang w:val="en-US" w:eastAsia="zh-CN"/>
              </w:rPr>
              <w:t>/a）</w:t>
            </w:r>
            <w:r>
              <w:rPr>
                <w:rFonts w:hint="default"/>
                <w:color w:val="auto"/>
                <w:highlight w:val="none"/>
              </w:rPr>
              <w:t>。</w:t>
            </w:r>
          </w:p>
          <w:p w14:paraId="1572C906">
            <w:pPr>
              <w:pStyle w:val="74"/>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3</w:t>
            </w:r>
            <w:r>
              <w:rPr>
                <w:rFonts w:hint="eastAsia"/>
                <w:color w:val="auto"/>
                <w:highlight w:val="none"/>
                <w:lang w:eastAsia="zh-CN"/>
              </w:rPr>
              <w:t>）</w:t>
            </w:r>
            <w:r>
              <w:rPr>
                <w:rFonts w:hint="default"/>
                <w:color w:val="auto"/>
                <w:highlight w:val="none"/>
              </w:rPr>
              <w:t>餐饮</w:t>
            </w:r>
            <w:r>
              <w:rPr>
                <w:rFonts w:hint="eastAsia"/>
                <w:color w:val="auto"/>
                <w:highlight w:val="none"/>
                <w:lang w:val="en-US" w:eastAsia="zh-CN"/>
              </w:rPr>
              <w:t>废水</w:t>
            </w:r>
            <w:r>
              <w:rPr>
                <w:rFonts w:hint="default"/>
                <w:color w:val="auto"/>
                <w:highlight w:val="none"/>
              </w:rPr>
              <w:t>：本项目就餐人数100人</w:t>
            </w:r>
            <w:r>
              <w:rPr>
                <w:rFonts w:hint="eastAsia"/>
                <w:color w:val="auto"/>
                <w:highlight w:val="none"/>
                <w:lang w:val="en-US" w:eastAsia="zh-CN"/>
              </w:rPr>
              <w:t>次</w:t>
            </w:r>
            <w:r>
              <w:rPr>
                <w:rFonts w:hint="default"/>
                <w:color w:val="auto"/>
                <w:highlight w:val="none"/>
              </w:rPr>
              <w:t>，餐饮用水按照45L/</w:t>
            </w:r>
            <w:r>
              <w:rPr>
                <w:rFonts w:hint="eastAsia"/>
                <w:color w:val="auto"/>
                <w:highlight w:val="none"/>
                <w:lang w:val="en-US" w:eastAsia="zh-CN"/>
              </w:rPr>
              <w:t>人次</w:t>
            </w:r>
            <w:r>
              <w:rPr>
                <w:rFonts w:hint="default"/>
                <w:color w:val="auto"/>
                <w:highlight w:val="none"/>
              </w:rPr>
              <w:t>计，则餐饮用水为4.5 m</w:t>
            </w:r>
            <w:r>
              <w:rPr>
                <w:rFonts w:hint="default"/>
                <w:color w:val="auto"/>
                <w:highlight w:val="none"/>
                <w:vertAlign w:val="superscript"/>
              </w:rPr>
              <w:t>3</w:t>
            </w:r>
            <w:r>
              <w:rPr>
                <w:rFonts w:hint="default"/>
                <w:color w:val="auto"/>
                <w:highlight w:val="none"/>
              </w:rPr>
              <w:t>/d（1125 m</w:t>
            </w:r>
            <w:r>
              <w:rPr>
                <w:rFonts w:hint="default"/>
                <w:color w:val="auto"/>
                <w:highlight w:val="none"/>
                <w:vertAlign w:val="superscript"/>
              </w:rPr>
              <w:t>3</w:t>
            </w:r>
            <w:r>
              <w:rPr>
                <w:rFonts w:hint="default"/>
                <w:color w:val="auto"/>
                <w:highlight w:val="none"/>
              </w:rPr>
              <w:t>/a），产污系数为0.9，则餐饮废水产生量为4.05m</w:t>
            </w:r>
            <w:r>
              <w:rPr>
                <w:rFonts w:hint="default"/>
                <w:color w:val="auto"/>
                <w:highlight w:val="none"/>
                <w:vertAlign w:val="superscript"/>
              </w:rPr>
              <w:t>3</w:t>
            </w:r>
            <w:r>
              <w:rPr>
                <w:rFonts w:hint="default"/>
                <w:color w:val="auto"/>
                <w:highlight w:val="none"/>
              </w:rPr>
              <w:t>/d（1012.5m</w:t>
            </w:r>
            <w:r>
              <w:rPr>
                <w:rFonts w:hint="default"/>
                <w:color w:val="auto"/>
                <w:highlight w:val="none"/>
                <w:vertAlign w:val="superscript"/>
              </w:rPr>
              <w:t>3</w:t>
            </w:r>
            <w:r>
              <w:rPr>
                <w:rFonts w:hint="default"/>
                <w:color w:val="auto"/>
                <w:highlight w:val="none"/>
              </w:rPr>
              <w:t>/a）。</w:t>
            </w:r>
          </w:p>
          <w:p w14:paraId="66D2E22C">
            <w:pPr>
              <w:pStyle w:val="71"/>
              <w:keepNext w:val="0"/>
              <w:keepLines w:val="0"/>
              <w:suppressLineNumbers w:val="0"/>
              <w:snapToGrid w:val="0"/>
              <w:spacing w:before="0" w:beforeAutospacing="0" w:after="0" w:afterAutospacing="0" w:line="400" w:lineRule="exact"/>
              <w:ind w:left="0" w:right="0" w:firstLine="525"/>
              <w:jc w:val="both"/>
              <w:rPr>
                <w:rFonts w:hint="eastAsia"/>
                <w:b w:val="0"/>
                <w:bCs/>
                <w:color w:val="auto"/>
                <w:sz w:val="26"/>
                <w:highlight w:val="none"/>
                <w:lang w:val="en-US" w:eastAsia="zh-CN"/>
              </w:rPr>
            </w:pPr>
            <w:r>
              <w:rPr>
                <w:rFonts w:hint="eastAsia"/>
                <w:b w:val="0"/>
                <w:bCs/>
                <w:color w:val="auto"/>
                <w:sz w:val="26"/>
                <w:highlight w:val="none"/>
                <w:lang w:val="en-US" w:eastAsia="zh-CN"/>
              </w:rPr>
              <w:t>废水产生量及源强见下表。</w:t>
            </w:r>
          </w:p>
          <w:p w14:paraId="3B59167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b w:val="0"/>
                <w:bCs/>
                <w:color w:val="auto"/>
                <w:sz w:val="26"/>
                <w:highlight w:val="none"/>
                <w:lang w:val="en-US" w:eastAsia="zh-CN"/>
              </w:rPr>
            </w:pPr>
          </w:p>
          <w:p w14:paraId="35037C43">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w:t>
            </w:r>
            <w:r>
              <w:rPr>
                <w:rFonts w:hint="eastAsia"/>
                <w:color w:val="auto"/>
                <w:sz w:val="26"/>
                <w:szCs w:val="26"/>
                <w:highlight w:val="none"/>
                <w:lang w:val="en-US" w:eastAsia="zh-CN"/>
              </w:rPr>
              <w:t xml:space="preserve">4.2-10-1  </w:t>
            </w:r>
            <w:r>
              <w:rPr>
                <w:rFonts w:hint="default"/>
                <w:color w:val="auto"/>
                <w:sz w:val="26"/>
                <w:szCs w:val="26"/>
                <w:highlight w:val="none"/>
              </w:rPr>
              <w:t>项目</w:t>
            </w:r>
            <w:r>
              <w:rPr>
                <w:rFonts w:hint="eastAsia"/>
                <w:color w:val="auto"/>
                <w:sz w:val="26"/>
                <w:szCs w:val="26"/>
                <w:highlight w:val="none"/>
                <w:lang w:val="en-US" w:eastAsia="zh-CN"/>
              </w:rPr>
              <w:t>生活污水</w:t>
            </w:r>
            <w:r>
              <w:rPr>
                <w:rFonts w:hint="default"/>
                <w:color w:val="auto"/>
                <w:sz w:val="26"/>
                <w:szCs w:val="26"/>
                <w:highlight w:val="none"/>
              </w:rPr>
              <w:t>污染物产生及排放一览表</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665"/>
              <w:gridCol w:w="931"/>
              <w:gridCol w:w="1184"/>
              <w:gridCol w:w="1035"/>
              <w:gridCol w:w="890"/>
              <w:gridCol w:w="1036"/>
              <w:gridCol w:w="861"/>
              <w:gridCol w:w="1021"/>
              <w:gridCol w:w="1025"/>
            </w:tblGrid>
            <w:tr w14:paraId="5DD8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restart"/>
                  <w:shd w:val="clear" w:color="auto" w:fill="auto"/>
                  <w:vAlign w:val="center"/>
                </w:tcPr>
                <w:p w14:paraId="38F056F8">
                  <w:pPr>
                    <w:pStyle w:val="91"/>
                    <w:keepNext w:val="0"/>
                    <w:keepLines w:val="0"/>
                    <w:suppressLineNumbers w:val="0"/>
                    <w:bidi w:val="0"/>
                    <w:spacing w:before="0" w:beforeAutospacing="0" w:after="0" w:afterAutospacing="0"/>
                    <w:ind w:left="0" w:right="0"/>
                    <w:rPr>
                      <w:rFonts w:hint="eastAsia" w:eastAsia="宋体"/>
                      <w:b/>
                      <w:bCs/>
                      <w:color w:val="auto"/>
                      <w:sz w:val="20"/>
                      <w:szCs w:val="20"/>
                      <w:highlight w:val="none"/>
                      <w:lang w:val="en-US" w:eastAsia="zh-CN"/>
                    </w:rPr>
                  </w:pPr>
                  <w:r>
                    <w:rPr>
                      <w:rFonts w:hint="eastAsia"/>
                      <w:b/>
                      <w:bCs/>
                      <w:color w:val="auto"/>
                      <w:sz w:val="20"/>
                      <w:szCs w:val="20"/>
                      <w:highlight w:val="none"/>
                      <w:lang w:val="en-US" w:eastAsia="zh-CN"/>
                    </w:rPr>
                    <w:t>时期</w:t>
                  </w:r>
                </w:p>
              </w:tc>
              <w:tc>
                <w:tcPr>
                  <w:tcW w:w="665" w:type="dxa"/>
                  <w:vMerge w:val="restart"/>
                  <w:shd w:val="clear" w:color="auto" w:fill="auto"/>
                  <w:vAlign w:val="center"/>
                </w:tcPr>
                <w:p w14:paraId="1AF97131">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废水类别</w:t>
                  </w:r>
                </w:p>
              </w:tc>
              <w:tc>
                <w:tcPr>
                  <w:tcW w:w="931" w:type="dxa"/>
                  <w:vMerge w:val="restart"/>
                  <w:shd w:val="clear" w:color="auto" w:fill="auto"/>
                  <w:vAlign w:val="center"/>
                </w:tcPr>
                <w:p w14:paraId="3691A96C">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废水量m³/a</w:t>
                  </w:r>
                </w:p>
              </w:tc>
              <w:tc>
                <w:tcPr>
                  <w:tcW w:w="1184" w:type="dxa"/>
                  <w:vMerge w:val="restart"/>
                  <w:shd w:val="clear" w:color="auto" w:fill="auto"/>
                  <w:vAlign w:val="center"/>
                </w:tcPr>
                <w:p w14:paraId="7C16629B">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污染物</w:t>
                  </w:r>
                </w:p>
              </w:tc>
              <w:tc>
                <w:tcPr>
                  <w:tcW w:w="1925" w:type="dxa"/>
                  <w:gridSpan w:val="2"/>
                  <w:shd w:val="clear" w:color="auto" w:fill="auto"/>
                  <w:vAlign w:val="center"/>
                </w:tcPr>
                <w:p w14:paraId="03C937C3">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产生量</w:t>
                  </w:r>
                </w:p>
              </w:tc>
              <w:tc>
                <w:tcPr>
                  <w:tcW w:w="1897" w:type="dxa"/>
                  <w:gridSpan w:val="2"/>
                  <w:shd w:val="clear" w:color="auto" w:fill="auto"/>
                  <w:vAlign w:val="center"/>
                </w:tcPr>
                <w:p w14:paraId="0B4FF48B">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经生化池处理后</w:t>
                  </w:r>
                </w:p>
              </w:tc>
              <w:tc>
                <w:tcPr>
                  <w:tcW w:w="2046" w:type="dxa"/>
                  <w:gridSpan w:val="2"/>
                  <w:shd w:val="clear" w:color="auto" w:fill="auto"/>
                  <w:vAlign w:val="center"/>
                </w:tcPr>
                <w:p w14:paraId="57B5CE23">
                  <w:pPr>
                    <w:pStyle w:val="91"/>
                    <w:keepNext w:val="0"/>
                    <w:keepLines w:val="0"/>
                    <w:suppressLineNumbers w:val="0"/>
                    <w:bidi w:val="0"/>
                    <w:spacing w:before="0" w:beforeAutospacing="0" w:after="0" w:afterAutospacing="0"/>
                    <w:ind w:left="0" w:right="0"/>
                    <w:rPr>
                      <w:rFonts w:hint="default" w:eastAsia="宋体"/>
                      <w:b/>
                      <w:bCs/>
                      <w:color w:val="auto"/>
                      <w:sz w:val="20"/>
                      <w:szCs w:val="20"/>
                      <w:highlight w:val="none"/>
                      <w:lang w:val="en-US" w:eastAsia="zh-CN"/>
                    </w:rPr>
                  </w:pPr>
                  <w:r>
                    <w:rPr>
                      <w:rFonts w:hint="eastAsia"/>
                      <w:b/>
                      <w:bCs/>
                      <w:color w:val="auto"/>
                      <w:sz w:val="20"/>
                      <w:szCs w:val="20"/>
                      <w:highlight w:val="none"/>
                      <w:lang w:val="en-US" w:eastAsia="zh-CN"/>
                    </w:rPr>
                    <w:t>旗能电铝污水处理站处理后排入外环境（不外排）</w:t>
                  </w:r>
                </w:p>
              </w:tc>
            </w:tr>
            <w:tr w14:paraId="444F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shd w:val="clear" w:color="auto" w:fill="auto"/>
                  <w:vAlign w:val="center"/>
                </w:tcPr>
                <w:p w14:paraId="2F1845EB">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665" w:type="dxa"/>
                  <w:vMerge w:val="continue"/>
                  <w:shd w:val="clear" w:color="auto" w:fill="auto"/>
                  <w:vAlign w:val="center"/>
                </w:tcPr>
                <w:p w14:paraId="3A570112">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931" w:type="dxa"/>
                  <w:vMerge w:val="continue"/>
                  <w:shd w:val="clear" w:color="auto" w:fill="auto"/>
                  <w:vAlign w:val="center"/>
                </w:tcPr>
                <w:p w14:paraId="407AFAD0">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1184" w:type="dxa"/>
                  <w:vMerge w:val="continue"/>
                  <w:shd w:val="clear" w:color="auto" w:fill="auto"/>
                  <w:vAlign w:val="center"/>
                </w:tcPr>
                <w:p w14:paraId="5383D0B3">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1035" w:type="dxa"/>
                  <w:shd w:val="clear" w:color="auto" w:fill="auto"/>
                  <w:vAlign w:val="center"/>
                </w:tcPr>
                <w:p w14:paraId="7301CFFF">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产生浓度mg/L</w:t>
                  </w:r>
                </w:p>
              </w:tc>
              <w:tc>
                <w:tcPr>
                  <w:tcW w:w="890" w:type="dxa"/>
                  <w:shd w:val="clear" w:color="auto" w:fill="auto"/>
                  <w:vAlign w:val="center"/>
                </w:tcPr>
                <w:p w14:paraId="5FFC7E18">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产生量t/a</w:t>
                  </w:r>
                </w:p>
              </w:tc>
              <w:tc>
                <w:tcPr>
                  <w:tcW w:w="1036" w:type="dxa"/>
                  <w:shd w:val="clear" w:color="auto" w:fill="auto"/>
                  <w:vAlign w:val="center"/>
                </w:tcPr>
                <w:p w14:paraId="535F7CB6">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排放浓度mg/L</w:t>
                  </w:r>
                </w:p>
              </w:tc>
              <w:tc>
                <w:tcPr>
                  <w:tcW w:w="861" w:type="dxa"/>
                  <w:shd w:val="clear" w:color="auto" w:fill="auto"/>
                  <w:vAlign w:val="center"/>
                </w:tcPr>
                <w:p w14:paraId="0235E716">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排放量t/a</w:t>
                  </w:r>
                </w:p>
              </w:tc>
              <w:tc>
                <w:tcPr>
                  <w:tcW w:w="1021" w:type="dxa"/>
                  <w:shd w:val="clear" w:color="auto" w:fill="auto"/>
                  <w:vAlign w:val="center"/>
                </w:tcPr>
                <w:p w14:paraId="6E338711">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排放浓度mg/L</w:t>
                  </w:r>
                </w:p>
              </w:tc>
              <w:tc>
                <w:tcPr>
                  <w:tcW w:w="1025" w:type="dxa"/>
                  <w:shd w:val="clear" w:color="auto" w:fill="auto"/>
                  <w:vAlign w:val="center"/>
                </w:tcPr>
                <w:p w14:paraId="75D2D19C">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排放量t/a</w:t>
                  </w:r>
                </w:p>
              </w:tc>
            </w:tr>
            <w:tr w14:paraId="3BA0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restart"/>
                  <w:shd w:val="clear" w:color="auto" w:fill="auto"/>
                  <w:vAlign w:val="center"/>
                </w:tcPr>
                <w:p w14:paraId="5B987121">
                  <w:pPr>
                    <w:pStyle w:val="91"/>
                    <w:keepNext w:val="0"/>
                    <w:keepLines w:val="0"/>
                    <w:suppressLineNumbers w:val="0"/>
                    <w:bidi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近期</w:t>
                  </w:r>
                </w:p>
              </w:tc>
              <w:tc>
                <w:tcPr>
                  <w:tcW w:w="665" w:type="dxa"/>
                  <w:vMerge w:val="restart"/>
                  <w:shd w:val="clear" w:color="auto" w:fill="auto"/>
                  <w:vAlign w:val="center"/>
                </w:tcPr>
                <w:p w14:paraId="52E30F6D">
                  <w:pPr>
                    <w:pStyle w:val="91"/>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生活污水+餐饮废水+综合楼地面清洁废水</w:t>
                  </w:r>
                </w:p>
              </w:tc>
              <w:tc>
                <w:tcPr>
                  <w:tcW w:w="931" w:type="dxa"/>
                  <w:vMerge w:val="restart"/>
                  <w:shd w:val="clear" w:color="auto" w:fill="auto"/>
                  <w:vAlign w:val="center"/>
                </w:tcPr>
                <w:p w14:paraId="2E34B11B">
                  <w:pPr>
                    <w:pStyle w:val="91"/>
                    <w:keepNext w:val="0"/>
                    <w:keepLines w:val="0"/>
                    <w:suppressLineNumbers w:val="0"/>
                    <w:bidi w:val="0"/>
                    <w:spacing w:before="0" w:beforeAutospacing="0" w:after="0" w:afterAutospacing="0"/>
                    <w:ind w:left="0" w:right="0"/>
                    <w:rPr>
                      <w:rFonts w:hint="default"/>
                      <w:color w:val="auto"/>
                      <w:sz w:val="20"/>
                      <w:szCs w:val="20"/>
                      <w:highlight w:val="none"/>
                      <w:lang w:val="en-US" w:eastAsia="zh-CN"/>
                    </w:rPr>
                  </w:pPr>
                  <w:r>
                    <w:rPr>
                      <w:rFonts w:hint="eastAsia"/>
                      <w:color w:val="auto"/>
                      <w:sz w:val="20"/>
                      <w:szCs w:val="20"/>
                      <w:highlight w:val="none"/>
                      <w:lang w:val="en-US" w:eastAsia="zh-CN"/>
                    </w:rPr>
                    <w:t>2968.28</w:t>
                  </w:r>
                </w:p>
              </w:tc>
              <w:tc>
                <w:tcPr>
                  <w:tcW w:w="1184" w:type="dxa"/>
                  <w:shd w:val="clear" w:color="auto" w:fill="auto"/>
                  <w:vAlign w:val="center"/>
                </w:tcPr>
                <w:p w14:paraId="5C364C04">
                  <w:pPr>
                    <w:pStyle w:val="91"/>
                    <w:keepNext w:val="0"/>
                    <w:keepLines w:val="0"/>
                    <w:suppressLineNumbers w:val="0"/>
                    <w:bidi w:val="0"/>
                    <w:spacing w:before="0" w:beforeAutospacing="0" w:after="0" w:afterAutospacing="0"/>
                    <w:ind w:left="0" w:leftChars="0" w:right="0" w:rightChars="0"/>
                    <w:rPr>
                      <w:rFonts w:hint="default"/>
                      <w:color w:val="auto"/>
                      <w:sz w:val="20"/>
                      <w:szCs w:val="20"/>
                      <w:highlight w:val="none"/>
                    </w:rPr>
                  </w:pPr>
                  <w:r>
                    <w:rPr>
                      <w:rFonts w:hint="default"/>
                      <w:color w:val="auto"/>
                      <w:sz w:val="20"/>
                      <w:szCs w:val="20"/>
                      <w:highlight w:val="none"/>
                    </w:rPr>
                    <w:t>COD</w:t>
                  </w:r>
                </w:p>
              </w:tc>
              <w:tc>
                <w:tcPr>
                  <w:tcW w:w="1035" w:type="dxa"/>
                  <w:shd w:val="clear" w:color="auto" w:fill="auto"/>
                  <w:vAlign w:val="center"/>
                </w:tcPr>
                <w:p w14:paraId="5922B64A">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600</w:t>
                  </w:r>
                </w:p>
              </w:tc>
              <w:tc>
                <w:tcPr>
                  <w:tcW w:w="890" w:type="dxa"/>
                  <w:shd w:val="clear" w:color="auto" w:fill="auto"/>
                  <w:vAlign w:val="center"/>
                </w:tcPr>
                <w:p w14:paraId="5E774F7A">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1.7810 </w:t>
                  </w:r>
                </w:p>
              </w:tc>
              <w:tc>
                <w:tcPr>
                  <w:tcW w:w="1036" w:type="dxa"/>
                  <w:shd w:val="clear" w:color="auto" w:fill="auto"/>
                  <w:vAlign w:val="center"/>
                </w:tcPr>
                <w:p w14:paraId="02B33E6D">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500</w:t>
                  </w:r>
                </w:p>
              </w:tc>
              <w:tc>
                <w:tcPr>
                  <w:tcW w:w="861" w:type="dxa"/>
                  <w:shd w:val="clear" w:color="auto" w:fill="auto"/>
                  <w:vAlign w:val="center"/>
                </w:tcPr>
                <w:p w14:paraId="522D317C">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1.4841 </w:t>
                  </w:r>
                </w:p>
              </w:tc>
              <w:tc>
                <w:tcPr>
                  <w:tcW w:w="1021" w:type="dxa"/>
                  <w:shd w:val="clear" w:color="auto" w:fill="auto"/>
                  <w:vAlign w:val="center"/>
                </w:tcPr>
                <w:p w14:paraId="3D152F0D">
                  <w:pPr>
                    <w:keepNext w:val="0"/>
                    <w:keepLines w:val="0"/>
                    <w:widowControl/>
                    <w:suppressLineNumbers w:val="0"/>
                    <w:spacing w:before="0" w:beforeAutospacing="0" w:after="0" w:afterAutospacing="0"/>
                    <w:ind w:left="0" w:right="0"/>
                    <w:jc w:val="center"/>
                    <w:textAlignment w:val="center"/>
                    <w:rPr>
                      <w:rFonts w:hint="default" w:eastAsia="宋体"/>
                      <w:color w:val="auto"/>
                      <w:sz w:val="20"/>
                      <w:szCs w:val="20"/>
                      <w:highlight w:val="none"/>
                      <w:lang w:val="en-US" w:eastAsia="zh-CN"/>
                    </w:rPr>
                  </w:pPr>
                  <w:r>
                    <w:rPr>
                      <w:rFonts w:hint="eastAsia"/>
                      <w:color w:val="auto"/>
                      <w:sz w:val="20"/>
                      <w:szCs w:val="20"/>
                      <w:highlight w:val="none"/>
                      <w:lang w:val="en-US" w:eastAsia="zh-CN"/>
                    </w:rPr>
                    <w:t>不外排</w:t>
                  </w:r>
                </w:p>
              </w:tc>
              <w:tc>
                <w:tcPr>
                  <w:tcW w:w="1025" w:type="dxa"/>
                  <w:shd w:val="clear" w:color="auto" w:fill="auto"/>
                  <w:vAlign w:val="center"/>
                </w:tcPr>
                <w:p w14:paraId="1B610434">
                  <w:pPr>
                    <w:keepNext w:val="0"/>
                    <w:keepLines w:val="0"/>
                    <w:widowControl/>
                    <w:suppressLineNumbers w:val="0"/>
                    <w:spacing w:before="0" w:beforeAutospacing="0" w:after="0" w:afterAutospacing="0"/>
                    <w:ind w:left="0" w:right="0"/>
                    <w:jc w:val="center"/>
                    <w:textAlignment w:val="center"/>
                    <w:rPr>
                      <w:rFonts w:hint="eastAsia" w:eastAsia="宋体"/>
                      <w:color w:val="auto"/>
                      <w:sz w:val="20"/>
                      <w:szCs w:val="20"/>
                      <w:highlight w:val="none"/>
                      <w:lang w:val="en-US" w:eastAsia="zh-CN"/>
                    </w:rPr>
                  </w:pPr>
                  <w:r>
                    <w:rPr>
                      <w:rFonts w:hint="eastAsia"/>
                      <w:color w:val="auto"/>
                      <w:sz w:val="20"/>
                      <w:szCs w:val="20"/>
                      <w:highlight w:val="none"/>
                      <w:lang w:val="en-US" w:eastAsia="zh-CN"/>
                    </w:rPr>
                    <w:t>0</w:t>
                  </w:r>
                </w:p>
              </w:tc>
            </w:tr>
            <w:tr w14:paraId="7880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3" w:type="dxa"/>
                  <w:vMerge w:val="continue"/>
                  <w:shd w:val="clear" w:color="auto" w:fill="auto"/>
                  <w:vAlign w:val="center"/>
                </w:tcPr>
                <w:p w14:paraId="6611AD8C">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665" w:type="dxa"/>
                  <w:vMerge w:val="continue"/>
                  <w:shd w:val="clear" w:color="auto" w:fill="auto"/>
                  <w:vAlign w:val="center"/>
                </w:tcPr>
                <w:p w14:paraId="25426B29">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222E64EC">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4168EA2D">
                  <w:pPr>
                    <w:pStyle w:val="91"/>
                    <w:keepNext w:val="0"/>
                    <w:keepLines w:val="0"/>
                    <w:suppressLineNumbers w:val="0"/>
                    <w:bidi w:val="0"/>
                    <w:spacing w:before="0" w:beforeAutospacing="0" w:after="0" w:afterAutospacing="0"/>
                    <w:ind w:left="0" w:leftChars="0" w:right="0" w:rightChars="0"/>
                    <w:rPr>
                      <w:rFonts w:hint="default"/>
                      <w:color w:val="auto"/>
                      <w:sz w:val="20"/>
                      <w:szCs w:val="20"/>
                      <w:highlight w:val="none"/>
                    </w:rPr>
                  </w:pPr>
                  <w:r>
                    <w:rPr>
                      <w:rFonts w:hint="default"/>
                      <w:color w:val="auto"/>
                      <w:sz w:val="20"/>
                      <w:szCs w:val="20"/>
                      <w:highlight w:val="none"/>
                    </w:rPr>
                    <w:t>BOD</w:t>
                  </w:r>
                  <w:r>
                    <w:rPr>
                      <w:rFonts w:hint="default"/>
                      <w:color w:val="auto"/>
                      <w:sz w:val="20"/>
                      <w:szCs w:val="20"/>
                      <w:highlight w:val="none"/>
                      <w:vertAlign w:val="subscript"/>
                    </w:rPr>
                    <w:t>5</w:t>
                  </w:r>
                </w:p>
              </w:tc>
              <w:tc>
                <w:tcPr>
                  <w:tcW w:w="1035" w:type="dxa"/>
                  <w:shd w:val="clear" w:color="auto" w:fill="auto"/>
                  <w:vAlign w:val="center"/>
                </w:tcPr>
                <w:p w14:paraId="35936DD7">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400</w:t>
                  </w:r>
                </w:p>
              </w:tc>
              <w:tc>
                <w:tcPr>
                  <w:tcW w:w="890" w:type="dxa"/>
                  <w:shd w:val="clear" w:color="auto" w:fill="auto"/>
                  <w:vAlign w:val="center"/>
                </w:tcPr>
                <w:p w14:paraId="2A911450">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1.1873 </w:t>
                  </w:r>
                </w:p>
              </w:tc>
              <w:tc>
                <w:tcPr>
                  <w:tcW w:w="1036" w:type="dxa"/>
                  <w:shd w:val="clear" w:color="auto" w:fill="auto"/>
                  <w:vAlign w:val="center"/>
                </w:tcPr>
                <w:p w14:paraId="4A4CE66B">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300</w:t>
                  </w:r>
                </w:p>
              </w:tc>
              <w:tc>
                <w:tcPr>
                  <w:tcW w:w="861" w:type="dxa"/>
                  <w:shd w:val="clear" w:color="auto" w:fill="auto"/>
                  <w:vAlign w:val="center"/>
                </w:tcPr>
                <w:p w14:paraId="67B52DB6">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0.8905 </w:t>
                  </w:r>
                </w:p>
              </w:tc>
              <w:tc>
                <w:tcPr>
                  <w:tcW w:w="1021" w:type="dxa"/>
                  <w:shd w:val="clear" w:color="auto" w:fill="auto"/>
                  <w:vAlign w:val="center"/>
                </w:tcPr>
                <w:p w14:paraId="14E33E98">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不外排</w:t>
                  </w:r>
                </w:p>
              </w:tc>
              <w:tc>
                <w:tcPr>
                  <w:tcW w:w="1025" w:type="dxa"/>
                  <w:shd w:val="clear" w:color="auto" w:fill="auto"/>
                  <w:vAlign w:val="center"/>
                </w:tcPr>
                <w:p w14:paraId="508B5115">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0</w:t>
                  </w:r>
                </w:p>
              </w:tc>
            </w:tr>
            <w:tr w14:paraId="105E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shd w:val="clear" w:color="auto" w:fill="auto"/>
                  <w:vAlign w:val="center"/>
                </w:tcPr>
                <w:p w14:paraId="01C3DBA7">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665" w:type="dxa"/>
                  <w:vMerge w:val="continue"/>
                  <w:shd w:val="clear" w:color="auto" w:fill="auto"/>
                  <w:vAlign w:val="center"/>
                </w:tcPr>
                <w:p w14:paraId="655DF82E">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769513A0">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15708E87">
                  <w:pPr>
                    <w:pStyle w:val="91"/>
                    <w:keepNext w:val="0"/>
                    <w:keepLines w:val="0"/>
                    <w:suppressLineNumbers w:val="0"/>
                    <w:bidi w:val="0"/>
                    <w:spacing w:before="0" w:beforeAutospacing="0" w:after="0" w:afterAutospacing="0"/>
                    <w:ind w:left="0" w:leftChars="0" w:right="0" w:rightChars="0"/>
                    <w:rPr>
                      <w:rFonts w:hint="default"/>
                      <w:color w:val="auto"/>
                      <w:sz w:val="20"/>
                      <w:szCs w:val="20"/>
                      <w:highlight w:val="none"/>
                    </w:rPr>
                  </w:pPr>
                  <w:r>
                    <w:rPr>
                      <w:rFonts w:hint="default"/>
                      <w:color w:val="auto"/>
                      <w:sz w:val="20"/>
                      <w:szCs w:val="20"/>
                      <w:highlight w:val="none"/>
                    </w:rPr>
                    <w:t>SS</w:t>
                  </w:r>
                </w:p>
              </w:tc>
              <w:tc>
                <w:tcPr>
                  <w:tcW w:w="1035" w:type="dxa"/>
                  <w:shd w:val="clear" w:color="auto" w:fill="auto"/>
                  <w:vAlign w:val="center"/>
                </w:tcPr>
                <w:p w14:paraId="2DA6AA2D">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500</w:t>
                  </w:r>
                </w:p>
              </w:tc>
              <w:tc>
                <w:tcPr>
                  <w:tcW w:w="890" w:type="dxa"/>
                  <w:shd w:val="clear" w:color="auto" w:fill="auto"/>
                  <w:vAlign w:val="center"/>
                </w:tcPr>
                <w:p w14:paraId="375703CB">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1.4841 </w:t>
                  </w:r>
                </w:p>
              </w:tc>
              <w:tc>
                <w:tcPr>
                  <w:tcW w:w="1036" w:type="dxa"/>
                  <w:shd w:val="clear" w:color="auto" w:fill="auto"/>
                  <w:vAlign w:val="center"/>
                </w:tcPr>
                <w:p w14:paraId="5EF038CD">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400</w:t>
                  </w:r>
                </w:p>
              </w:tc>
              <w:tc>
                <w:tcPr>
                  <w:tcW w:w="861" w:type="dxa"/>
                  <w:shd w:val="clear" w:color="auto" w:fill="auto"/>
                  <w:vAlign w:val="center"/>
                </w:tcPr>
                <w:p w14:paraId="1C7A5B70">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1.1873 </w:t>
                  </w:r>
                </w:p>
              </w:tc>
              <w:tc>
                <w:tcPr>
                  <w:tcW w:w="1021" w:type="dxa"/>
                  <w:shd w:val="clear" w:color="auto" w:fill="auto"/>
                  <w:vAlign w:val="center"/>
                </w:tcPr>
                <w:p w14:paraId="5C086982">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不外排</w:t>
                  </w:r>
                </w:p>
              </w:tc>
              <w:tc>
                <w:tcPr>
                  <w:tcW w:w="1025" w:type="dxa"/>
                  <w:shd w:val="clear" w:color="auto" w:fill="auto"/>
                  <w:vAlign w:val="center"/>
                </w:tcPr>
                <w:p w14:paraId="0CC8F862">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0</w:t>
                  </w:r>
                </w:p>
              </w:tc>
            </w:tr>
            <w:tr w14:paraId="38AC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shd w:val="clear" w:color="auto" w:fill="auto"/>
                  <w:vAlign w:val="center"/>
                </w:tcPr>
                <w:p w14:paraId="2E834B1D">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665" w:type="dxa"/>
                  <w:vMerge w:val="continue"/>
                  <w:shd w:val="clear" w:color="auto" w:fill="auto"/>
                  <w:vAlign w:val="center"/>
                </w:tcPr>
                <w:p w14:paraId="34E080F7">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5F4BFFF1">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64AFDB45">
                  <w:pPr>
                    <w:pStyle w:val="91"/>
                    <w:keepNext w:val="0"/>
                    <w:keepLines w:val="0"/>
                    <w:suppressLineNumbers w:val="0"/>
                    <w:bidi w:val="0"/>
                    <w:spacing w:before="0" w:beforeAutospacing="0" w:after="0" w:afterAutospacing="0"/>
                    <w:ind w:left="0" w:leftChars="0" w:right="0" w:rightChars="0"/>
                    <w:rPr>
                      <w:rFonts w:hint="default"/>
                      <w:color w:val="auto"/>
                      <w:sz w:val="20"/>
                      <w:szCs w:val="20"/>
                      <w:highlight w:val="none"/>
                    </w:rPr>
                  </w:pPr>
                  <w:r>
                    <w:rPr>
                      <w:rFonts w:hint="default"/>
                      <w:color w:val="auto"/>
                      <w:sz w:val="20"/>
                      <w:szCs w:val="20"/>
                      <w:highlight w:val="none"/>
                    </w:rPr>
                    <w:t>NH</w:t>
                  </w:r>
                  <w:r>
                    <w:rPr>
                      <w:rFonts w:hint="default"/>
                      <w:color w:val="auto"/>
                      <w:sz w:val="20"/>
                      <w:szCs w:val="20"/>
                      <w:highlight w:val="none"/>
                      <w:vertAlign w:val="subscript"/>
                    </w:rPr>
                    <w:t>3</w:t>
                  </w:r>
                  <w:r>
                    <w:rPr>
                      <w:rFonts w:hint="default"/>
                      <w:color w:val="auto"/>
                      <w:sz w:val="20"/>
                      <w:szCs w:val="20"/>
                      <w:highlight w:val="none"/>
                    </w:rPr>
                    <w:t>-N</w:t>
                  </w:r>
                </w:p>
              </w:tc>
              <w:tc>
                <w:tcPr>
                  <w:tcW w:w="1035" w:type="dxa"/>
                  <w:shd w:val="clear" w:color="auto" w:fill="auto"/>
                  <w:vAlign w:val="center"/>
                </w:tcPr>
                <w:p w14:paraId="4EE64F92">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50</w:t>
                  </w:r>
                </w:p>
              </w:tc>
              <w:tc>
                <w:tcPr>
                  <w:tcW w:w="890" w:type="dxa"/>
                  <w:shd w:val="clear" w:color="auto" w:fill="auto"/>
                  <w:vAlign w:val="center"/>
                </w:tcPr>
                <w:p w14:paraId="0B0AAA73">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0.1484 </w:t>
                  </w:r>
                </w:p>
              </w:tc>
              <w:tc>
                <w:tcPr>
                  <w:tcW w:w="1036" w:type="dxa"/>
                  <w:shd w:val="clear" w:color="auto" w:fill="auto"/>
                  <w:vAlign w:val="center"/>
                </w:tcPr>
                <w:p w14:paraId="3AB903DC">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45</w:t>
                  </w:r>
                </w:p>
              </w:tc>
              <w:tc>
                <w:tcPr>
                  <w:tcW w:w="861" w:type="dxa"/>
                  <w:shd w:val="clear" w:color="auto" w:fill="auto"/>
                  <w:vAlign w:val="center"/>
                </w:tcPr>
                <w:p w14:paraId="30DEAD89">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0.1336 </w:t>
                  </w:r>
                </w:p>
              </w:tc>
              <w:tc>
                <w:tcPr>
                  <w:tcW w:w="1021" w:type="dxa"/>
                  <w:shd w:val="clear" w:color="auto" w:fill="auto"/>
                  <w:vAlign w:val="center"/>
                </w:tcPr>
                <w:p w14:paraId="4D2A3C60">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不外排</w:t>
                  </w:r>
                </w:p>
              </w:tc>
              <w:tc>
                <w:tcPr>
                  <w:tcW w:w="1025" w:type="dxa"/>
                  <w:shd w:val="clear" w:color="auto" w:fill="auto"/>
                  <w:vAlign w:val="center"/>
                </w:tcPr>
                <w:p w14:paraId="7DB4034A">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0</w:t>
                  </w:r>
                </w:p>
              </w:tc>
            </w:tr>
            <w:tr w14:paraId="2FDC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663" w:type="dxa"/>
                  <w:vMerge w:val="continue"/>
                  <w:shd w:val="clear" w:color="auto" w:fill="auto"/>
                  <w:vAlign w:val="center"/>
                </w:tcPr>
                <w:p w14:paraId="6F059A23">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665" w:type="dxa"/>
                  <w:vMerge w:val="continue"/>
                  <w:shd w:val="clear" w:color="auto" w:fill="auto"/>
                  <w:vAlign w:val="center"/>
                </w:tcPr>
                <w:p w14:paraId="5D1D7738">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07F65D4A">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7DA11CA4">
                  <w:pPr>
                    <w:pStyle w:val="91"/>
                    <w:keepNext w:val="0"/>
                    <w:keepLines w:val="0"/>
                    <w:suppressLineNumbers w:val="0"/>
                    <w:bidi w:val="0"/>
                    <w:spacing w:before="0" w:beforeAutospacing="0" w:after="0" w:afterAutospacing="0"/>
                    <w:ind w:left="0" w:leftChars="0" w:right="0" w:rightChars="0"/>
                    <w:rPr>
                      <w:rFonts w:hint="default"/>
                      <w:color w:val="auto"/>
                      <w:sz w:val="20"/>
                      <w:szCs w:val="20"/>
                      <w:highlight w:val="none"/>
                    </w:rPr>
                  </w:pPr>
                  <w:r>
                    <w:rPr>
                      <w:rFonts w:hint="default"/>
                      <w:color w:val="auto"/>
                      <w:sz w:val="20"/>
                      <w:szCs w:val="20"/>
                      <w:highlight w:val="none"/>
                    </w:rPr>
                    <w:t>动植物油</w:t>
                  </w:r>
                </w:p>
              </w:tc>
              <w:tc>
                <w:tcPr>
                  <w:tcW w:w="1035" w:type="dxa"/>
                  <w:shd w:val="clear" w:color="auto" w:fill="auto"/>
                  <w:vAlign w:val="center"/>
                </w:tcPr>
                <w:p w14:paraId="18926E8F">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150</w:t>
                  </w:r>
                </w:p>
              </w:tc>
              <w:tc>
                <w:tcPr>
                  <w:tcW w:w="890" w:type="dxa"/>
                  <w:shd w:val="clear" w:color="auto" w:fill="auto"/>
                  <w:vAlign w:val="center"/>
                </w:tcPr>
                <w:p w14:paraId="7F696671">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0.4452 </w:t>
                  </w:r>
                </w:p>
              </w:tc>
              <w:tc>
                <w:tcPr>
                  <w:tcW w:w="1036" w:type="dxa"/>
                  <w:shd w:val="clear" w:color="auto" w:fill="auto"/>
                  <w:vAlign w:val="center"/>
                </w:tcPr>
                <w:p w14:paraId="19B952C3">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100</w:t>
                  </w:r>
                </w:p>
              </w:tc>
              <w:tc>
                <w:tcPr>
                  <w:tcW w:w="861" w:type="dxa"/>
                  <w:shd w:val="clear" w:color="auto" w:fill="auto"/>
                  <w:vAlign w:val="center"/>
                </w:tcPr>
                <w:p w14:paraId="5737F3F8">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default" w:ascii="Times New Roman" w:hAnsi="Times New Roman" w:eastAsia="宋体" w:cs="Times New Roman"/>
                      <w:i w:val="0"/>
                      <w:iCs w:val="0"/>
                      <w:color w:val="auto"/>
                      <w:kern w:val="0"/>
                      <w:sz w:val="20"/>
                      <w:szCs w:val="20"/>
                      <w:u w:val="none"/>
                      <w:lang w:val="en-US" w:eastAsia="zh-CN" w:bidi="ar"/>
                    </w:rPr>
                    <w:t xml:space="preserve">0.2968 </w:t>
                  </w:r>
                </w:p>
              </w:tc>
              <w:tc>
                <w:tcPr>
                  <w:tcW w:w="1021" w:type="dxa"/>
                  <w:shd w:val="clear" w:color="auto" w:fill="auto"/>
                  <w:vAlign w:val="center"/>
                </w:tcPr>
                <w:p w14:paraId="4E374A27">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不外排</w:t>
                  </w:r>
                </w:p>
              </w:tc>
              <w:tc>
                <w:tcPr>
                  <w:tcW w:w="1025" w:type="dxa"/>
                  <w:shd w:val="clear" w:color="auto" w:fill="auto"/>
                  <w:vAlign w:val="center"/>
                </w:tcPr>
                <w:p w14:paraId="15A24998">
                  <w:pPr>
                    <w:keepNext w:val="0"/>
                    <w:keepLines w:val="0"/>
                    <w:widowControl/>
                    <w:suppressLineNumbers w:val="0"/>
                    <w:spacing w:before="0" w:beforeAutospacing="0" w:after="0" w:afterAutospacing="0"/>
                    <w:ind w:left="0" w:right="0"/>
                    <w:jc w:val="center"/>
                    <w:textAlignment w:val="center"/>
                    <w:rPr>
                      <w:rFonts w:hint="default"/>
                      <w:color w:val="auto"/>
                      <w:sz w:val="20"/>
                      <w:szCs w:val="20"/>
                      <w:highlight w:val="none"/>
                    </w:rPr>
                  </w:pPr>
                  <w:r>
                    <w:rPr>
                      <w:rFonts w:hint="eastAsia"/>
                      <w:color w:val="auto"/>
                      <w:sz w:val="20"/>
                      <w:szCs w:val="20"/>
                      <w:highlight w:val="none"/>
                      <w:lang w:val="en-US" w:eastAsia="zh-CN"/>
                    </w:rPr>
                    <w:t>0</w:t>
                  </w:r>
                </w:p>
              </w:tc>
            </w:tr>
            <w:tr w14:paraId="320E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restart"/>
                  <w:shd w:val="clear" w:color="auto" w:fill="auto"/>
                  <w:vAlign w:val="center"/>
                </w:tcPr>
                <w:p w14:paraId="7778C2DE">
                  <w:pPr>
                    <w:pStyle w:val="91"/>
                    <w:keepNext w:val="0"/>
                    <w:keepLines w:val="0"/>
                    <w:suppressLineNumbers w:val="0"/>
                    <w:bidi w:val="0"/>
                    <w:spacing w:before="0" w:beforeAutospacing="0" w:after="0" w:afterAutospacing="0"/>
                    <w:ind w:left="0" w:right="0"/>
                    <w:rPr>
                      <w:rFonts w:hint="eastAsia" w:eastAsia="宋体"/>
                      <w:b/>
                      <w:bCs/>
                      <w:color w:val="auto"/>
                      <w:sz w:val="20"/>
                      <w:szCs w:val="20"/>
                      <w:highlight w:val="none"/>
                      <w:lang w:val="en-US" w:eastAsia="zh-CN"/>
                    </w:rPr>
                  </w:pPr>
                  <w:r>
                    <w:rPr>
                      <w:rFonts w:hint="eastAsia"/>
                      <w:b/>
                      <w:bCs/>
                      <w:color w:val="auto"/>
                      <w:sz w:val="20"/>
                      <w:szCs w:val="20"/>
                      <w:highlight w:val="none"/>
                      <w:lang w:val="en-US" w:eastAsia="zh-CN"/>
                    </w:rPr>
                    <w:t>时期</w:t>
                  </w:r>
                </w:p>
              </w:tc>
              <w:tc>
                <w:tcPr>
                  <w:tcW w:w="665" w:type="dxa"/>
                  <w:vMerge w:val="restart"/>
                  <w:shd w:val="clear" w:color="auto" w:fill="auto"/>
                  <w:vAlign w:val="center"/>
                </w:tcPr>
                <w:p w14:paraId="25EFA398">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废水类别</w:t>
                  </w:r>
                </w:p>
              </w:tc>
              <w:tc>
                <w:tcPr>
                  <w:tcW w:w="931" w:type="dxa"/>
                  <w:vMerge w:val="restart"/>
                  <w:shd w:val="clear" w:color="auto" w:fill="auto"/>
                  <w:vAlign w:val="center"/>
                </w:tcPr>
                <w:p w14:paraId="26ADB3F6">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废水量m³/a</w:t>
                  </w:r>
                </w:p>
              </w:tc>
              <w:tc>
                <w:tcPr>
                  <w:tcW w:w="1184" w:type="dxa"/>
                  <w:vMerge w:val="restart"/>
                  <w:shd w:val="clear" w:color="auto" w:fill="auto"/>
                  <w:vAlign w:val="center"/>
                </w:tcPr>
                <w:p w14:paraId="425B2382">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污染物</w:t>
                  </w:r>
                </w:p>
              </w:tc>
              <w:tc>
                <w:tcPr>
                  <w:tcW w:w="1925" w:type="dxa"/>
                  <w:gridSpan w:val="2"/>
                  <w:shd w:val="clear" w:color="auto" w:fill="auto"/>
                  <w:vAlign w:val="center"/>
                </w:tcPr>
                <w:p w14:paraId="554B4616">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产生量</w:t>
                  </w:r>
                </w:p>
              </w:tc>
              <w:tc>
                <w:tcPr>
                  <w:tcW w:w="1897" w:type="dxa"/>
                  <w:gridSpan w:val="2"/>
                  <w:shd w:val="clear" w:color="auto" w:fill="auto"/>
                  <w:vAlign w:val="center"/>
                </w:tcPr>
                <w:p w14:paraId="2D453809">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经生化池处理后</w:t>
                  </w:r>
                </w:p>
              </w:tc>
              <w:tc>
                <w:tcPr>
                  <w:tcW w:w="2046" w:type="dxa"/>
                  <w:gridSpan w:val="2"/>
                  <w:shd w:val="clear" w:color="auto" w:fill="auto"/>
                  <w:vAlign w:val="center"/>
                </w:tcPr>
                <w:p w14:paraId="32830C4E">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eastAsia"/>
                      <w:b/>
                      <w:bCs/>
                      <w:color w:val="auto"/>
                      <w:sz w:val="20"/>
                      <w:szCs w:val="20"/>
                      <w:highlight w:val="none"/>
                      <w:lang w:val="en-US" w:eastAsia="zh-CN"/>
                    </w:rPr>
                    <w:t>北渡园区</w:t>
                  </w:r>
                  <w:r>
                    <w:rPr>
                      <w:rFonts w:hint="default"/>
                      <w:b/>
                      <w:bCs/>
                      <w:color w:val="auto"/>
                      <w:sz w:val="20"/>
                      <w:szCs w:val="20"/>
                      <w:highlight w:val="none"/>
                    </w:rPr>
                    <w:t>污水处理厂处理后</w:t>
                  </w:r>
                </w:p>
              </w:tc>
            </w:tr>
            <w:tr w14:paraId="0197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shd w:val="clear" w:color="auto" w:fill="auto"/>
                  <w:vAlign w:val="center"/>
                </w:tcPr>
                <w:p w14:paraId="1B986161">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665" w:type="dxa"/>
                  <w:vMerge w:val="continue"/>
                  <w:shd w:val="clear" w:color="auto" w:fill="auto"/>
                  <w:vAlign w:val="center"/>
                </w:tcPr>
                <w:p w14:paraId="3B890083">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931" w:type="dxa"/>
                  <w:vMerge w:val="continue"/>
                  <w:shd w:val="clear" w:color="auto" w:fill="auto"/>
                  <w:vAlign w:val="center"/>
                </w:tcPr>
                <w:p w14:paraId="1C91797B">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1184" w:type="dxa"/>
                  <w:vMerge w:val="continue"/>
                  <w:shd w:val="clear" w:color="auto" w:fill="auto"/>
                  <w:vAlign w:val="center"/>
                </w:tcPr>
                <w:p w14:paraId="3250A35B">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p>
              </w:tc>
              <w:tc>
                <w:tcPr>
                  <w:tcW w:w="1035" w:type="dxa"/>
                  <w:shd w:val="clear" w:color="auto" w:fill="auto"/>
                  <w:vAlign w:val="center"/>
                </w:tcPr>
                <w:p w14:paraId="46EDC467">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产生浓度mg/L</w:t>
                  </w:r>
                </w:p>
              </w:tc>
              <w:tc>
                <w:tcPr>
                  <w:tcW w:w="890" w:type="dxa"/>
                  <w:shd w:val="clear" w:color="auto" w:fill="auto"/>
                  <w:vAlign w:val="center"/>
                </w:tcPr>
                <w:p w14:paraId="5EBAE682">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产生量t/a</w:t>
                  </w:r>
                </w:p>
              </w:tc>
              <w:tc>
                <w:tcPr>
                  <w:tcW w:w="1036" w:type="dxa"/>
                  <w:shd w:val="clear" w:color="auto" w:fill="auto"/>
                  <w:vAlign w:val="center"/>
                </w:tcPr>
                <w:p w14:paraId="66F009E5">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排放浓度mg/L</w:t>
                  </w:r>
                </w:p>
              </w:tc>
              <w:tc>
                <w:tcPr>
                  <w:tcW w:w="861" w:type="dxa"/>
                  <w:shd w:val="clear" w:color="auto" w:fill="auto"/>
                  <w:vAlign w:val="center"/>
                </w:tcPr>
                <w:p w14:paraId="082CD511">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排放量t/a</w:t>
                  </w:r>
                </w:p>
              </w:tc>
              <w:tc>
                <w:tcPr>
                  <w:tcW w:w="1021" w:type="dxa"/>
                  <w:shd w:val="clear" w:color="auto" w:fill="auto"/>
                  <w:vAlign w:val="center"/>
                </w:tcPr>
                <w:p w14:paraId="16A6098E">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排放浓度mg/L</w:t>
                  </w:r>
                </w:p>
              </w:tc>
              <w:tc>
                <w:tcPr>
                  <w:tcW w:w="1025" w:type="dxa"/>
                  <w:shd w:val="clear" w:color="auto" w:fill="auto"/>
                  <w:vAlign w:val="center"/>
                </w:tcPr>
                <w:p w14:paraId="4B9CD405">
                  <w:pPr>
                    <w:pStyle w:val="91"/>
                    <w:keepNext w:val="0"/>
                    <w:keepLines w:val="0"/>
                    <w:suppressLineNumbers w:val="0"/>
                    <w:bidi w:val="0"/>
                    <w:spacing w:before="0" w:beforeAutospacing="0" w:after="0" w:afterAutospacing="0"/>
                    <w:ind w:left="0" w:right="0"/>
                    <w:rPr>
                      <w:rFonts w:hint="default"/>
                      <w:b/>
                      <w:bCs/>
                      <w:color w:val="auto"/>
                      <w:sz w:val="20"/>
                      <w:szCs w:val="20"/>
                      <w:highlight w:val="none"/>
                    </w:rPr>
                  </w:pPr>
                  <w:r>
                    <w:rPr>
                      <w:rFonts w:hint="default"/>
                      <w:b/>
                      <w:bCs/>
                      <w:color w:val="auto"/>
                      <w:sz w:val="20"/>
                      <w:szCs w:val="20"/>
                      <w:highlight w:val="none"/>
                    </w:rPr>
                    <w:t>排放量t/a</w:t>
                  </w:r>
                </w:p>
              </w:tc>
            </w:tr>
            <w:tr w14:paraId="2F62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63" w:type="dxa"/>
                  <w:vMerge w:val="restart"/>
                  <w:shd w:val="clear" w:color="auto" w:fill="auto"/>
                  <w:vAlign w:val="center"/>
                </w:tcPr>
                <w:p w14:paraId="49ED2FD4">
                  <w:pPr>
                    <w:pStyle w:val="91"/>
                    <w:keepNext w:val="0"/>
                    <w:keepLines w:val="0"/>
                    <w:suppressLineNumbers w:val="0"/>
                    <w:bidi w:val="0"/>
                    <w:spacing w:before="0" w:beforeAutospacing="0" w:after="0" w:afterAutospacing="0"/>
                    <w:ind w:left="0" w:right="0"/>
                    <w:rPr>
                      <w:rFonts w:hint="eastAsia" w:eastAsia="宋体"/>
                      <w:color w:val="auto"/>
                      <w:sz w:val="20"/>
                      <w:szCs w:val="20"/>
                      <w:highlight w:val="none"/>
                      <w:lang w:val="en-US" w:eastAsia="zh-CN"/>
                    </w:rPr>
                  </w:pPr>
                  <w:r>
                    <w:rPr>
                      <w:rFonts w:hint="eastAsia"/>
                      <w:color w:val="auto"/>
                      <w:sz w:val="20"/>
                      <w:szCs w:val="20"/>
                      <w:highlight w:val="none"/>
                      <w:lang w:val="en-US" w:eastAsia="zh-CN"/>
                    </w:rPr>
                    <w:t>远期</w:t>
                  </w:r>
                </w:p>
              </w:tc>
              <w:tc>
                <w:tcPr>
                  <w:tcW w:w="665" w:type="dxa"/>
                  <w:vMerge w:val="restart"/>
                  <w:shd w:val="clear" w:color="auto" w:fill="auto"/>
                  <w:vAlign w:val="center"/>
                </w:tcPr>
                <w:p w14:paraId="0FE1DA42">
                  <w:pPr>
                    <w:pStyle w:val="91"/>
                    <w:keepNext w:val="0"/>
                    <w:keepLines w:val="0"/>
                    <w:suppressLineNumbers w:val="0"/>
                    <w:bidi w:val="0"/>
                    <w:spacing w:before="0" w:beforeAutospacing="0" w:after="0" w:afterAutospacing="0"/>
                    <w:ind w:left="0" w:right="0"/>
                    <w:rPr>
                      <w:rFonts w:hint="default"/>
                      <w:color w:val="auto"/>
                      <w:sz w:val="20"/>
                      <w:szCs w:val="20"/>
                      <w:highlight w:val="none"/>
                      <w:lang w:val="en-US"/>
                    </w:rPr>
                  </w:pPr>
                  <w:r>
                    <w:rPr>
                      <w:rFonts w:hint="eastAsia"/>
                      <w:color w:val="auto"/>
                      <w:sz w:val="20"/>
                      <w:szCs w:val="20"/>
                      <w:highlight w:val="none"/>
                      <w:lang w:val="en-US" w:eastAsia="zh-CN"/>
                    </w:rPr>
                    <w:t>生活污水+餐饮废水+综合楼地面清洁废水</w:t>
                  </w:r>
                </w:p>
              </w:tc>
              <w:tc>
                <w:tcPr>
                  <w:tcW w:w="931" w:type="dxa"/>
                  <w:vMerge w:val="restart"/>
                  <w:shd w:val="clear" w:color="auto" w:fill="auto"/>
                  <w:vAlign w:val="center"/>
                </w:tcPr>
                <w:p w14:paraId="32271791">
                  <w:pPr>
                    <w:pStyle w:val="91"/>
                    <w:keepNext w:val="0"/>
                    <w:keepLines w:val="0"/>
                    <w:suppressLineNumbers w:val="0"/>
                    <w:bidi w:val="0"/>
                    <w:spacing w:before="0" w:beforeAutospacing="0" w:after="0" w:afterAutospacing="0"/>
                    <w:ind w:left="0" w:right="0"/>
                    <w:rPr>
                      <w:rFonts w:hint="default" w:eastAsia="宋体"/>
                      <w:color w:val="auto"/>
                      <w:sz w:val="20"/>
                      <w:szCs w:val="20"/>
                      <w:highlight w:val="none"/>
                      <w:lang w:val="en-US" w:eastAsia="zh-CN"/>
                    </w:rPr>
                  </w:pPr>
                  <w:r>
                    <w:rPr>
                      <w:rFonts w:hint="eastAsia"/>
                      <w:color w:val="auto"/>
                      <w:sz w:val="20"/>
                      <w:szCs w:val="20"/>
                      <w:highlight w:val="none"/>
                      <w:lang w:val="en-US" w:eastAsia="zh-CN"/>
                    </w:rPr>
                    <w:t>2968.28</w:t>
                  </w:r>
                </w:p>
              </w:tc>
              <w:tc>
                <w:tcPr>
                  <w:tcW w:w="1184" w:type="dxa"/>
                  <w:shd w:val="clear" w:color="auto" w:fill="auto"/>
                  <w:vAlign w:val="center"/>
                </w:tcPr>
                <w:p w14:paraId="6A8B0E58">
                  <w:pPr>
                    <w:pStyle w:val="9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0"/>
                      <w:szCs w:val="20"/>
                      <w:highlight w:val="none"/>
                      <w:lang w:val="en-US" w:eastAsia="zh-CN" w:bidi="ar-SA"/>
                    </w:rPr>
                  </w:pPr>
                  <w:r>
                    <w:rPr>
                      <w:rFonts w:hint="default"/>
                      <w:color w:val="auto"/>
                      <w:sz w:val="20"/>
                      <w:szCs w:val="20"/>
                      <w:highlight w:val="none"/>
                    </w:rPr>
                    <w:t>COD</w:t>
                  </w:r>
                </w:p>
              </w:tc>
              <w:tc>
                <w:tcPr>
                  <w:tcW w:w="1035" w:type="dxa"/>
                  <w:shd w:val="clear" w:color="auto" w:fill="auto"/>
                  <w:vAlign w:val="center"/>
                </w:tcPr>
                <w:p w14:paraId="769F478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600</w:t>
                  </w:r>
                </w:p>
              </w:tc>
              <w:tc>
                <w:tcPr>
                  <w:tcW w:w="890" w:type="dxa"/>
                  <w:shd w:val="clear" w:color="auto" w:fill="auto"/>
                  <w:vAlign w:val="center"/>
                </w:tcPr>
                <w:p w14:paraId="413C65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1.7810 </w:t>
                  </w:r>
                </w:p>
              </w:tc>
              <w:tc>
                <w:tcPr>
                  <w:tcW w:w="1036" w:type="dxa"/>
                  <w:shd w:val="clear" w:color="auto" w:fill="auto"/>
                  <w:vAlign w:val="center"/>
                </w:tcPr>
                <w:p w14:paraId="325D2CB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500</w:t>
                  </w:r>
                </w:p>
              </w:tc>
              <w:tc>
                <w:tcPr>
                  <w:tcW w:w="861" w:type="dxa"/>
                  <w:shd w:val="clear" w:color="auto" w:fill="auto"/>
                  <w:vAlign w:val="center"/>
                </w:tcPr>
                <w:p w14:paraId="107A685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1.4841 </w:t>
                  </w:r>
                </w:p>
              </w:tc>
              <w:tc>
                <w:tcPr>
                  <w:tcW w:w="1021" w:type="dxa"/>
                  <w:shd w:val="clear" w:color="auto" w:fill="auto"/>
                  <w:vAlign w:val="center"/>
                </w:tcPr>
                <w:p w14:paraId="6DC534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w:t>
                  </w:r>
                </w:p>
              </w:tc>
              <w:tc>
                <w:tcPr>
                  <w:tcW w:w="1025" w:type="dxa"/>
                  <w:shd w:val="clear" w:color="auto" w:fill="auto"/>
                  <w:vAlign w:val="center"/>
                </w:tcPr>
                <w:p w14:paraId="7C1C1A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0.1781 </w:t>
                  </w:r>
                </w:p>
              </w:tc>
            </w:tr>
            <w:tr w14:paraId="448E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63" w:type="dxa"/>
                  <w:vMerge w:val="continue"/>
                  <w:shd w:val="clear" w:color="auto" w:fill="auto"/>
                  <w:vAlign w:val="center"/>
                </w:tcPr>
                <w:p w14:paraId="70E63BCB">
                  <w:pPr>
                    <w:pStyle w:val="91"/>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p>
              </w:tc>
              <w:tc>
                <w:tcPr>
                  <w:tcW w:w="665" w:type="dxa"/>
                  <w:vMerge w:val="continue"/>
                  <w:shd w:val="clear" w:color="auto" w:fill="auto"/>
                  <w:vAlign w:val="center"/>
                </w:tcPr>
                <w:p w14:paraId="30F2E978">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0D1FAB6C">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0BAB156F">
                  <w:pPr>
                    <w:pStyle w:val="91"/>
                    <w:keepNext w:val="0"/>
                    <w:keepLines w:val="0"/>
                    <w:suppressLineNumbers w:val="0"/>
                    <w:bidi w:val="0"/>
                    <w:spacing w:before="0" w:beforeAutospacing="0" w:after="0" w:afterAutospacing="0"/>
                    <w:ind w:left="0" w:leftChars="0" w:right="0" w:rightChars="0"/>
                    <w:rPr>
                      <w:rFonts w:hint="eastAsia"/>
                      <w:color w:val="auto"/>
                      <w:sz w:val="20"/>
                      <w:szCs w:val="20"/>
                      <w:highlight w:val="none"/>
                      <w:lang w:val="en-US" w:eastAsia="zh-CN"/>
                    </w:rPr>
                  </w:pPr>
                  <w:r>
                    <w:rPr>
                      <w:rFonts w:hint="default"/>
                      <w:color w:val="auto"/>
                      <w:sz w:val="20"/>
                      <w:szCs w:val="20"/>
                      <w:highlight w:val="none"/>
                    </w:rPr>
                    <w:t>BOD</w:t>
                  </w:r>
                  <w:r>
                    <w:rPr>
                      <w:rFonts w:hint="default"/>
                      <w:color w:val="auto"/>
                      <w:sz w:val="20"/>
                      <w:szCs w:val="20"/>
                      <w:highlight w:val="none"/>
                      <w:vertAlign w:val="subscript"/>
                    </w:rPr>
                    <w:t>5</w:t>
                  </w:r>
                </w:p>
              </w:tc>
              <w:tc>
                <w:tcPr>
                  <w:tcW w:w="1035" w:type="dxa"/>
                  <w:shd w:val="clear" w:color="auto" w:fill="auto"/>
                  <w:vAlign w:val="center"/>
                </w:tcPr>
                <w:p w14:paraId="0941FA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400</w:t>
                  </w:r>
                </w:p>
              </w:tc>
              <w:tc>
                <w:tcPr>
                  <w:tcW w:w="890" w:type="dxa"/>
                  <w:shd w:val="clear" w:color="auto" w:fill="auto"/>
                  <w:vAlign w:val="center"/>
                </w:tcPr>
                <w:p w14:paraId="699580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1.1873 </w:t>
                  </w:r>
                </w:p>
              </w:tc>
              <w:tc>
                <w:tcPr>
                  <w:tcW w:w="1036" w:type="dxa"/>
                  <w:shd w:val="clear" w:color="auto" w:fill="auto"/>
                  <w:vAlign w:val="center"/>
                </w:tcPr>
                <w:p w14:paraId="71F44E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300</w:t>
                  </w:r>
                </w:p>
              </w:tc>
              <w:tc>
                <w:tcPr>
                  <w:tcW w:w="861" w:type="dxa"/>
                  <w:shd w:val="clear" w:color="auto" w:fill="auto"/>
                  <w:vAlign w:val="center"/>
                </w:tcPr>
                <w:p w14:paraId="34AE6F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0.8905 </w:t>
                  </w:r>
                </w:p>
              </w:tc>
              <w:tc>
                <w:tcPr>
                  <w:tcW w:w="1021" w:type="dxa"/>
                  <w:shd w:val="clear" w:color="auto" w:fill="auto"/>
                  <w:vAlign w:val="center"/>
                </w:tcPr>
                <w:p w14:paraId="42EB3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25" w:type="dxa"/>
                  <w:shd w:val="clear" w:color="auto" w:fill="auto"/>
                  <w:vAlign w:val="center"/>
                </w:tcPr>
                <w:p w14:paraId="3D4756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0.0594 </w:t>
                  </w:r>
                </w:p>
              </w:tc>
            </w:tr>
            <w:tr w14:paraId="46B9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63" w:type="dxa"/>
                  <w:vMerge w:val="continue"/>
                  <w:shd w:val="clear" w:color="auto" w:fill="auto"/>
                  <w:vAlign w:val="center"/>
                </w:tcPr>
                <w:p w14:paraId="0F4CA6C3">
                  <w:pPr>
                    <w:pStyle w:val="91"/>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p>
              </w:tc>
              <w:tc>
                <w:tcPr>
                  <w:tcW w:w="665" w:type="dxa"/>
                  <w:vMerge w:val="continue"/>
                  <w:shd w:val="clear" w:color="auto" w:fill="auto"/>
                  <w:vAlign w:val="center"/>
                </w:tcPr>
                <w:p w14:paraId="7F348CFD">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68F44B67">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1AFED7B4">
                  <w:pPr>
                    <w:pStyle w:val="91"/>
                    <w:keepNext w:val="0"/>
                    <w:keepLines w:val="0"/>
                    <w:suppressLineNumbers w:val="0"/>
                    <w:bidi w:val="0"/>
                    <w:spacing w:before="0" w:beforeAutospacing="0" w:after="0" w:afterAutospacing="0"/>
                    <w:ind w:left="0" w:leftChars="0" w:right="0" w:rightChars="0"/>
                    <w:rPr>
                      <w:rFonts w:hint="eastAsia"/>
                      <w:color w:val="auto"/>
                      <w:sz w:val="20"/>
                      <w:szCs w:val="20"/>
                      <w:highlight w:val="none"/>
                      <w:lang w:val="en-US" w:eastAsia="zh-CN"/>
                    </w:rPr>
                  </w:pPr>
                  <w:r>
                    <w:rPr>
                      <w:rFonts w:hint="default"/>
                      <w:color w:val="auto"/>
                      <w:sz w:val="20"/>
                      <w:szCs w:val="20"/>
                      <w:highlight w:val="none"/>
                    </w:rPr>
                    <w:t>SS</w:t>
                  </w:r>
                </w:p>
              </w:tc>
              <w:tc>
                <w:tcPr>
                  <w:tcW w:w="1035" w:type="dxa"/>
                  <w:shd w:val="clear" w:color="auto" w:fill="auto"/>
                  <w:vAlign w:val="center"/>
                </w:tcPr>
                <w:p w14:paraId="49811C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500</w:t>
                  </w:r>
                </w:p>
              </w:tc>
              <w:tc>
                <w:tcPr>
                  <w:tcW w:w="890" w:type="dxa"/>
                  <w:shd w:val="clear" w:color="auto" w:fill="auto"/>
                  <w:vAlign w:val="center"/>
                </w:tcPr>
                <w:p w14:paraId="050BD6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1.4841 </w:t>
                  </w:r>
                </w:p>
              </w:tc>
              <w:tc>
                <w:tcPr>
                  <w:tcW w:w="1036" w:type="dxa"/>
                  <w:shd w:val="clear" w:color="auto" w:fill="auto"/>
                  <w:vAlign w:val="center"/>
                </w:tcPr>
                <w:p w14:paraId="7305DB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400</w:t>
                  </w:r>
                </w:p>
              </w:tc>
              <w:tc>
                <w:tcPr>
                  <w:tcW w:w="861" w:type="dxa"/>
                  <w:shd w:val="clear" w:color="auto" w:fill="auto"/>
                  <w:vAlign w:val="center"/>
                </w:tcPr>
                <w:p w14:paraId="1D6D0B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1.1873 </w:t>
                  </w:r>
                </w:p>
              </w:tc>
              <w:tc>
                <w:tcPr>
                  <w:tcW w:w="1021" w:type="dxa"/>
                  <w:shd w:val="clear" w:color="auto" w:fill="auto"/>
                  <w:vAlign w:val="center"/>
                </w:tcPr>
                <w:p w14:paraId="24976F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025" w:type="dxa"/>
                  <w:shd w:val="clear" w:color="auto" w:fill="auto"/>
                  <w:vAlign w:val="center"/>
                </w:tcPr>
                <w:p w14:paraId="7695C8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0.0594 </w:t>
                  </w:r>
                </w:p>
              </w:tc>
            </w:tr>
            <w:tr w14:paraId="412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63" w:type="dxa"/>
                  <w:vMerge w:val="continue"/>
                  <w:shd w:val="clear" w:color="auto" w:fill="auto"/>
                  <w:vAlign w:val="center"/>
                </w:tcPr>
                <w:p w14:paraId="05B7EDA4">
                  <w:pPr>
                    <w:pStyle w:val="91"/>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p>
              </w:tc>
              <w:tc>
                <w:tcPr>
                  <w:tcW w:w="665" w:type="dxa"/>
                  <w:vMerge w:val="continue"/>
                  <w:shd w:val="clear" w:color="auto" w:fill="auto"/>
                  <w:vAlign w:val="center"/>
                </w:tcPr>
                <w:p w14:paraId="26A89B5B">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4BBF216D">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0B12ABDF">
                  <w:pPr>
                    <w:pStyle w:val="91"/>
                    <w:keepNext w:val="0"/>
                    <w:keepLines w:val="0"/>
                    <w:suppressLineNumbers w:val="0"/>
                    <w:bidi w:val="0"/>
                    <w:spacing w:before="0" w:beforeAutospacing="0" w:after="0" w:afterAutospacing="0"/>
                    <w:ind w:left="0" w:leftChars="0" w:right="0" w:rightChars="0"/>
                    <w:rPr>
                      <w:rFonts w:hint="eastAsia"/>
                      <w:color w:val="auto"/>
                      <w:sz w:val="20"/>
                      <w:szCs w:val="20"/>
                      <w:highlight w:val="none"/>
                      <w:lang w:val="en-US" w:eastAsia="zh-CN"/>
                    </w:rPr>
                  </w:pPr>
                  <w:r>
                    <w:rPr>
                      <w:rFonts w:hint="default"/>
                      <w:color w:val="auto"/>
                      <w:sz w:val="20"/>
                      <w:szCs w:val="20"/>
                      <w:highlight w:val="none"/>
                    </w:rPr>
                    <w:t>NH</w:t>
                  </w:r>
                  <w:r>
                    <w:rPr>
                      <w:rFonts w:hint="default"/>
                      <w:color w:val="auto"/>
                      <w:sz w:val="20"/>
                      <w:szCs w:val="20"/>
                      <w:highlight w:val="none"/>
                      <w:vertAlign w:val="subscript"/>
                    </w:rPr>
                    <w:t>3</w:t>
                  </w:r>
                  <w:r>
                    <w:rPr>
                      <w:rFonts w:hint="default"/>
                      <w:color w:val="auto"/>
                      <w:sz w:val="20"/>
                      <w:szCs w:val="20"/>
                      <w:highlight w:val="none"/>
                    </w:rPr>
                    <w:t>-N</w:t>
                  </w:r>
                </w:p>
              </w:tc>
              <w:tc>
                <w:tcPr>
                  <w:tcW w:w="1035" w:type="dxa"/>
                  <w:shd w:val="clear" w:color="auto" w:fill="auto"/>
                  <w:vAlign w:val="center"/>
                </w:tcPr>
                <w:p w14:paraId="2C1353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50</w:t>
                  </w:r>
                </w:p>
              </w:tc>
              <w:tc>
                <w:tcPr>
                  <w:tcW w:w="890" w:type="dxa"/>
                  <w:shd w:val="clear" w:color="auto" w:fill="auto"/>
                  <w:vAlign w:val="center"/>
                </w:tcPr>
                <w:p w14:paraId="6E94BC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0.1484 </w:t>
                  </w:r>
                </w:p>
              </w:tc>
              <w:tc>
                <w:tcPr>
                  <w:tcW w:w="1036" w:type="dxa"/>
                  <w:shd w:val="clear" w:color="auto" w:fill="auto"/>
                  <w:vAlign w:val="center"/>
                </w:tcPr>
                <w:p w14:paraId="149FF2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45</w:t>
                  </w:r>
                </w:p>
              </w:tc>
              <w:tc>
                <w:tcPr>
                  <w:tcW w:w="861" w:type="dxa"/>
                  <w:shd w:val="clear" w:color="auto" w:fill="auto"/>
                  <w:vAlign w:val="center"/>
                </w:tcPr>
                <w:p w14:paraId="73F202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0.1336 </w:t>
                  </w:r>
                </w:p>
              </w:tc>
              <w:tc>
                <w:tcPr>
                  <w:tcW w:w="1021" w:type="dxa"/>
                  <w:shd w:val="clear" w:color="auto" w:fill="auto"/>
                  <w:vAlign w:val="center"/>
                </w:tcPr>
                <w:p w14:paraId="6416F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w:t>
                  </w:r>
                </w:p>
              </w:tc>
              <w:tc>
                <w:tcPr>
                  <w:tcW w:w="1025" w:type="dxa"/>
                  <w:shd w:val="clear" w:color="auto" w:fill="auto"/>
                  <w:vAlign w:val="center"/>
                </w:tcPr>
                <w:p w14:paraId="3BA75C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0.0237 </w:t>
                  </w:r>
                </w:p>
              </w:tc>
            </w:tr>
            <w:tr w14:paraId="773F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63" w:type="dxa"/>
                  <w:vMerge w:val="continue"/>
                  <w:shd w:val="clear" w:color="auto" w:fill="auto"/>
                  <w:vAlign w:val="center"/>
                </w:tcPr>
                <w:p w14:paraId="51869399">
                  <w:pPr>
                    <w:pStyle w:val="91"/>
                    <w:keepNext w:val="0"/>
                    <w:keepLines w:val="0"/>
                    <w:suppressLineNumbers w:val="0"/>
                    <w:bidi w:val="0"/>
                    <w:spacing w:before="0" w:beforeAutospacing="0" w:after="0" w:afterAutospacing="0"/>
                    <w:ind w:left="0" w:right="0"/>
                    <w:rPr>
                      <w:rFonts w:hint="eastAsia"/>
                      <w:color w:val="auto"/>
                      <w:sz w:val="20"/>
                      <w:szCs w:val="20"/>
                      <w:highlight w:val="none"/>
                      <w:lang w:val="en-US" w:eastAsia="zh-CN"/>
                    </w:rPr>
                  </w:pPr>
                </w:p>
              </w:tc>
              <w:tc>
                <w:tcPr>
                  <w:tcW w:w="665" w:type="dxa"/>
                  <w:vMerge w:val="continue"/>
                  <w:shd w:val="clear" w:color="auto" w:fill="auto"/>
                  <w:vAlign w:val="center"/>
                </w:tcPr>
                <w:p w14:paraId="2A6FFBBE">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931" w:type="dxa"/>
                  <w:vMerge w:val="continue"/>
                  <w:shd w:val="clear" w:color="auto" w:fill="auto"/>
                  <w:vAlign w:val="center"/>
                </w:tcPr>
                <w:p w14:paraId="74C0A992">
                  <w:pPr>
                    <w:pStyle w:val="91"/>
                    <w:keepNext w:val="0"/>
                    <w:keepLines w:val="0"/>
                    <w:suppressLineNumbers w:val="0"/>
                    <w:bidi w:val="0"/>
                    <w:spacing w:before="0" w:beforeAutospacing="0" w:after="0" w:afterAutospacing="0"/>
                    <w:ind w:left="0" w:right="0"/>
                    <w:rPr>
                      <w:rFonts w:hint="default"/>
                      <w:color w:val="auto"/>
                      <w:sz w:val="20"/>
                      <w:szCs w:val="20"/>
                      <w:highlight w:val="none"/>
                    </w:rPr>
                  </w:pPr>
                </w:p>
              </w:tc>
              <w:tc>
                <w:tcPr>
                  <w:tcW w:w="1184" w:type="dxa"/>
                  <w:shd w:val="clear" w:color="auto" w:fill="auto"/>
                  <w:vAlign w:val="center"/>
                </w:tcPr>
                <w:p w14:paraId="7164CBCD">
                  <w:pPr>
                    <w:pStyle w:val="91"/>
                    <w:keepNext w:val="0"/>
                    <w:keepLines w:val="0"/>
                    <w:suppressLineNumbers w:val="0"/>
                    <w:bidi w:val="0"/>
                    <w:spacing w:before="0" w:beforeAutospacing="0" w:after="0" w:afterAutospacing="0"/>
                    <w:ind w:left="0" w:leftChars="0" w:right="0" w:rightChars="0"/>
                    <w:rPr>
                      <w:rFonts w:hint="eastAsia"/>
                      <w:color w:val="auto"/>
                      <w:sz w:val="20"/>
                      <w:szCs w:val="20"/>
                      <w:highlight w:val="none"/>
                      <w:lang w:val="en-US" w:eastAsia="zh-CN"/>
                    </w:rPr>
                  </w:pPr>
                  <w:r>
                    <w:rPr>
                      <w:rFonts w:hint="default"/>
                      <w:color w:val="auto"/>
                      <w:sz w:val="20"/>
                      <w:szCs w:val="20"/>
                      <w:highlight w:val="none"/>
                    </w:rPr>
                    <w:t>动植物油</w:t>
                  </w:r>
                </w:p>
              </w:tc>
              <w:tc>
                <w:tcPr>
                  <w:tcW w:w="1035" w:type="dxa"/>
                  <w:shd w:val="clear" w:color="auto" w:fill="auto"/>
                  <w:vAlign w:val="center"/>
                </w:tcPr>
                <w:p w14:paraId="269D15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150</w:t>
                  </w:r>
                </w:p>
              </w:tc>
              <w:tc>
                <w:tcPr>
                  <w:tcW w:w="890" w:type="dxa"/>
                  <w:shd w:val="clear" w:color="auto" w:fill="auto"/>
                  <w:vAlign w:val="center"/>
                </w:tcPr>
                <w:p w14:paraId="153619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0.4452 </w:t>
                  </w:r>
                </w:p>
              </w:tc>
              <w:tc>
                <w:tcPr>
                  <w:tcW w:w="1036" w:type="dxa"/>
                  <w:shd w:val="clear" w:color="auto" w:fill="auto"/>
                  <w:vAlign w:val="center"/>
                </w:tcPr>
                <w:p w14:paraId="01CA72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100</w:t>
                  </w:r>
                </w:p>
              </w:tc>
              <w:tc>
                <w:tcPr>
                  <w:tcW w:w="861" w:type="dxa"/>
                  <w:shd w:val="clear" w:color="auto" w:fill="auto"/>
                  <w:vAlign w:val="center"/>
                </w:tcPr>
                <w:p w14:paraId="1365AD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0"/>
                      <w:szCs w:val="20"/>
                      <w:u w:val="none"/>
                      <w:lang w:val="en-US" w:eastAsia="zh-CN" w:bidi="ar"/>
                    </w:rPr>
                    <w:t xml:space="preserve">0.2968 </w:t>
                  </w:r>
                </w:p>
              </w:tc>
              <w:tc>
                <w:tcPr>
                  <w:tcW w:w="1021" w:type="dxa"/>
                  <w:shd w:val="clear" w:color="auto" w:fill="auto"/>
                  <w:vAlign w:val="center"/>
                </w:tcPr>
                <w:p w14:paraId="73A5C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1025" w:type="dxa"/>
                  <w:shd w:val="clear" w:color="auto" w:fill="auto"/>
                  <w:vAlign w:val="center"/>
                </w:tcPr>
                <w:p w14:paraId="5CA05B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0.0089 </w:t>
                  </w:r>
                </w:p>
              </w:tc>
            </w:tr>
          </w:tbl>
          <w:p w14:paraId="7FCB292B">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b w:val="0"/>
                <w:bCs/>
                <w:color w:val="auto"/>
                <w:sz w:val="22"/>
                <w:szCs w:val="22"/>
                <w:highlight w:val="none"/>
                <w:lang w:val="en-US" w:eastAsia="zh-CN"/>
              </w:rPr>
            </w:pPr>
            <w:r>
              <w:rPr>
                <w:rFonts w:hint="eastAsia"/>
                <w:b w:val="0"/>
                <w:bCs/>
                <w:color w:val="auto"/>
                <w:sz w:val="22"/>
                <w:szCs w:val="22"/>
                <w:highlight w:val="none"/>
                <w:lang w:val="en-US" w:eastAsia="zh-CN"/>
              </w:rPr>
              <w:t>注：排放方式：近期，生活污水由于排入旗能电铝污水处理站处理达标后回用，不排入外环境；远期为间接排放（排入北渡园区污水处理厂处理）。</w:t>
            </w:r>
          </w:p>
          <w:p w14:paraId="57E9D8A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default"/>
                <w:b w:val="0"/>
                <w:bCs/>
                <w:color w:val="auto"/>
                <w:sz w:val="22"/>
                <w:szCs w:val="22"/>
                <w:highlight w:val="none"/>
                <w:lang w:val="en-US" w:eastAsia="zh-CN"/>
              </w:rPr>
            </w:pPr>
          </w:p>
          <w:p w14:paraId="044E631C">
            <w:pPr>
              <w:pStyle w:val="74"/>
              <w:keepNext w:val="0"/>
              <w:keepLines w:val="0"/>
              <w:suppressLineNumbers w:val="0"/>
              <w:bidi w:val="0"/>
              <w:spacing w:before="0" w:beforeAutospacing="0" w:after="0" w:afterAutospacing="0"/>
              <w:ind w:left="0" w:right="0"/>
              <w:rPr>
                <w:rFonts w:hint="default"/>
                <w:b/>
                <w:bCs/>
                <w:color w:val="auto"/>
                <w:lang w:val="en-US" w:eastAsia="zh-CN"/>
              </w:rPr>
            </w:pPr>
            <w:r>
              <w:rPr>
                <w:rFonts w:hint="eastAsia"/>
                <w:b/>
                <w:bCs/>
                <w:color w:val="auto"/>
                <w:lang w:val="en-US" w:eastAsia="zh-CN"/>
              </w:rPr>
              <w:t>（2）生产废水</w:t>
            </w:r>
          </w:p>
          <w:p w14:paraId="65A29428">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1）离合器清洗废水：项目生产的离合器会占有少量油污，采用清洗剂进行超声波清洗，本项目清洗剂为常温高效除油王，与水1:20溶解后使用，清洗剂年使用量为0.075t/a，需要1.5t/a的水进行溶解，产生清洗废水约为1.575t/a，产生的清洗废水集中收集，进入一套“酸碱中和+隔油”设备预处理。</w:t>
            </w:r>
          </w:p>
          <w:p w14:paraId="0622BDA0">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（2）</w:t>
            </w:r>
            <w:r>
              <w:rPr>
                <w:rFonts w:hint="default"/>
                <w:color w:val="auto"/>
                <w:lang w:val="en-US" w:eastAsia="zh-CN"/>
              </w:rPr>
              <w:t>乙醇废气处理</w:t>
            </w:r>
            <w:r>
              <w:rPr>
                <w:rFonts w:hint="eastAsia"/>
                <w:color w:val="auto"/>
                <w:lang w:val="en-US" w:eastAsia="zh-CN"/>
              </w:rPr>
              <w:t>废水</w:t>
            </w:r>
            <w:r>
              <w:rPr>
                <w:rFonts w:hint="default"/>
                <w:color w:val="auto"/>
                <w:lang w:val="en-US" w:eastAsia="zh-CN"/>
              </w:rPr>
              <w:t>：由于乙醇能与水任意比例混溶，本项目水喷淋吸收塔用水量约为2.5t/a，每月更换4次，每次新鲜用水量约为0.3t，吸收乙醇废气后产生的乙醇废气处理废液为25.2t/a（水14.4t/a+水喷淋下来的乙醇废气10.8t/a）。</w:t>
            </w:r>
          </w:p>
          <w:p w14:paraId="2983902B">
            <w:pPr>
              <w:pStyle w:val="7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（3）含油冷凝水：空压机运行产生的含油冷凝水量约为0.1t/a。</w:t>
            </w:r>
          </w:p>
          <w:p w14:paraId="010ECBC3">
            <w:pPr>
              <w:pStyle w:val="7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（4）冷却废水：根据前文核算，冷却废水产生量约为545t/a，主要污染物为溶解性总固体。</w:t>
            </w:r>
          </w:p>
          <w:p w14:paraId="19C2F07E">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（5）脱模剂冷凝水：根据前文核算，脱模剂冷凝水约为81.65t/a，根据脱模剂的成分可知，冷凝水的主要污染因子为石油类、COD。</w:t>
            </w:r>
          </w:p>
          <w:p w14:paraId="54CFC256">
            <w:pPr>
              <w:pStyle w:val="86"/>
              <w:keepNext w:val="0"/>
              <w:keepLines w:val="0"/>
              <w:suppressLineNumbers w:val="0"/>
              <w:bidi w:val="0"/>
              <w:spacing w:before="0" w:beforeAutospacing="0" w:after="0" w:afterAutospacing="0"/>
              <w:ind w:left="0" w:right="0"/>
              <w:rPr>
                <w:rFonts w:hint="default"/>
                <w:color w:val="auto"/>
                <w:lang w:val="en-US" w:eastAsia="zh-CN"/>
              </w:rPr>
            </w:pPr>
          </w:p>
          <w:p w14:paraId="6384D86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b w:val="0"/>
                <w:bCs/>
                <w:color w:val="auto"/>
                <w:sz w:val="26"/>
                <w:lang w:val="en-US" w:eastAsia="zh-CN"/>
              </w:rPr>
            </w:pPr>
            <w:r>
              <w:rPr>
                <w:rFonts w:hint="eastAsia"/>
                <w:b w:val="0"/>
                <w:bCs/>
                <w:color w:val="auto"/>
                <w:sz w:val="26"/>
                <w:lang w:val="en-US" w:eastAsia="zh-CN"/>
              </w:rPr>
              <w:t>表4.2-10-2  废水源强统计表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040"/>
              <w:gridCol w:w="1068"/>
              <w:gridCol w:w="1616"/>
              <w:gridCol w:w="1354"/>
              <w:gridCol w:w="2340"/>
              <w:gridCol w:w="950"/>
            </w:tblGrid>
            <w:tr w14:paraId="11EA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restart"/>
                  <w:vAlign w:val="center"/>
                </w:tcPr>
                <w:p w14:paraId="7DB14AE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产生环节</w:t>
                  </w:r>
                </w:p>
              </w:tc>
              <w:tc>
                <w:tcPr>
                  <w:tcW w:w="1040" w:type="dxa"/>
                  <w:vMerge w:val="restart"/>
                  <w:vAlign w:val="center"/>
                </w:tcPr>
                <w:p w14:paraId="22C58596">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污水量（m</w:t>
                  </w:r>
                  <w:r>
                    <w:rPr>
                      <w:rFonts w:hint="eastAsia"/>
                      <w:b w:val="0"/>
                      <w:bCs/>
                      <w:color w:val="auto"/>
                      <w:sz w:val="21"/>
                      <w:szCs w:val="21"/>
                      <w:vertAlign w:val="superscript"/>
                      <w:lang w:val="en-US" w:eastAsia="zh-CN"/>
                    </w:rPr>
                    <w:t>3</w:t>
                  </w:r>
                  <w:r>
                    <w:rPr>
                      <w:rFonts w:hint="eastAsia"/>
                      <w:b w:val="0"/>
                      <w:bCs/>
                      <w:color w:val="auto"/>
                      <w:sz w:val="21"/>
                      <w:szCs w:val="21"/>
                      <w:vertAlign w:val="baseline"/>
                      <w:lang w:val="en-US" w:eastAsia="zh-CN"/>
                    </w:rPr>
                    <w:t>/a）</w:t>
                  </w:r>
                </w:p>
              </w:tc>
              <w:tc>
                <w:tcPr>
                  <w:tcW w:w="1068" w:type="dxa"/>
                  <w:vMerge w:val="restart"/>
                  <w:vAlign w:val="center"/>
                </w:tcPr>
                <w:p w14:paraId="72707E0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污染物</w:t>
                  </w:r>
                </w:p>
              </w:tc>
              <w:tc>
                <w:tcPr>
                  <w:tcW w:w="2970" w:type="dxa"/>
                  <w:gridSpan w:val="2"/>
                  <w:vAlign w:val="center"/>
                </w:tcPr>
                <w:p w14:paraId="6C5A063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参考依据及数值</w:t>
                  </w:r>
                </w:p>
              </w:tc>
              <w:tc>
                <w:tcPr>
                  <w:tcW w:w="3290" w:type="dxa"/>
                  <w:gridSpan w:val="2"/>
                  <w:vAlign w:val="center"/>
                </w:tcPr>
                <w:p w14:paraId="0099A28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污染物产生量</w:t>
                  </w:r>
                </w:p>
              </w:tc>
            </w:tr>
            <w:tr w14:paraId="7811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6B7BD634">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1F171593">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68" w:type="dxa"/>
                  <w:vMerge w:val="continue"/>
                  <w:vAlign w:val="center"/>
                </w:tcPr>
                <w:p w14:paraId="45031861">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eastAsia"/>
                      <w:b w:val="0"/>
                      <w:bCs/>
                      <w:color w:val="auto"/>
                      <w:sz w:val="21"/>
                      <w:szCs w:val="21"/>
                      <w:vertAlign w:val="baseline"/>
                      <w:lang w:val="en-US" w:eastAsia="zh-CN"/>
                    </w:rPr>
                  </w:pPr>
                </w:p>
              </w:tc>
              <w:tc>
                <w:tcPr>
                  <w:tcW w:w="1616" w:type="dxa"/>
                  <w:vAlign w:val="center"/>
                </w:tcPr>
                <w:p w14:paraId="6A40ED16">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依据来源</w:t>
                  </w:r>
                </w:p>
              </w:tc>
              <w:tc>
                <w:tcPr>
                  <w:tcW w:w="1354" w:type="dxa"/>
                  <w:vAlign w:val="center"/>
                </w:tcPr>
                <w:p w14:paraId="4209752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产生浓度</w:t>
                  </w:r>
                </w:p>
              </w:tc>
              <w:tc>
                <w:tcPr>
                  <w:tcW w:w="2340" w:type="dxa"/>
                  <w:vAlign w:val="center"/>
                </w:tcPr>
                <w:p w14:paraId="1B26CA1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产生浓度取值mg/L</w:t>
                  </w:r>
                </w:p>
              </w:tc>
              <w:tc>
                <w:tcPr>
                  <w:tcW w:w="950" w:type="dxa"/>
                  <w:vAlign w:val="center"/>
                </w:tcPr>
                <w:p w14:paraId="71873C91">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产生量t/a</w:t>
                  </w:r>
                </w:p>
              </w:tc>
            </w:tr>
            <w:tr w14:paraId="5531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restart"/>
                  <w:vAlign w:val="center"/>
                </w:tcPr>
                <w:p w14:paraId="38099CE0">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、离合器清洗</w:t>
                  </w:r>
                </w:p>
              </w:tc>
              <w:tc>
                <w:tcPr>
                  <w:tcW w:w="1040" w:type="dxa"/>
                  <w:vMerge w:val="restart"/>
                  <w:vAlign w:val="center"/>
                </w:tcPr>
                <w:p w14:paraId="4397367A">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ascii="Times New Roman" w:hAnsi="Times New Roman" w:eastAsia="宋体" w:cs="Times New Roman"/>
                      <w:b w:val="0"/>
                      <w:bCs/>
                      <w:color w:val="auto"/>
                      <w:kern w:val="2"/>
                      <w:sz w:val="21"/>
                      <w:szCs w:val="21"/>
                      <w:vertAlign w:val="baseline"/>
                      <w:lang w:val="en-US" w:eastAsia="zh-CN" w:bidi="ar-SA"/>
                    </w:rPr>
                  </w:pPr>
                  <w:r>
                    <w:rPr>
                      <w:rFonts w:hint="eastAsia" w:cs="Times New Roman"/>
                      <w:b w:val="0"/>
                      <w:bCs/>
                      <w:color w:val="auto"/>
                      <w:kern w:val="2"/>
                      <w:sz w:val="21"/>
                      <w:szCs w:val="21"/>
                      <w:vertAlign w:val="baseline"/>
                      <w:lang w:val="en-US" w:eastAsia="zh-CN" w:bidi="ar-SA"/>
                    </w:rPr>
                    <w:t>1.575</w:t>
                  </w:r>
                </w:p>
              </w:tc>
              <w:tc>
                <w:tcPr>
                  <w:tcW w:w="1068" w:type="dxa"/>
                  <w:vAlign w:val="center"/>
                </w:tcPr>
                <w:p w14:paraId="3ABC3AB6">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pH(无量纲）</w:t>
                  </w:r>
                </w:p>
              </w:tc>
              <w:tc>
                <w:tcPr>
                  <w:tcW w:w="1616" w:type="dxa"/>
                  <w:vMerge w:val="restart"/>
                  <w:vAlign w:val="center"/>
                </w:tcPr>
                <w:p w14:paraId="0C8B3ADA">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《金属表面处理清洗废水治理》以及同类型企业生产废水、处理工程实例</w:t>
                  </w:r>
                </w:p>
              </w:tc>
              <w:tc>
                <w:tcPr>
                  <w:tcW w:w="1354" w:type="dxa"/>
                  <w:vAlign w:val="center"/>
                </w:tcPr>
                <w:p w14:paraId="30D9FE20">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7-8</w:t>
                  </w:r>
                </w:p>
              </w:tc>
              <w:tc>
                <w:tcPr>
                  <w:tcW w:w="2340" w:type="dxa"/>
                  <w:vAlign w:val="center"/>
                </w:tcPr>
                <w:p w14:paraId="4A8820A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w:t>
                  </w:r>
                </w:p>
              </w:tc>
              <w:tc>
                <w:tcPr>
                  <w:tcW w:w="950" w:type="dxa"/>
                  <w:vAlign w:val="center"/>
                </w:tcPr>
                <w:p w14:paraId="6757FEE5">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14:paraId="673F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257D369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4169282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p>
              </w:tc>
              <w:tc>
                <w:tcPr>
                  <w:tcW w:w="1068" w:type="dxa"/>
                  <w:vAlign w:val="center"/>
                </w:tcPr>
                <w:p w14:paraId="634C5B6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COD</w:t>
                  </w:r>
                </w:p>
              </w:tc>
              <w:tc>
                <w:tcPr>
                  <w:tcW w:w="1616" w:type="dxa"/>
                  <w:vMerge w:val="continue"/>
                  <w:vAlign w:val="center"/>
                </w:tcPr>
                <w:p w14:paraId="78505B35">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eastAsia"/>
                      <w:b w:val="0"/>
                      <w:bCs/>
                      <w:color w:val="auto"/>
                      <w:sz w:val="21"/>
                      <w:szCs w:val="21"/>
                      <w:vertAlign w:val="baseline"/>
                      <w:lang w:val="en-US" w:eastAsia="zh-CN"/>
                    </w:rPr>
                  </w:pPr>
                </w:p>
              </w:tc>
              <w:tc>
                <w:tcPr>
                  <w:tcW w:w="1354" w:type="dxa"/>
                  <w:vAlign w:val="center"/>
                </w:tcPr>
                <w:p w14:paraId="03CE49B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800-1800</w:t>
                  </w:r>
                </w:p>
              </w:tc>
              <w:tc>
                <w:tcPr>
                  <w:tcW w:w="2340" w:type="dxa"/>
                  <w:vAlign w:val="center"/>
                </w:tcPr>
                <w:p w14:paraId="3D7B1D3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ascii="Times New Roman" w:hAnsi="Times New Roman" w:eastAsia="宋体" w:cs="Times New Roman"/>
                      <w:b w:val="0"/>
                      <w:bCs/>
                      <w:color w:val="auto"/>
                      <w:kern w:val="2"/>
                      <w:sz w:val="21"/>
                      <w:szCs w:val="21"/>
                      <w:vertAlign w:val="baseline"/>
                      <w:lang w:val="en-US" w:eastAsia="zh-CN" w:bidi="ar-SA"/>
                    </w:rPr>
                  </w:pPr>
                  <w:r>
                    <w:rPr>
                      <w:rFonts w:hint="eastAsia"/>
                      <w:b w:val="0"/>
                      <w:bCs/>
                      <w:color w:val="auto"/>
                      <w:sz w:val="21"/>
                      <w:szCs w:val="21"/>
                      <w:vertAlign w:val="baseline"/>
                      <w:lang w:val="en-US" w:eastAsia="zh-CN"/>
                    </w:rPr>
                    <w:t>1500</w:t>
                  </w:r>
                </w:p>
              </w:tc>
              <w:tc>
                <w:tcPr>
                  <w:tcW w:w="950" w:type="dxa"/>
                  <w:vAlign w:val="center"/>
                </w:tcPr>
                <w:p w14:paraId="375584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0.0024 </w:t>
                  </w:r>
                </w:p>
              </w:tc>
            </w:tr>
            <w:tr w14:paraId="7370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23BB589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634D2530">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p>
              </w:tc>
              <w:tc>
                <w:tcPr>
                  <w:tcW w:w="1068" w:type="dxa"/>
                  <w:vAlign w:val="center"/>
                </w:tcPr>
                <w:p w14:paraId="5DFA8DB4">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SS</w:t>
                  </w:r>
                </w:p>
              </w:tc>
              <w:tc>
                <w:tcPr>
                  <w:tcW w:w="1616" w:type="dxa"/>
                  <w:vMerge w:val="continue"/>
                  <w:vAlign w:val="center"/>
                </w:tcPr>
                <w:p w14:paraId="186A1B4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354" w:type="dxa"/>
                  <w:vAlign w:val="center"/>
                </w:tcPr>
                <w:p w14:paraId="1DD9F5C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800</w:t>
                  </w:r>
                </w:p>
              </w:tc>
              <w:tc>
                <w:tcPr>
                  <w:tcW w:w="2340" w:type="dxa"/>
                  <w:vAlign w:val="center"/>
                </w:tcPr>
                <w:p w14:paraId="346588D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800</w:t>
                  </w:r>
                </w:p>
              </w:tc>
              <w:tc>
                <w:tcPr>
                  <w:tcW w:w="950" w:type="dxa"/>
                  <w:vAlign w:val="center"/>
                </w:tcPr>
                <w:p w14:paraId="4C2CB7B6">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0.0013 </w:t>
                  </w:r>
                </w:p>
              </w:tc>
            </w:tr>
            <w:tr w14:paraId="6142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695D59F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72896F26">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p>
              </w:tc>
              <w:tc>
                <w:tcPr>
                  <w:tcW w:w="1068" w:type="dxa"/>
                  <w:vAlign w:val="center"/>
                </w:tcPr>
                <w:p w14:paraId="5B1156C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NH</w:t>
                  </w:r>
                  <w:r>
                    <w:rPr>
                      <w:rFonts w:hint="eastAsia"/>
                      <w:b w:val="0"/>
                      <w:bCs/>
                      <w:color w:val="auto"/>
                      <w:sz w:val="21"/>
                      <w:szCs w:val="21"/>
                      <w:vertAlign w:val="subscript"/>
                      <w:lang w:val="en-US" w:eastAsia="zh-CN"/>
                    </w:rPr>
                    <w:t>3</w:t>
                  </w:r>
                  <w:r>
                    <w:rPr>
                      <w:rFonts w:hint="eastAsia"/>
                      <w:b w:val="0"/>
                      <w:bCs/>
                      <w:color w:val="auto"/>
                      <w:sz w:val="21"/>
                      <w:szCs w:val="21"/>
                      <w:vertAlign w:val="baseline"/>
                      <w:lang w:val="en-US" w:eastAsia="zh-CN"/>
                    </w:rPr>
                    <w:t>-N</w:t>
                  </w:r>
                </w:p>
              </w:tc>
              <w:tc>
                <w:tcPr>
                  <w:tcW w:w="1616" w:type="dxa"/>
                  <w:vMerge w:val="continue"/>
                  <w:vAlign w:val="center"/>
                </w:tcPr>
                <w:p w14:paraId="51EAAA3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354" w:type="dxa"/>
                  <w:vAlign w:val="center"/>
                </w:tcPr>
                <w:p w14:paraId="554AD144">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50</w:t>
                  </w:r>
                </w:p>
              </w:tc>
              <w:tc>
                <w:tcPr>
                  <w:tcW w:w="2340" w:type="dxa"/>
                  <w:vAlign w:val="center"/>
                </w:tcPr>
                <w:p w14:paraId="3EE4D72A">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50</w:t>
                  </w:r>
                </w:p>
              </w:tc>
              <w:tc>
                <w:tcPr>
                  <w:tcW w:w="950" w:type="dxa"/>
                  <w:vAlign w:val="center"/>
                </w:tcPr>
                <w:p w14:paraId="4FE68244">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0.0001 </w:t>
                  </w:r>
                </w:p>
              </w:tc>
            </w:tr>
            <w:tr w14:paraId="490B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32BECD4B">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667C9F3C">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p>
              </w:tc>
              <w:tc>
                <w:tcPr>
                  <w:tcW w:w="1068" w:type="dxa"/>
                  <w:vAlign w:val="center"/>
                </w:tcPr>
                <w:p w14:paraId="3C0918F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石油类</w:t>
                  </w:r>
                </w:p>
              </w:tc>
              <w:tc>
                <w:tcPr>
                  <w:tcW w:w="1616" w:type="dxa"/>
                  <w:vMerge w:val="continue"/>
                  <w:vAlign w:val="center"/>
                </w:tcPr>
                <w:p w14:paraId="70F4FD15">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354" w:type="dxa"/>
                  <w:vAlign w:val="center"/>
                </w:tcPr>
                <w:p w14:paraId="55FAF97B">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80-150</w:t>
                  </w:r>
                </w:p>
              </w:tc>
              <w:tc>
                <w:tcPr>
                  <w:tcW w:w="2340" w:type="dxa"/>
                  <w:vAlign w:val="center"/>
                </w:tcPr>
                <w:p w14:paraId="2C41AE4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120</w:t>
                  </w:r>
                </w:p>
              </w:tc>
              <w:tc>
                <w:tcPr>
                  <w:tcW w:w="950" w:type="dxa"/>
                  <w:vAlign w:val="center"/>
                </w:tcPr>
                <w:p w14:paraId="64EA7274">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0.0002 </w:t>
                  </w:r>
                </w:p>
              </w:tc>
            </w:tr>
            <w:tr w14:paraId="089D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restart"/>
                  <w:vAlign w:val="center"/>
                </w:tcPr>
                <w:p w14:paraId="06DE821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空压机冷凝水</w:t>
                  </w:r>
                </w:p>
              </w:tc>
              <w:tc>
                <w:tcPr>
                  <w:tcW w:w="1040" w:type="dxa"/>
                  <w:vMerge w:val="restart"/>
                  <w:vAlign w:val="center"/>
                </w:tcPr>
                <w:p w14:paraId="65FBD405">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0.1</w:t>
                  </w:r>
                </w:p>
              </w:tc>
              <w:tc>
                <w:tcPr>
                  <w:tcW w:w="1068" w:type="dxa"/>
                  <w:vAlign w:val="center"/>
                </w:tcPr>
                <w:p w14:paraId="21DB40E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COD</w:t>
                  </w:r>
                </w:p>
              </w:tc>
              <w:tc>
                <w:tcPr>
                  <w:tcW w:w="1616" w:type="dxa"/>
                  <w:vMerge w:val="restart"/>
                  <w:vAlign w:val="center"/>
                </w:tcPr>
                <w:p w14:paraId="4BF4E398">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default"/>
                      <w:b w:val="0"/>
                      <w:bCs/>
                      <w:color w:val="auto"/>
                      <w:sz w:val="21"/>
                      <w:szCs w:val="21"/>
                      <w:vertAlign w:val="baseline"/>
                      <w:lang w:val="en-US" w:eastAsia="zh-CN"/>
                    </w:rPr>
                    <w:t>行业经验和文献数据的典型范围</w:t>
                  </w:r>
                </w:p>
              </w:tc>
              <w:tc>
                <w:tcPr>
                  <w:tcW w:w="1354" w:type="dxa"/>
                  <w:vAlign w:val="center"/>
                </w:tcPr>
                <w:p w14:paraId="4E1F0743">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500-5000</w:t>
                  </w:r>
                </w:p>
              </w:tc>
              <w:tc>
                <w:tcPr>
                  <w:tcW w:w="2340" w:type="dxa"/>
                  <w:vAlign w:val="center"/>
                </w:tcPr>
                <w:p w14:paraId="0169F1E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5000</w:t>
                  </w:r>
                </w:p>
              </w:tc>
              <w:tc>
                <w:tcPr>
                  <w:tcW w:w="950" w:type="dxa"/>
                  <w:vAlign w:val="center"/>
                </w:tcPr>
                <w:p w14:paraId="7C5FA9D3">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0.0005 </w:t>
                  </w:r>
                </w:p>
              </w:tc>
            </w:tr>
            <w:tr w14:paraId="3F3A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7064345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70ADC3A4">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68" w:type="dxa"/>
                  <w:vAlign w:val="center"/>
                </w:tcPr>
                <w:p w14:paraId="5C96A70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石油类</w:t>
                  </w:r>
                </w:p>
              </w:tc>
              <w:tc>
                <w:tcPr>
                  <w:tcW w:w="1616" w:type="dxa"/>
                  <w:vMerge w:val="continue"/>
                  <w:vAlign w:val="center"/>
                </w:tcPr>
                <w:p w14:paraId="798F397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p>
              </w:tc>
              <w:tc>
                <w:tcPr>
                  <w:tcW w:w="1354" w:type="dxa"/>
                  <w:vAlign w:val="center"/>
                </w:tcPr>
                <w:p w14:paraId="51DF27E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50-1000</w:t>
                  </w:r>
                </w:p>
              </w:tc>
              <w:tc>
                <w:tcPr>
                  <w:tcW w:w="2340" w:type="dxa"/>
                  <w:vAlign w:val="center"/>
                </w:tcPr>
                <w:p w14:paraId="462EF50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600</w:t>
                  </w:r>
                </w:p>
              </w:tc>
              <w:tc>
                <w:tcPr>
                  <w:tcW w:w="950" w:type="dxa"/>
                  <w:vAlign w:val="center"/>
                </w:tcPr>
                <w:p w14:paraId="5C346DC0">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0.0001 </w:t>
                  </w:r>
                </w:p>
              </w:tc>
            </w:tr>
            <w:tr w14:paraId="0648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Align w:val="center"/>
                </w:tcPr>
                <w:p w14:paraId="7A18D8AE">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乙醇废气处理废水</w:t>
                  </w:r>
                </w:p>
              </w:tc>
              <w:tc>
                <w:tcPr>
                  <w:tcW w:w="1040" w:type="dxa"/>
                  <w:vAlign w:val="center"/>
                </w:tcPr>
                <w:p w14:paraId="643D057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25.2</w:t>
                  </w:r>
                </w:p>
              </w:tc>
              <w:tc>
                <w:tcPr>
                  <w:tcW w:w="1068" w:type="dxa"/>
                  <w:vAlign w:val="center"/>
                </w:tcPr>
                <w:p w14:paraId="47C046B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r>
                    <w:rPr>
                      <w:rFonts w:hint="eastAsia"/>
                      <w:b w:val="0"/>
                      <w:bCs/>
                      <w:color w:val="auto"/>
                      <w:sz w:val="21"/>
                      <w:szCs w:val="21"/>
                      <w:vertAlign w:val="baseline"/>
                      <w:lang w:val="en-US" w:eastAsia="zh-CN"/>
                    </w:rPr>
                    <w:t>COD</w:t>
                  </w:r>
                </w:p>
              </w:tc>
              <w:tc>
                <w:tcPr>
                  <w:tcW w:w="1616" w:type="dxa"/>
                  <w:vAlign w:val="center"/>
                </w:tcPr>
                <w:p w14:paraId="61BDFD8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default"/>
                      <w:b w:val="0"/>
                      <w:bCs/>
                      <w:color w:val="auto"/>
                      <w:sz w:val="21"/>
                      <w:szCs w:val="21"/>
                      <w:vertAlign w:val="baseline"/>
                      <w:lang w:val="en-US" w:eastAsia="zh-CN"/>
                    </w:rPr>
                    <w:t>行业经验和文献数据的典型范围</w:t>
                  </w:r>
                </w:p>
              </w:tc>
              <w:tc>
                <w:tcPr>
                  <w:tcW w:w="1354" w:type="dxa"/>
                  <w:vAlign w:val="center"/>
                </w:tcPr>
                <w:p w14:paraId="6D64C885">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w:t>
                  </w:r>
                </w:p>
              </w:tc>
              <w:tc>
                <w:tcPr>
                  <w:tcW w:w="2340" w:type="dxa"/>
                  <w:vAlign w:val="center"/>
                </w:tcPr>
                <w:p w14:paraId="0EA0E523">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20000</w:t>
                  </w:r>
                </w:p>
              </w:tc>
              <w:tc>
                <w:tcPr>
                  <w:tcW w:w="950" w:type="dxa"/>
                  <w:vAlign w:val="center"/>
                </w:tcPr>
                <w:p w14:paraId="4BF253EE">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0.5040 </w:t>
                  </w:r>
                </w:p>
              </w:tc>
            </w:tr>
            <w:tr w14:paraId="6405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Align w:val="center"/>
                </w:tcPr>
                <w:p w14:paraId="716085AF">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冷却废水</w:t>
                  </w:r>
                </w:p>
              </w:tc>
              <w:tc>
                <w:tcPr>
                  <w:tcW w:w="1040" w:type="dxa"/>
                  <w:vAlign w:val="center"/>
                </w:tcPr>
                <w:p w14:paraId="5056A22A">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545</w:t>
                  </w:r>
                </w:p>
              </w:tc>
              <w:tc>
                <w:tcPr>
                  <w:tcW w:w="1068" w:type="dxa"/>
                  <w:vAlign w:val="center"/>
                </w:tcPr>
                <w:p w14:paraId="173E8964">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TDS</w:t>
                  </w:r>
                </w:p>
              </w:tc>
              <w:tc>
                <w:tcPr>
                  <w:tcW w:w="1616" w:type="dxa"/>
                  <w:vAlign w:val="center"/>
                </w:tcPr>
                <w:p w14:paraId="2F54BD4B">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r>
                    <w:rPr>
                      <w:rFonts w:hint="default"/>
                      <w:b w:val="0"/>
                      <w:bCs/>
                      <w:color w:val="auto"/>
                      <w:sz w:val="21"/>
                      <w:szCs w:val="21"/>
                      <w:vertAlign w:val="baseline"/>
                      <w:lang w:val="en-US" w:eastAsia="zh-CN"/>
                    </w:rPr>
                    <w:t>行业经验和文献数据的典型范围</w:t>
                  </w:r>
                </w:p>
              </w:tc>
              <w:tc>
                <w:tcPr>
                  <w:tcW w:w="1354" w:type="dxa"/>
                  <w:vAlign w:val="center"/>
                </w:tcPr>
                <w:p w14:paraId="35285A3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1000-5000</w:t>
                  </w:r>
                </w:p>
              </w:tc>
              <w:tc>
                <w:tcPr>
                  <w:tcW w:w="2340" w:type="dxa"/>
                  <w:vAlign w:val="center"/>
                </w:tcPr>
                <w:p w14:paraId="508A2A28">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1000</w:t>
                  </w:r>
                </w:p>
              </w:tc>
              <w:tc>
                <w:tcPr>
                  <w:tcW w:w="950" w:type="dxa"/>
                  <w:vAlign w:val="center"/>
                </w:tcPr>
                <w:p w14:paraId="7014A3D6">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eastAsia" w:ascii="Times New Roman" w:hAnsi="Times New Roman" w:eastAsia="宋体" w:cs="Times New Roman"/>
                      <w:i w:val="0"/>
                      <w:iCs w:val="0"/>
                      <w:color w:val="auto"/>
                      <w:kern w:val="0"/>
                      <w:sz w:val="21"/>
                      <w:szCs w:val="21"/>
                      <w:u w:val="none"/>
                      <w:lang w:val="en-US" w:eastAsia="zh-CN" w:bidi="ar"/>
                    </w:rPr>
                    <w:t>0.5450</w:t>
                  </w:r>
                  <w:r>
                    <w:rPr>
                      <w:rFonts w:hint="default" w:ascii="Times New Roman" w:hAnsi="Times New Roman" w:eastAsia="宋体" w:cs="Times New Roman"/>
                      <w:i w:val="0"/>
                      <w:iCs w:val="0"/>
                      <w:color w:val="auto"/>
                      <w:kern w:val="0"/>
                      <w:sz w:val="21"/>
                      <w:szCs w:val="21"/>
                      <w:u w:val="none"/>
                      <w:lang w:val="en-US" w:eastAsia="zh-CN" w:bidi="ar"/>
                    </w:rPr>
                    <w:t xml:space="preserve"> </w:t>
                  </w:r>
                </w:p>
              </w:tc>
            </w:tr>
            <w:tr w14:paraId="783A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restart"/>
                  <w:vAlign w:val="center"/>
                </w:tcPr>
                <w:p w14:paraId="754C99A1">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脱模剂冷凝水</w:t>
                  </w:r>
                </w:p>
              </w:tc>
              <w:tc>
                <w:tcPr>
                  <w:tcW w:w="1040" w:type="dxa"/>
                  <w:vMerge w:val="restart"/>
                  <w:vAlign w:val="center"/>
                </w:tcPr>
                <w:p w14:paraId="0833F8D0">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0.1</w:t>
                  </w:r>
                </w:p>
              </w:tc>
              <w:tc>
                <w:tcPr>
                  <w:tcW w:w="1068" w:type="dxa"/>
                  <w:vAlign w:val="center"/>
                </w:tcPr>
                <w:p w14:paraId="5BF769D8">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石油类</w:t>
                  </w:r>
                </w:p>
              </w:tc>
              <w:tc>
                <w:tcPr>
                  <w:tcW w:w="1616" w:type="dxa"/>
                  <w:vMerge w:val="restart"/>
                  <w:vAlign w:val="center"/>
                </w:tcPr>
                <w:p w14:paraId="001B9FCA">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r>
                    <w:rPr>
                      <w:rFonts w:hint="default"/>
                      <w:b w:val="0"/>
                      <w:bCs/>
                      <w:color w:val="auto"/>
                      <w:sz w:val="21"/>
                      <w:szCs w:val="21"/>
                      <w:vertAlign w:val="baseline"/>
                      <w:lang w:val="en-US" w:eastAsia="zh-CN"/>
                    </w:rPr>
                    <w:t>行业经验和文献数据的典型范围</w:t>
                  </w:r>
                </w:p>
              </w:tc>
              <w:tc>
                <w:tcPr>
                  <w:tcW w:w="1354" w:type="dxa"/>
                  <w:vAlign w:val="center"/>
                </w:tcPr>
                <w:p w14:paraId="63362152">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100~800</w:t>
                  </w:r>
                </w:p>
              </w:tc>
              <w:tc>
                <w:tcPr>
                  <w:tcW w:w="2340" w:type="dxa"/>
                  <w:vAlign w:val="center"/>
                </w:tcPr>
                <w:p w14:paraId="53F1439D">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800</w:t>
                  </w:r>
                </w:p>
              </w:tc>
              <w:tc>
                <w:tcPr>
                  <w:tcW w:w="950" w:type="dxa"/>
                  <w:vAlign w:val="center"/>
                </w:tcPr>
                <w:p w14:paraId="3679A1B6">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0.0001 </w:t>
                  </w:r>
                </w:p>
              </w:tc>
            </w:tr>
            <w:tr w14:paraId="4834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0" w:type="dxa"/>
                  <w:vMerge w:val="continue"/>
                  <w:vAlign w:val="center"/>
                </w:tcPr>
                <w:p w14:paraId="44FF6AD9">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40" w:type="dxa"/>
                  <w:vMerge w:val="continue"/>
                  <w:vAlign w:val="center"/>
                </w:tcPr>
                <w:p w14:paraId="2B3DCD78">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068" w:type="dxa"/>
                  <w:vAlign w:val="center"/>
                </w:tcPr>
                <w:p w14:paraId="3687C923">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COD</w:t>
                  </w:r>
                </w:p>
              </w:tc>
              <w:tc>
                <w:tcPr>
                  <w:tcW w:w="1616" w:type="dxa"/>
                  <w:vMerge w:val="continue"/>
                  <w:vAlign w:val="center"/>
                </w:tcPr>
                <w:p w14:paraId="4FCFAB6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b w:val="0"/>
                      <w:bCs/>
                      <w:color w:val="auto"/>
                      <w:sz w:val="21"/>
                      <w:szCs w:val="21"/>
                      <w:vertAlign w:val="baseline"/>
                      <w:lang w:val="en-US" w:eastAsia="zh-CN"/>
                    </w:rPr>
                  </w:pPr>
                </w:p>
              </w:tc>
              <w:tc>
                <w:tcPr>
                  <w:tcW w:w="1354" w:type="dxa"/>
                  <w:shd w:val="clear" w:color="auto" w:fill="auto"/>
                  <w:vAlign w:val="center"/>
                </w:tcPr>
                <w:p w14:paraId="046092A7">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baseline"/>
                    <w:rPr>
                      <w:rFonts w:hint="eastAsia" w:ascii="Times New Roman" w:hAnsi="Times New Roman" w:eastAsia="宋体" w:cs="Times New Roman"/>
                      <w:b w:val="0"/>
                      <w:bCs/>
                      <w:color w:val="auto"/>
                      <w:kern w:val="2"/>
                      <w:sz w:val="21"/>
                      <w:szCs w:val="21"/>
                      <w:vertAlign w:val="baseline"/>
                      <w:lang w:val="en-US" w:eastAsia="zh-CN" w:bidi="ar-SA"/>
                    </w:rPr>
                  </w:pPr>
                  <w:r>
                    <w:rPr>
                      <w:rFonts w:hint="eastAsia"/>
                      <w:b w:val="0"/>
                      <w:bCs/>
                      <w:color w:val="auto"/>
                      <w:sz w:val="21"/>
                      <w:szCs w:val="21"/>
                      <w:vertAlign w:val="baseline"/>
                      <w:lang w:val="en-US" w:eastAsia="zh-CN"/>
                    </w:rPr>
                    <w:t>400~2200</w:t>
                  </w:r>
                </w:p>
              </w:tc>
              <w:tc>
                <w:tcPr>
                  <w:tcW w:w="2340" w:type="dxa"/>
                  <w:vAlign w:val="center"/>
                </w:tcPr>
                <w:p w14:paraId="0B129B0B">
                  <w:pPr>
                    <w:pStyle w:val="71"/>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rightChars="0"/>
                    <w:jc w:val="center"/>
                    <w:textAlignment w:val="baseline"/>
                    <w:rPr>
                      <w:rFonts w:hint="default"/>
                      <w:b w:val="0"/>
                      <w:bCs/>
                      <w:color w:val="auto"/>
                      <w:sz w:val="21"/>
                      <w:szCs w:val="21"/>
                      <w:vertAlign w:val="baseline"/>
                      <w:lang w:val="en-US" w:eastAsia="zh-CN"/>
                    </w:rPr>
                  </w:pPr>
                  <w:r>
                    <w:rPr>
                      <w:rFonts w:hint="eastAsia"/>
                      <w:b w:val="0"/>
                      <w:bCs/>
                      <w:color w:val="auto"/>
                      <w:sz w:val="21"/>
                      <w:szCs w:val="21"/>
                      <w:vertAlign w:val="baseline"/>
                      <w:lang w:val="en-US" w:eastAsia="zh-CN"/>
                    </w:rPr>
                    <w:t>2200</w:t>
                  </w:r>
                </w:p>
              </w:tc>
              <w:tc>
                <w:tcPr>
                  <w:tcW w:w="950" w:type="dxa"/>
                  <w:vAlign w:val="center"/>
                </w:tcPr>
                <w:p w14:paraId="4D3D56A8">
                  <w:pPr>
                    <w:keepNext w:val="0"/>
                    <w:keepLines w:val="0"/>
                    <w:widowControl/>
                    <w:suppressLineNumbers w:val="0"/>
                    <w:spacing w:before="0" w:beforeAutospacing="0" w:after="0" w:afterAutospacing="0"/>
                    <w:ind w:left="0" w:right="0"/>
                    <w:jc w:val="center"/>
                    <w:textAlignment w:val="center"/>
                    <w:rPr>
                      <w:rFonts w:hint="default"/>
                      <w:b w:val="0"/>
                      <w:bCs/>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 xml:space="preserve">0.0002 </w:t>
                  </w:r>
                </w:p>
              </w:tc>
            </w:tr>
          </w:tbl>
          <w:p w14:paraId="646BFFD1">
            <w:pPr>
              <w:pStyle w:val="74"/>
              <w:keepNext w:val="0"/>
              <w:keepLines w:val="0"/>
              <w:suppressLineNumbers w:val="0"/>
              <w:bidi w:val="0"/>
              <w:spacing w:before="0" w:beforeAutospacing="0" w:after="0" w:afterAutospacing="0"/>
              <w:ind w:left="0" w:right="0"/>
              <w:rPr>
                <w:rFonts w:hint="default"/>
                <w:color w:val="auto"/>
                <w:lang w:val="en-US" w:eastAsia="zh-CN"/>
              </w:rPr>
            </w:pPr>
          </w:p>
          <w:p w14:paraId="5D3C4170">
            <w:pPr>
              <w:pStyle w:val="71"/>
              <w:keepNext w:val="0"/>
              <w:keepLines w:val="0"/>
              <w:suppressLineNumbers w:val="0"/>
              <w:snapToGrid w:val="0"/>
              <w:spacing w:before="0" w:beforeAutospacing="0" w:after="0" w:afterAutospacing="0" w:line="400" w:lineRule="exact"/>
              <w:ind w:left="0" w:right="0"/>
              <w:jc w:val="both"/>
              <w:rPr>
                <w:rFonts w:hint="default"/>
                <w:color w:val="auto"/>
                <w:sz w:val="26"/>
                <w:szCs w:val="26"/>
                <w:highlight w:val="none"/>
                <w:lang w:val="zh-CN"/>
              </w:rPr>
            </w:pPr>
          </w:p>
        </w:tc>
      </w:tr>
    </w:tbl>
    <w:p w14:paraId="1327B957">
      <w:pPr>
        <w:tabs>
          <w:tab w:val="left" w:pos="2880"/>
        </w:tabs>
        <w:rPr>
          <w:color w:val="auto"/>
          <w:sz w:val="18"/>
          <w:szCs w:val="18"/>
          <w:highlight w:val="none"/>
        </w:rPr>
        <w:sectPr>
          <w:pgSz w:w="11907" w:h="16840"/>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p w14:paraId="76B39FBC">
      <w:pPr>
        <w:pStyle w:val="86"/>
        <w:bidi w:val="0"/>
        <w:rPr>
          <w:rFonts w:hint="default" w:eastAsia="宋体"/>
          <w:color w:val="auto"/>
          <w:lang w:val="en-US" w:eastAsia="zh-CN"/>
        </w:rPr>
      </w:pPr>
      <w:r>
        <w:rPr>
          <w:rFonts w:hint="eastAsia"/>
          <w:color w:val="auto"/>
        </w:rPr>
        <w:t>表4.2-10-</w:t>
      </w:r>
      <w:r>
        <w:rPr>
          <w:rFonts w:hint="eastAsia"/>
          <w:color w:val="auto"/>
          <w:lang w:val="en-US" w:eastAsia="zh-CN"/>
        </w:rPr>
        <w:t>3  生产废水产生、排放情况一览表</w:t>
      </w:r>
    </w:p>
    <w:tbl>
      <w:tblPr>
        <w:tblStyle w:val="2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707"/>
        <w:gridCol w:w="866"/>
        <w:gridCol w:w="1143"/>
        <w:gridCol w:w="766"/>
        <w:gridCol w:w="766"/>
        <w:gridCol w:w="792"/>
        <w:gridCol w:w="903"/>
        <w:gridCol w:w="550"/>
        <w:gridCol w:w="661"/>
        <w:gridCol w:w="1266"/>
        <w:gridCol w:w="866"/>
        <w:gridCol w:w="634"/>
        <w:gridCol w:w="672"/>
        <w:gridCol w:w="468"/>
        <w:gridCol w:w="468"/>
        <w:gridCol w:w="616"/>
        <w:gridCol w:w="850"/>
        <w:gridCol w:w="458"/>
        <w:gridCol w:w="485"/>
      </w:tblGrid>
      <w:tr w14:paraId="64857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256" w:type="pct"/>
            <w:vMerge w:val="restart"/>
            <w:tcBorders>
              <w:tl2br w:val="nil"/>
              <w:tr2bl w:val="nil"/>
            </w:tcBorders>
            <w:shd w:val="clear" w:color="auto" w:fill="auto"/>
            <w:vAlign w:val="center"/>
          </w:tcPr>
          <w:p w14:paraId="6BC90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污染源</w:t>
            </w:r>
          </w:p>
        </w:tc>
        <w:tc>
          <w:tcPr>
            <w:tcW w:w="310" w:type="pct"/>
            <w:vMerge w:val="restart"/>
            <w:tcBorders>
              <w:tl2br w:val="nil"/>
              <w:tr2bl w:val="nil"/>
            </w:tcBorders>
            <w:shd w:val="clear" w:color="auto" w:fill="auto"/>
            <w:vAlign w:val="center"/>
          </w:tcPr>
          <w:p w14:paraId="5F3AD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废水量</w:t>
            </w:r>
          </w:p>
          <w:p w14:paraId="3A4E8C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(m</w:t>
            </w:r>
            <w:r>
              <w:rPr>
                <w:rStyle w:val="92"/>
                <w:rFonts w:eastAsia="宋体"/>
                <w:color w:val="auto"/>
                <w:lang w:val="en-US" w:eastAsia="zh-CN" w:bidi="ar"/>
              </w:rPr>
              <w:t>3</w:t>
            </w:r>
            <w:r>
              <w:rPr>
                <w:rFonts w:hint="default" w:ascii="Times New Roman" w:hAnsi="Times New Roman" w:eastAsia="宋体" w:cs="Times New Roman"/>
                <w:b/>
                <w:bCs/>
                <w:i w:val="0"/>
                <w:iCs w:val="0"/>
                <w:color w:val="auto"/>
                <w:kern w:val="0"/>
                <w:sz w:val="20"/>
                <w:szCs w:val="20"/>
                <w:u w:val="none"/>
                <w:lang w:val="en-US" w:eastAsia="zh-CN" w:bidi="ar"/>
              </w:rPr>
              <w:t>/a)</w:t>
            </w:r>
          </w:p>
        </w:tc>
        <w:tc>
          <w:tcPr>
            <w:tcW w:w="412" w:type="pct"/>
            <w:vMerge w:val="restart"/>
            <w:tcBorders>
              <w:tl2br w:val="nil"/>
              <w:tr2bl w:val="nil"/>
            </w:tcBorders>
            <w:shd w:val="clear" w:color="auto" w:fill="auto"/>
            <w:vAlign w:val="center"/>
          </w:tcPr>
          <w:p w14:paraId="22972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污染物</w:t>
            </w:r>
          </w:p>
        </w:tc>
        <w:tc>
          <w:tcPr>
            <w:tcW w:w="549" w:type="pct"/>
            <w:gridSpan w:val="2"/>
            <w:tcBorders>
              <w:tl2br w:val="nil"/>
              <w:tr2bl w:val="nil"/>
            </w:tcBorders>
            <w:shd w:val="clear" w:color="auto" w:fill="auto"/>
            <w:vAlign w:val="center"/>
          </w:tcPr>
          <w:p w14:paraId="014F4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治理前</w:t>
            </w:r>
          </w:p>
        </w:tc>
        <w:tc>
          <w:tcPr>
            <w:tcW w:w="1020" w:type="pct"/>
            <w:gridSpan w:val="4"/>
            <w:tcBorders>
              <w:tl2br w:val="nil"/>
              <w:tr2bl w:val="nil"/>
            </w:tcBorders>
            <w:shd w:val="clear" w:color="auto" w:fill="auto"/>
            <w:vAlign w:val="center"/>
          </w:tcPr>
          <w:p w14:paraId="4C4C4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治理设施</w:t>
            </w:r>
          </w:p>
        </w:tc>
        <w:tc>
          <w:tcPr>
            <w:tcW w:w="764" w:type="pct"/>
            <w:gridSpan w:val="2"/>
            <w:tcBorders>
              <w:tl2br w:val="nil"/>
              <w:tr2bl w:val="nil"/>
            </w:tcBorders>
            <w:shd w:val="clear" w:color="auto" w:fill="auto"/>
            <w:vAlign w:val="center"/>
          </w:tcPr>
          <w:p w14:paraId="1CE336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治理后</w:t>
            </w:r>
          </w:p>
        </w:tc>
        <w:tc>
          <w:tcPr>
            <w:tcW w:w="231" w:type="pct"/>
            <w:vMerge w:val="restart"/>
            <w:tcBorders>
              <w:tl2br w:val="nil"/>
              <w:tr2bl w:val="nil"/>
            </w:tcBorders>
            <w:shd w:val="clear" w:color="auto" w:fill="auto"/>
            <w:vAlign w:val="center"/>
          </w:tcPr>
          <w:p w14:paraId="0BE6E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排放去向</w:t>
            </w:r>
          </w:p>
        </w:tc>
        <w:tc>
          <w:tcPr>
            <w:tcW w:w="241" w:type="pct"/>
            <w:vMerge w:val="restart"/>
            <w:tcBorders>
              <w:tl2br w:val="nil"/>
              <w:tr2bl w:val="nil"/>
            </w:tcBorders>
            <w:shd w:val="clear" w:color="auto" w:fill="auto"/>
            <w:vAlign w:val="center"/>
          </w:tcPr>
          <w:p w14:paraId="446B1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排放</w:t>
            </w:r>
          </w:p>
          <w:p w14:paraId="6B850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标准</w:t>
            </w:r>
            <w:r>
              <w:rPr>
                <w:rFonts w:hint="default" w:ascii="Times New Roman" w:hAnsi="Times New Roman" w:eastAsia="宋体" w:cs="Times New Roman"/>
                <w:b/>
                <w:bCs/>
                <w:i w:val="0"/>
                <w:iCs w:val="0"/>
                <w:color w:val="auto"/>
                <w:kern w:val="0"/>
                <w:sz w:val="20"/>
                <w:szCs w:val="20"/>
                <w:u w:val="none"/>
                <w:lang w:val="en-US" w:eastAsia="zh-CN" w:bidi="ar"/>
              </w:rPr>
              <w:t>mg/L</w:t>
            </w:r>
          </w:p>
        </w:tc>
        <w:tc>
          <w:tcPr>
            <w:tcW w:w="170" w:type="pct"/>
            <w:vMerge w:val="restart"/>
            <w:tcBorders>
              <w:tl2br w:val="nil"/>
              <w:tr2bl w:val="nil"/>
            </w:tcBorders>
            <w:shd w:val="clear" w:color="auto" w:fill="auto"/>
            <w:vAlign w:val="center"/>
          </w:tcPr>
          <w:p w14:paraId="2CC73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达标</w:t>
            </w:r>
          </w:p>
          <w:p w14:paraId="2BDDC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情况</w:t>
            </w:r>
          </w:p>
        </w:tc>
        <w:tc>
          <w:tcPr>
            <w:tcW w:w="170" w:type="pct"/>
            <w:vMerge w:val="restart"/>
            <w:tcBorders>
              <w:tl2br w:val="nil"/>
              <w:tr2bl w:val="nil"/>
            </w:tcBorders>
            <w:shd w:val="clear" w:color="auto" w:fill="auto"/>
            <w:vAlign w:val="center"/>
          </w:tcPr>
          <w:p w14:paraId="05FE4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排放方式</w:t>
            </w:r>
          </w:p>
        </w:tc>
        <w:tc>
          <w:tcPr>
            <w:tcW w:w="221" w:type="pct"/>
            <w:vMerge w:val="restart"/>
            <w:tcBorders>
              <w:tl2br w:val="nil"/>
              <w:tr2bl w:val="nil"/>
            </w:tcBorders>
            <w:shd w:val="clear" w:color="auto" w:fill="auto"/>
            <w:vAlign w:val="center"/>
          </w:tcPr>
          <w:p w14:paraId="40541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排放规律</w:t>
            </w:r>
          </w:p>
        </w:tc>
        <w:tc>
          <w:tcPr>
            <w:tcW w:w="651" w:type="pct"/>
            <w:gridSpan w:val="3"/>
            <w:tcBorders>
              <w:tl2br w:val="nil"/>
              <w:tr2bl w:val="nil"/>
            </w:tcBorders>
            <w:shd w:val="clear" w:color="auto" w:fill="auto"/>
            <w:vAlign w:val="center"/>
          </w:tcPr>
          <w:p w14:paraId="00987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排放口基本情况</w:t>
            </w:r>
          </w:p>
        </w:tc>
      </w:tr>
      <w:tr w14:paraId="2446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312386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310" w:type="pct"/>
            <w:vMerge w:val="continue"/>
            <w:tcBorders>
              <w:tl2br w:val="nil"/>
              <w:tr2bl w:val="nil"/>
            </w:tcBorders>
            <w:shd w:val="clear" w:color="auto" w:fill="auto"/>
            <w:vAlign w:val="center"/>
          </w:tcPr>
          <w:p w14:paraId="2BBA6A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u w:val="none"/>
              </w:rPr>
            </w:pPr>
          </w:p>
        </w:tc>
        <w:tc>
          <w:tcPr>
            <w:tcW w:w="412" w:type="pct"/>
            <w:vMerge w:val="continue"/>
            <w:tcBorders>
              <w:tl2br w:val="nil"/>
              <w:tr2bl w:val="nil"/>
            </w:tcBorders>
            <w:shd w:val="clear" w:color="auto" w:fill="auto"/>
            <w:vAlign w:val="center"/>
          </w:tcPr>
          <w:p w14:paraId="3210621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74" w:type="pct"/>
            <w:tcBorders>
              <w:tl2br w:val="nil"/>
              <w:tr2bl w:val="nil"/>
            </w:tcBorders>
            <w:shd w:val="clear" w:color="auto" w:fill="auto"/>
            <w:vAlign w:val="center"/>
          </w:tcPr>
          <w:p w14:paraId="51D94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浓度</w:t>
            </w:r>
          </w:p>
        </w:tc>
        <w:tc>
          <w:tcPr>
            <w:tcW w:w="274" w:type="pct"/>
            <w:tcBorders>
              <w:tl2br w:val="nil"/>
              <w:tr2bl w:val="nil"/>
            </w:tcBorders>
            <w:shd w:val="clear" w:color="auto" w:fill="auto"/>
            <w:vAlign w:val="center"/>
          </w:tcPr>
          <w:p w14:paraId="5D407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产生量</w:t>
            </w:r>
          </w:p>
        </w:tc>
        <w:tc>
          <w:tcPr>
            <w:tcW w:w="256" w:type="pct"/>
            <w:vMerge w:val="restart"/>
            <w:tcBorders>
              <w:tl2br w:val="nil"/>
              <w:tr2bl w:val="nil"/>
            </w:tcBorders>
            <w:shd w:val="clear" w:color="auto" w:fill="auto"/>
            <w:vAlign w:val="center"/>
          </w:tcPr>
          <w:p w14:paraId="631C9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污染防治设施名称及工艺</w:t>
            </w:r>
          </w:p>
        </w:tc>
        <w:tc>
          <w:tcPr>
            <w:tcW w:w="328" w:type="pct"/>
            <w:tcBorders>
              <w:tl2br w:val="nil"/>
              <w:tr2bl w:val="nil"/>
            </w:tcBorders>
            <w:shd w:val="clear" w:color="auto" w:fill="auto"/>
            <w:vAlign w:val="center"/>
          </w:tcPr>
          <w:p w14:paraId="6C2D38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处理</w:t>
            </w:r>
          </w:p>
        </w:tc>
        <w:tc>
          <w:tcPr>
            <w:tcW w:w="197" w:type="pct"/>
            <w:vMerge w:val="restart"/>
            <w:tcBorders>
              <w:tl2br w:val="nil"/>
              <w:tr2bl w:val="nil"/>
            </w:tcBorders>
            <w:shd w:val="clear" w:color="auto" w:fill="auto"/>
            <w:vAlign w:val="center"/>
          </w:tcPr>
          <w:p w14:paraId="1DB8C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治理效率</w:t>
            </w:r>
            <w:r>
              <w:rPr>
                <w:rFonts w:hint="default" w:ascii="Times New Roman" w:hAnsi="Times New Roman" w:eastAsia="宋体" w:cs="Times New Roman"/>
                <w:b/>
                <w:bCs/>
                <w:i w:val="0"/>
                <w:iCs w:val="0"/>
                <w:color w:val="auto"/>
                <w:kern w:val="0"/>
                <w:sz w:val="20"/>
                <w:szCs w:val="20"/>
                <w:u w:val="none"/>
                <w:lang w:val="en-US" w:eastAsia="zh-CN" w:bidi="ar"/>
              </w:rPr>
              <w:t>(%)</w:t>
            </w:r>
          </w:p>
        </w:tc>
        <w:tc>
          <w:tcPr>
            <w:tcW w:w="237" w:type="pct"/>
            <w:vMerge w:val="restart"/>
            <w:tcBorders>
              <w:tl2br w:val="nil"/>
              <w:tr2bl w:val="nil"/>
            </w:tcBorders>
            <w:shd w:val="clear" w:color="auto" w:fill="auto"/>
            <w:vAlign w:val="center"/>
          </w:tcPr>
          <w:p w14:paraId="6D1D7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是否有为可行技术</w:t>
            </w:r>
          </w:p>
        </w:tc>
        <w:tc>
          <w:tcPr>
            <w:tcW w:w="454" w:type="pct"/>
            <w:tcBorders>
              <w:tl2br w:val="nil"/>
              <w:tr2bl w:val="nil"/>
            </w:tcBorders>
            <w:shd w:val="clear" w:color="auto" w:fill="auto"/>
            <w:vAlign w:val="center"/>
          </w:tcPr>
          <w:p w14:paraId="66F40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浓度</w:t>
            </w:r>
          </w:p>
        </w:tc>
        <w:tc>
          <w:tcPr>
            <w:tcW w:w="310" w:type="pct"/>
            <w:tcBorders>
              <w:tl2br w:val="nil"/>
              <w:tr2bl w:val="nil"/>
            </w:tcBorders>
            <w:shd w:val="clear" w:color="auto" w:fill="auto"/>
            <w:vAlign w:val="center"/>
          </w:tcPr>
          <w:p w14:paraId="5A604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排放量</w:t>
            </w:r>
          </w:p>
        </w:tc>
        <w:tc>
          <w:tcPr>
            <w:tcW w:w="231" w:type="pct"/>
            <w:vMerge w:val="continue"/>
            <w:tcBorders>
              <w:tl2br w:val="nil"/>
              <w:tr2bl w:val="nil"/>
            </w:tcBorders>
            <w:shd w:val="clear" w:color="auto" w:fill="auto"/>
            <w:vAlign w:val="center"/>
          </w:tcPr>
          <w:p w14:paraId="6509DD5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41" w:type="pct"/>
            <w:vMerge w:val="continue"/>
            <w:tcBorders>
              <w:tl2br w:val="nil"/>
              <w:tr2bl w:val="nil"/>
            </w:tcBorders>
            <w:shd w:val="clear" w:color="auto" w:fill="auto"/>
            <w:vAlign w:val="center"/>
          </w:tcPr>
          <w:p w14:paraId="782AB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p>
        </w:tc>
        <w:tc>
          <w:tcPr>
            <w:tcW w:w="170" w:type="pct"/>
            <w:vMerge w:val="continue"/>
            <w:tcBorders>
              <w:tl2br w:val="nil"/>
              <w:tr2bl w:val="nil"/>
            </w:tcBorders>
            <w:shd w:val="clear" w:color="auto" w:fill="auto"/>
            <w:vAlign w:val="center"/>
          </w:tcPr>
          <w:p w14:paraId="6FE8E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p>
        </w:tc>
        <w:tc>
          <w:tcPr>
            <w:tcW w:w="170" w:type="pct"/>
            <w:vMerge w:val="continue"/>
            <w:tcBorders>
              <w:tl2br w:val="nil"/>
              <w:tr2bl w:val="nil"/>
            </w:tcBorders>
            <w:shd w:val="clear" w:color="auto" w:fill="auto"/>
            <w:vAlign w:val="center"/>
          </w:tcPr>
          <w:p w14:paraId="38B3BDE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21" w:type="pct"/>
            <w:vMerge w:val="continue"/>
            <w:tcBorders>
              <w:tl2br w:val="nil"/>
              <w:tr2bl w:val="nil"/>
            </w:tcBorders>
            <w:shd w:val="clear" w:color="auto" w:fill="auto"/>
            <w:vAlign w:val="center"/>
          </w:tcPr>
          <w:p w14:paraId="417E000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305" w:type="pct"/>
            <w:vMerge w:val="restart"/>
            <w:tcBorders>
              <w:tl2br w:val="nil"/>
              <w:tr2bl w:val="nil"/>
            </w:tcBorders>
            <w:shd w:val="clear" w:color="auto" w:fill="auto"/>
            <w:vAlign w:val="center"/>
          </w:tcPr>
          <w:p w14:paraId="04CDE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编号及名称</w:t>
            </w:r>
          </w:p>
        </w:tc>
        <w:tc>
          <w:tcPr>
            <w:tcW w:w="170" w:type="pct"/>
            <w:vMerge w:val="restart"/>
            <w:tcBorders>
              <w:tl2br w:val="nil"/>
              <w:tr2bl w:val="nil"/>
            </w:tcBorders>
            <w:shd w:val="clear" w:color="auto" w:fill="auto"/>
            <w:vAlign w:val="center"/>
          </w:tcPr>
          <w:p w14:paraId="37BC0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排放口类型</w:t>
            </w:r>
          </w:p>
        </w:tc>
        <w:tc>
          <w:tcPr>
            <w:tcW w:w="176" w:type="pct"/>
            <w:vMerge w:val="restart"/>
            <w:tcBorders>
              <w:tl2br w:val="nil"/>
              <w:tr2bl w:val="nil"/>
            </w:tcBorders>
            <w:shd w:val="clear" w:color="auto" w:fill="auto"/>
            <w:vAlign w:val="center"/>
          </w:tcPr>
          <w:p w14:paraId="4C7BE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地理坐标</w:t>
            </w:r>
          </w:p>
        </w:tc>
      </w:tr>
      <w:tr w14:paraId="3C12B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52FC1E6C">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310" w:type="pct"/>
            <w:vMerge w:val="continue"/>
            <w:tcBorders>
              <w:tl2br w:val="nil"/>
              <w:tr2bl w:val="nil"/>
            </w:tcBorders>
            <w:shd w:val="clear" w:color="auto" w:fill="auto"/>
            <w:noWrap/>
            <w:vAlign w:val="center"/>
          </w:tcPr>
          <w:p w14:paraId="327435D8">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c>
          <w:tcPr>
            <w:tcW w:w="412" w:type="pct"/>
            <w:vMerge w:val="continue"/>
            <w:tcBorders>
              <w:tl2br w:val="nil"/>
              <w:tr2bl w:val="nil"/>
            </w:tcBorders>
            <w:shd w:val="clear" w:color="auto" w:fill="auto"/>
            <w:vAlign w:val="center"/>
          </w:tcPr>
          <w:p w14:paraId="3AB8492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74" w:type="pct"/>
            <w:tcBorders>
              <w:tl2br w:val="nil"/>
              <w:tr2bl w:val="nil"/>
            </w:tcBorders>
            <w:shd w:val="clear" w:color="auto" w:fill="auto"/>
            <w:vAlign w:val="center"/>
          </w:tcPr>
          <w:p w14:paraId="25EE62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mg/L</w:t>
            </w:r>
          </w:p>
        </w:tc>
        <w:tc>
          <w:tcPr>
            <w:tcW w:w="274" w:type="pct"/>
            <w:tcBorders>
              <w:tl2br w:val="nil"/>
              <w:tr2bl w:val="nil"/>
            </w:tcBorders>
            <w:shd w:val="clear" w:color="auto" w:fill="auto"/>
            <w:vAlign w:val="center"/>
          </w:tcPr>
          <w:p w14:paraId="04E71E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t/a</w:t>
            </w:r>
          </w:p>
        </w:tc>
        <w:tc>
          <w:tcPr>
            <w:tcW w:w="256" w:type="pct"/>
            <w:vMerge w:val="continue"/>
            <w:tcBorders>
              <w:tl2br w:val="nil"/>
              <w:tr2bl w:val="nil"/>
            </w:tcBorders>
            <w:shd w:val="clear" w:color="auto" w:fill="auto"/>
            <w:vAlign w:val="center"/>
          </w:tcPr>
          <w:p w14:paraId="54ECBCD0">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328" w:type="pct"/>
            <w:tcBorders>
              <w:tl2br w:val="nil"/>
              <w:tr2bl w:val="nil"/>
            </w:tcBorders>
            <w:shd w:val="clear" w:color="auto" w:fill="auto"/>
            <w:vAlign w:val="center"/>
          </w:tcPr>
          <w:p w14:paraId="50FD7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能力</w:t>
            </w:r>
          </w:p>
        </w:tc>
        <w:tc>
          <w:tcPr>
            <w:tcW w:w="197" w:type="pct"/>
            <w:vMerge w:val="continue"/>
            <w:tcBorders>
              <w:tl2br w:val="nil"/>
              <w:tr2bl w:val="nil"/>
            </w:tcBorders>
            <w:shd w:val="clear" w:color="auto" w:fill="auto"/>
            <w:vAlign w:val="center"/>
          </w:tcPr>
          <w:p w14:paraId="4305AACE">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37" w:type="pct"/>
            <w:vMerge w:val="continue"/>
            <w:tcBorders>
              <w:tl2br w:val="nil"/>
              <w:tr2bl w:val="nil"/>
            </w:tcBorders>
            <w:shd w:val="clear" w:color="auto" w:fill="auto"/>
            <w:vAlign w:val="center"/>
          </w:tcPr>
          <w:p w14:paraId="1ED4490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454" w:type="pct"/>
            <w:tcBorders>
              <w:tl2br w:val="nil"/>
              <w:tr2bl w:val="nil"/>
            </w:tcBorders>
            <w:shd w:val="clear" w:color="auto" w:fill="auto"/>
            <w:vAlign w:val="center"/>
          </w:tcPr>
          <w:p w14:paraId="05400A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mg/L</w:t>
            </w:r>
          </w:p>
        </w:tc>
        <w:tc>
          <w:tcPr>
            <w:tcW w:w="310" w:type="pct"/>
            <w:tcBorders>
              <w:tl2br w:val="nil"/>
              <w:tr2bl w:val="nil"/>
            </w:tcBorders>
            <w:shd w:val="clear" w:color="auto" w:fill="auto"/>
            <w:vAlign w:val="center"/>
          </w:tcPr>
          <w:p w14:paraId="46F754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0"/>
                <w:szCs w:val="20"/>
                <w:u w:val="none"/>
                <w:lang w:val="en-US" w:eastAsia="zh-CN" w:bidi="ar"/>
              </w:rPr>
              <w:t>t/a</w:t>
            </w:r>
          </w:p>
        </w:tc>
        <w:tc>
          <w:tcPr>
            <w:tcW w:w="231" w:type="pct"/>
            <w:vMerge w:val="continue"/>
            <w:tcBorders>
              <w:tl2br w:val="nil"/>
              <w:tr2bl w:val="nil"/>
            </w:tcBorders>
            <w:shd w:val="clear" w:color="auto" w:fill="auto"/>
            <w:vAlign w:val="center"/>
          </w:tcPr>
          <w:p w14:paraId="35F76C1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41" w:type="pct"/>
            <w:vMerge w:val="continue"/>
            <w:tcBorders>
              <w:tl2br w:val="nil"/>
              <w:tr2bl w:val="nil"/>
            </w:tcBorders>
            <w:shd w:val="clear" w:color="auto" w:fill="auto"/>
            <w:noWrap/>
            <w:vAlign w:val="center"/>
          </w:tcPr>
          <w:p w14:paraId="7251AB28">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c>
          <w:tcPr>
            <w:tcW w:w="170" w:type="pct"/>
            <w:vMerge w:val="continue"/>
            <w:tcBorders>
              <w:tl2br w:val="nil"/>
              <w:tr2bl w:val="nil"/>
            </w:tcBorders>
            <w:shd w:val="clear" w:color="auto" w:fill="auto"/>
            <w:noWrap/>
            <w:vAlign w:val="center"/>
          </w:tcPr>
          <w:p w14:paraId="74C13CCC">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u w:val="none"/>
              </w:rPr>
            </w:pPr>
          </w:p>
        </w:tc>
        <w:tc>
          <w:tcPr>
            <w:tcW w:w="170" w:type="pct"/>
            <w:vMerge w:val="continue"/>
            <w:tcBorders>
              <w:tl2br w:val="nil"/>
              <w:tr2bl w:val="nil"/>
            </w:tcBorders>
            <w:shd w:val="clear" w:color="auto" w:fill="auto"/>
            <w:vAlign w:val="center"/>
          </w:tcPr>
          <w:p w14:paraId="2938958F">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221" w:type="pct"/>
            <w:vMerge w:val="continue"/>
            <w:tcBorders>
              <w:tl2br w:val="nil"/>
              <w:tr2bl w:val="nil"/>
            </w:tcBorders>
            <w:shd w:val="clear" w:color="auto" w:fill="auto"/>
            <w:vAlign w:val="center"/>
          </w:tcPr>
          <w:p w14:paraId="75F7F92D">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305" w:type="pct"/>
            <w:vMerge w:val="continue"/>
            <w:tcBorders>
              <w:tl2br w:val="nil"/>
              <w:tr2bl w:val="nil"/>
            </w:tcBorders>
            <w:shd w:val="clear" w:color="auto" w:fill="auto"/>
            <w:vAlign w:val="center"/>
          </w:tcPr>
          <w:p w14:paraId="3179BDDB">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170" w:type="pct"/>
            <w:vMerge w:val="continue"/>
            <w:tcBorders>
              <w:tl2br w:val="nil"/>
              <w:tr2bl w:val="nil"/>
            </w:tcBorders>
            <w:shd w:val="clear" w:color="auto" w:fill="auto"/>
            <w:vAlign w:val="center"/>
          </w:tcPr>
          <w:p w14:paraId="2C9EDE96">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176" w:type="pct"/>
            <w:vMerge w:val="continue"/>
            <w:tcBorders>
              <w:tl2br w:val="nil"/>
              <w:tr2bl w:val="nil"/>
            </w:tcBorders>
            <w:shd w:val="clear" w:color="auto" w:fill="auto"/>
            <w:vAlign w:val="center"/>
          </w:tcPr>
          <w:p w14:paraId="69EE77A7">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r>
      <w:tr w14:paraId="7A52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restart"/>
            <w:tcBorders>
              <w:tl2br w:val="nil"/>
              <w:tr2bl w:val="nil"/>
            </w:tcBorders>
            <w:shd w:val="clear" w:color="auto" w:fill="auto"/>
            <w:vAlign w:val="center"/>
          </w:tcPr>
          <w:p w14:paraId="2CE01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空压机含油冷凝水+离合器清洗废水+冷却废水+脱模冷凝水</w:t>
            </w:r>
          </w:p>
        </w:tc>
        <w:tc>
          <w:tcPr>
            <w:tcW w:w="310" w:type="pct"/>
            <w:vMerge w:val="restart"/>
            <w:tcBorders>
              <w:tl2br w:val="nil"/>
              <w:tr2bl w:val="nil"/>
            </w:tcBorders>
            <w:shd w:val="clear" w:color="auto" w:fill="auto"/>
            <w:vAlign w:val="center"/>
          </w:tcPr>
          <w:p w14:paraId="0FC63B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546.775</w:t>
            </w:r>
          </w:p>
        </w:tc>
        <w:tc>
          <w:tcPr>
            <w:tcW w:w="412" w:type="pct"/>
            <w:tcBorders>
              <w:tl2br w:val="nil"/>
              <w:tr2bl w:val="nil"/>
            </w:tcBorders>
            <w:shd w:val="clear" w:color="auto" w:fill="auto"/>
            <w:vAlign w:val="center"/>
          </w:tcPr>
          <w:p w14:paraId="03ACD1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pH(</w:t>
            </w:r>
            <w:r>
              <w:rPr>
                <w:rStyle w:val="93"/>
                <w:color w:val="auto"/>
                <w:lang w:val="en-US" w:eastAsia="zh-CN" w:bidi="ar"/>
              </w:rPr>
              <w:t>无量纲）</w:t>
            </w:r>
          </w:p>
        </w:tc>
        <w:tc>
          <w:tcPr>
            <w:tcW w:w="274" w:type="pct"/>
            <w:tcBorders>
              <w:tl2br w:val="nil"/>
              <w:tr2bl w:val="nil"/>
            </w:tcBorders>
            <w:shd w:val="clear" w:color="auto" w:fill="auto"/>
            <w:vAlign w:val="center"/>
          </w:tcPr>
          <w:p w14:paraId="3FC4C1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274" w:type="pct"/>
            <w:tcBorders>
              <w:tl2br w:val="nil"/>
              <w:tr2bl w:val="nil"/>
            </w:tcBorders>
            <w:shd w:val="clear" w:color="auto" w:fill="auto"/>
            <w:vAlign w:val="center"/>
          </w:tcPr>
          <w:p w14:paraId="0E5EC1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56" w:type="pct"/>
            <w:vMerge w:val="restart"/>
            <w:tcBorders>
              <w:tl2br w:val="nil"/>
              <w:tr2bl w:val="nil"/>
            </w:tcBorders>
            <w:shd w:val="clear" w:color="auto" w:fill="auto"/>
            <w:vAlign w:val="center"/>
          </w:tcPr>
          <w:p w14:paraId="442F7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酸碱中和+隔油</w:t>
            </w:r>
          </w:p>
        </w:tc>
        <w:tc>
          <w:tcPr>
            <w:tcW w:w="328" w:type="pct"/>
            <w:vMerge w:val="restart"/>
            <w:tcBorders>
              <w:tl2br w:val="nil"/>
              <w:tr2bl w:val="nil"/>
            </w:tcBorders>
            <w:shd w:val="clear" w:color="auto" w:fill="auto"/>
            <w:vAlign w:val="center"/>
          </w:tcPr>
          <w:p w14:paraId="377E49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2m</w:t>
            </w:r>
            <w:r>
              <w:rPr>
                <w:rStyle w:val="94"/>
                <w:rFonts w:eastAsia="宋体"/>
                <w:color w:val="auto"/>
                <w:lang w:val="en-US" w:eastAsia="zh-CN" w:bidi="ar"/>
              </w:rPr>
              <w:t>3</w:t>
            </w:r>
            <w:r>
              <w:rPr>
                <w:rStyle w:val="95"/>
                <w:rFonts w:eastAsia="宋体"/>
                <w:color w:val="auto"/>
                <w:lang w:val="en-US" w:eastAsia="zh-CN" w:bidi="ar"/>
              </w:rPr>
              <w:t>/d</w:t>
            </w:r>
          </w:p>
        </w:tc>
        <w:tc>
          <w:tcPr>
            <w:tcW w:w="197" w:type="pct"/>
            <w:tcBorders>
              <w:tl2br w:val="nil"/>
              <w:tr2bl w:val="nil"/>
            </w:tcBorders>
            <w:shd w:val="clear" w:color="auto" w:fill="auto"/>
            <w:vAlign w:val="center"/>
          </w:tcPr>
          <w:p w14:paraId="1E2A18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restart"/>
            <w:tcBorders>
              <w:tl2br w:val="nil"/>
              <w:tr2bl w:val="nil"/>
            </w:tcBorders>
            <w:shd w:val="clear" w:color="auto" w:fill="auto"/>
            <w:vAlign w:val="center"/>
          </w:tcPr>
          <w:p w14:paraId="07868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454" w:type="pct"/>
            <w:tcBorders>
              <w:tl2br w:val="nil"/>
              <w:tr2bl w:val="nil"/>
            </w:tcBorders>
            <w:shd w:val="clear" w:color="auto" w:fill="auto"/>
            <w:vAlign w:val="center"/>
          </w:tcPr>
          <w:p w14:paraId="2ABBE6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310" w:type="pct"/>
            <w:tcBorders>
              <w:tl2br w:val="nil"/>
              <w:tr2bl w:val="nil"/>
            </w:tcBorders>
            <w:shd w:val="clear" w:color="auto" w:fill="auto"/>
            <w:vAlign w:val="center"/>
          </w:tcPr>
          <w:p w14:paraId="1A57A0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1" w:type="pct"/>
            <w:vMerge w:val="restart"/>
            <w:tcBorders>
              <w:tl2br w:val="nil"/>
              <w:tr2bl w:val="nil"/>
            </w:tcBorders>
            <w:shd w:val="clear" w:color="auto" w:fill="auto"/>
            <w:vAlign w:val="center"/>
          </w:tcPr>
          <w:p w14:paraId="4DEB4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生产废水排口</w:t>
            </w:r>
          </w:p>
        </w:tc>
        <w:tc>
          <w:tcPr>
            <w:tcW w:w="241" w:type="pct"/>
            <w:tcBorders>
              <w:tl2br w:val="nil"/>
              <w:tr2bl w:val="nil"/>
            </w:tcBorders>
            <w:shd w:val="clear" w:color="auto" w:fill="auto"/>
            <w:vAlign w:val="center"/>
          </w:tcPr>
          <w:p w14:paraId="4D7B27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692D82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vMerge w:val="restart"/>
            <w:tcBorders>
              <w:tl2br w:val="nil"/>
              <w:tr2bl w:val="nil"/>
            </w:tcBorders>
            <w:shd w:val="clear" w:color="auto" w:fill="auto"/>
            <w:vAlign w:val="center"/>
          </w:tcPr>
          <w:p w14:paraId="1646EC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21" w:type="pct"/>
            <w:vMerge w:val="restart"/>
            <w:tcBorders>
              <w:tl2br w:val="nil"/>
              <w:tr2bl w:val="nil"/>
            </w:tcBorders>
            <w:shd w:val="clear" w:color="auto" w:fill="auto"/>
            <w:vAlign w:val="center"/>
          </w:tcPr>
          <w:p w14:paraId="6116B8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05" w:type="pct"/>
            <w:vMerge w:val="restart"/>
            <w:tcBorders>
              <w:tl2br w:val="nil"/>
              <w:tr2bl w:val="nil"/>
            </w:tcBorders>
            <w:shd w:val="clear" w:color="auto" w:fill="auto"/>
            <w:vAlign w:val="center"/>
          </w:tcPr>
          <w:p w14:paraId="601400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vMerge w:val="restart"/>
            <w:tcBorders>
              <w:tl2br w:val="nil"/>
              <w:tr2bl w:val="nil"/>
            </w:tcBorders>
            <w:shd w:val="clear" w:color="auto" w:fill="auto"/>
            <w:vAlign w:val="center"/>
          </w:tcPr>
          <w:p w14:paraId="202EC9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6" w:type="pct"/>
            <w:vMerge w:val="restart"/>
            <w:tcBorders>
              <w:tl2br w:val="nil"/>
              <w:tr2bl w:val="nil"/>
            </w:tcBorders>
            <w:shd w:val="clear" w:color="auto" w:fill="auto"/>
            <w:vAlign w:val="center"/>
          </w:tcPr>
          <w:p w14:paraId="6560C6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r>
      <w:tr w14:paraId="44B9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42C1F1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400913A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76E680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COD</w:t>
            </w:r>
          </w:p>
        </w:tc>
        <w:tc>
          <w:tcPr>
            <w:tcW w:w="274" w:type="pct"/>
            <w:tcBorders>
              <w:tl2br w:val="nil"/>
              <w:tr2bl w:val="nil"/>
            </w:tcBorders>
            <w:shd w:val="clear" w:color="auto" w:fill="auto"/>
            <w:vAlign w:val="center"/>
          </w:tcPr>
          <w:p w14:paraId="212227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5.64 </w:t>
            </w:r>
          </w:p>
        </w:tc>
        <w:tc>
          <w:tcPr>
            <w:tcW w:w="274" w:type="pct"/>
            <w:tcBorders>
              <w:tl2br w:val="nil"/>
              <w:tr2bl w:val="nil"/>
            </w:tcBorders>
            <w:shd w:val="clear" w:color="auto" w:fill="auto"/>
            <w:vAlign w:val="center"/>
          </w:tcPr>
          <w:p w14:paraId="635ED7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0.0031 </w:t>
            </w:r>
          </w:p>
        </w:tc>
        <w:tc>
          <w:tcPr>
            <w:tcW w:w="256" w:type="pct"/>
            <w:vMerge w:val="continue"/>
            <w:tcBorders>
              <w:tl2br w:val="nil"/>
              <w:tr2bl w:val="nil"/>
            </w:tcBorders>
            <w:shd w:val="clear" w:color="auto" w:fill="auto"/>
            <w:vAlign w:val="center"/>
          </w:tcPr>
          <w:p w14:paraId="5FC92C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6EDFF57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759308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237" w:type="pct"/>
            <w:vMerge w:val="continue"/>
            <w:tcBorders>
              <w:tl2br w:val="nil"/>
              <w:tr2bl w:val="nil"/>
            </w:tcBorders>
            <w:shd w:val="clear" w:color="auto" w:fill="auto"/>
            <w:vAlign w:val="center"/>
          </w:tcPr>
          <w:p w14:paraId="65190B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54" w:type="pct"/>
            <w:tcBorders>
              <w:tl2br w:val="nil"/>
              <w:tr2bl w:val="nil"/>
            </w:tcBorders>
            <w:shd w:val="clear" w:color="auto" w:fill="auto"/>
            <w:vAlign w:val="center"/>
          </w:tcPr>
          <w:p w14:paraId="5CCF76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4.5 </w:t>
            </w:r>
          </w:p>
        </w:tc>
        <w:tc>
          <w:tcPr>
            <w:tcW w:w="310" w:type="pct"/>
            <w:tcBorders>
              <w:tl2br w:val="nil"/>
              <w:tr2bl w:val="nil"/>
            </w:tcBorders>
            <w:shd w:val="clear" w:color="auto" w:fill="auto"/>
            <w:vAlign w:val="center"/>
          </w:tcPr>
          <w:p w14:paraId="47847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0.0025 </w:t>
            </w:r>
          </w:p>
        </w:tc>
        <w:tc>
          <w:tcPr>
            <w:tcW w:w="231" w:type="pct"/>
            <w:vMerge w:val="continue"/>
            <w:tcBorders>
              <w:tl2br w:val="nil"/>
              <w:tr2bl w:val="nil"/>
            </w:tcBorders>
            <w:shd w:val="clear" w:color="auto" w:fill="auto"/>
            <w:vAlign w:val="center"/>
          </w:tcPr>
          <w:p w14:paraId="509CD2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4C19C8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tcBorders>
              <w:tl2br w:val="nil"/>
              <w:tr2bl w:val="nil"/>
            </w:tcBorders>
            <w:shd w:val="clear" w:color="auto" w:fill="auto"/>
            <w:vAlign w:val="center"/>
          </w:tcPr>
          <w:p w14:paraId="2928F99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3D7ED52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221" w:type="pct"/>
            <w:vMerge w:val="continue"/>
            <w:tcBorders>
              <w:tl2br w:val="nil"/>
              <w:tr2bl w:val="nil"/>
            </w:tcBorders>
            <w:shd w:val="clear" w:color="auto" w:fill="auto"/>
            <w:vAlign w:val="center"/>
          </w:tcPr>
          <w:p w14:paraId="3F7F23C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305" w:type="pct"/>
            <w:vMerge w:val="continue"/>
            <w:tcBorders>
              <w:tl2br w:val="nil"/>
              <w:tr2bl w:val="nil"/>
            </w:tcBorders>
            <w:shd w:val="clear" w:color="auto" w:fill="auto"/>
            <w:vAlign w:val="center"/>
          </w:tcPr>
          <w:p w14:paraId="23F00A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4E87D19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6" w:type="pct"/>
            <w:vMerge w:val="continue"/>
            <w:tcBorders>
              <w:tl2br w:val="nil"/>
              <w:tr2bl w:val="nil"/>
            </w:tcBorders>
            <w:shd w:val="clear" w:color="auto" w:fill="auto"/>
            <w:vAlign w:val="center"/>
          </w:tcPr>
          <w:p w14:paraId="767DC92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7187A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4C94A0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5C484B1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7B543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石油类</w:t>
            </w:r>
          </w:p>
        </w:tc>
        <w:tc>
          <w:tcPr>
            <w:tcW w:w="274" w:type="pct"/>
            <w:tcBorders>
              <w:tl2br w:val="nil"/>
              <w:tr2bl w:val="nil"/>
            </w:tcBorders>
            <w:shd w:val="clear" w:color="auto" w:fill="auto"/>
            <w:vAlign w:val="center"/>
          </w:tcPr>
          <w:p w14:paraId="5990C0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0.60 </w:t>
            </w:r>
          </w:p>
        </w:tc>
        <w:tc>
          <w:tcPr>
            <w:tcW w:w="274" w:type="pct"/>
            <w:tcBorders>
              <w:tl2br w:val="nil"/>
              <w:tr2bl w:val="nil"/>
            </w:tcBorders>
            <w:shd w:val="clear" w:color="auto" w:fill="auto"/>
            <w:vAlign w:val="center"/>
          </w:tcPr>
          <w:p w14:paraId="5534FD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0.0003 </w:t>
            </w:r>
          </w:p>
        </w:tc>
        <w:tc>
          <w:tcPr>
            <w:tcW w:w="256" w:type="pct"/>
            <w:vMerge w:val="continue"/>
            <w:tcBorders>
              <w:tl2br w:val="nil"/>
              <w:tr2bl w:val="nil"/>
            </w:tcBorders>
            <w:shd w:val="clear" w:color="auto" w:fill="auto"/>
            <w:vAlign w:val="center"/>
          </w:tcPr>
          <w:p w14:paraId="4774F7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5F8667F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547128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50</w:t>
            </w:r>
          </w:p>
        </w:tc>
        <w:tc>
          <w:tcPr>
            <w:tcW w:w="237" w:type="pct"/>
            <w:vMerge w:val="continue"/>
            <w:tcBorders>
              <w:tl2br w:val="nil"/>
              <w:tr2bl w:val="nil"/>
            </w:tcBorders>
            <w:shd w:val="clear" w:color="auto" w:fill="auto"/>
            <w:vAlign w:val="center"/>
          </w:tcPr>
          <w:p w14:paraId="4B3C5F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54" w:type="pct"/>
            <w:tcBorders>
              <w:tl2br w:val="nil"/>
              <w:tr2bl w:val="nil"/>
            </w:tcBorders>
            <w:shd w:val="clear" w:color="auto" w:fill="auto"/>
            <w:vAlign w:val="center"/>
          </w:tcPr>
          <w:p w14:paraId="178DB9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0.3 </w:t>
            </w:r>
          </w:p>
        </w:tc>
        <w:tc>
          <w:tcPr>
            <w:tcW w:w="310" w:type="pct"/>
            <w:tcBorders>
              <w:tl2br w:val="nil"/>
              <w:tr2bl w:val="nil"/>
            </w:tcBorders>
            <w:shd w:val="clear" w:color="auto" w:fill="auto"/>
            <w:vAlign w:val="center"/>
          </w:tcPr>
          <w:p w14:paraId="5DBF0C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0.0002 </w:t>
            </w:r>
          </w:p>
        </w:tc>
        <w:tc>
          <w:tcPr>
            <w:tcW w:w="231" w:type="pct"/>
            <w:vMerge w:val="continue"/>
            <w:tcBorders>
              <w:tl2br w:val="nil"/>
              <w:tr2bl w:val="nil"/>
            </w:tcBorders>
            <w:shd w:val="clear" w:color="auto" w:fill="auto"/>
            <w:vAlign w:val="center"/>
          </w:tcPr>
          <w:p w14:paraId="412E31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6D7CF8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67EA99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vMerge w:val="continue"/>
            <w:tcBorders>
              <w:tl2br w:val="nil"/>
              <w:tr2bl w:val="nil"/>
            </w:tcBorders>
            <w:shd w:val="clear" w:color="auto" w:fill="auto"/>
            <w:vAlign w:val="center"/>
          </w:tcPr>
          <w:p w14:paraId="1187FE6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221" w:type="pct"/>
            <w:vMerge w:val="continue"/>
            <w:tcBorders>
              <w:tl2br w:val="nil"/>
              <w:tr2bl w:val="nil"/>
            </w:tcBorders>
            <w:shd w:val="clear" w:color="auto" w:fill="auto"/>
            <w:vAlign w:val="center"/>
          </w:tcPr>
          <w:p w14:paraId="24A5721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305" w:type="pct"/>
            <w:vMerge w:val="continue"/>
            <w:tcBorders>
              <w:tl2br w:val="nil"/>
              <w:tr2bl w:val="nil"/>
            </w:tcBorders>
            <w:shd w:val="clear" w:color="auto" w:fill="auto"/>
            <w:vAlign w:val="center"/>
          </w:tcPr>
          <w:p w14:paraId="11A097B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6F55350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6" w:type="pct"/>
            <w:vMerge w:val="continue"/>
            <w:tcBorders>
              <w:tl2br w:val="nil"/>
              <w:tr2bl w:val="nil"/>
            </w:tcBorders>
            <w:shd w:val="clear" w:color="auto" w:fill="auto"/>
            <w:vAlign w:val="center"/>
          </w:tcPr>
          <w:p w14:paraId="30610F3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3FED9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5A8D40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13CC7C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61793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SS</w:t>
            </w:r>
          </w:p>
        </w:tc>
        <w:tc>
          <w:tcPr>
            <w:tcW w:w="274" w:type="pct"/>
            <w:tcBorders>
              <w:tl2br w:val="nil"/>
              <w:tr2bl w:val="nil"/>
            </w:tcBorders>
            <w:shd w:val="clear" w:color="auto" w:fill="auto"/>
            <w:vAlign w:val="center"/>
          </w:tcPr>
          <w:p w14:paraId="3D904C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2.30 </w:t>
            </w:r>
          </w:p>
        </w:tc>
        <w:tc>
          <w:tcPr>
            <w:tcW w:w="274" w:type="pct"/>
            <w:tcBorders>
              <w:tl2br w:val="nil"/>
              <w:tr2bl w:val="nil"/>
            </w:tcBorders>
            <w:shd w:val="clear" w:color="auto" w:fill="auto"/>
            <w:vAlign w:val="center"/>
          </w:tcPr>
          <w:p w14:paraId="777330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0.0013 </w:t>
            </w:r>
          </w:p>
        </w:tc>
        <w:tc>
          <w:tcPr>
            <w:tcW w:w="256" w:type="pct"/>
            <w:vMerge w:val="continue"/>
            <w:tcBorders>
              <w:tl2br w:val="nil"/>
              <w:tr2bl w:val="nil"/>
            </w:tcBorders>
            <w:shd w:val="clear" w:color="auto" w:fill="auto"/>
            <w:vAlign w:val="center"/>
          </w:tcPr>
          <w:p w14:paraId="310EEB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51DC4AA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1055D0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237" w:type="pct"/>
            <w:vMerge w:val="continue"/>
            <w:tcBorders>
              <w:tl2br w:val="nil"/>
              <w:tr2bl w:val="nil"/>
            </w:tcBorders>
            <w:shd w:val="clear" w:color="auto" w:fill="auto"/>
            <w:vAlign w:val="center"/>
          </w:tcPr>
          <w:p w14:paraId="631577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54" w:type="pct"/>
            <w:tcBorders>
              <w:tl2br w:val="nil"/>
              <w:tr2bl w:val="nil"/>
            </w:tcBorders>
            <w:shd w:val="clear" w:color="auto" w:fill="auto"/>
            <w:vAlign w:val="center"/>
          </w:tcPr>
          <w:p w14:paraId="0CCAEC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1.8 </w:t>
            </w:r>
          </w:p>
        </w:tc>
        <w:tc>
          <w:tcPr>
            <w:tcW w:w="310" w:type="pct"/>
            <w:tcBorders>
              <w:tl2br w:val="nil"/>
              <w:tr2bl w:val="nil"/>
            </w:tcBorders>
            <w:shd w:val="clear" w:color="auto" w:fill="auto"/>
            <w:vAlign w:val="center"/>
          </w:tcPr>
          <w:p w14:paraId="5036B5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0.0010 </w:t>
            </w:r>
          </w:p>
        </w:tc>
        <w:tc>
          <w:tcPr>
            <w:tcW w:w="231" w:type="pct"/>
            <w:vMerge w:val="continue"/>
            <w:tcBorders>
              <w:tl2br w:val="nil"/>
              <w:tr2bl w:val="nil"/>
            </w:tcBorders>
            <w:shd w:val="clear" w:color="auto" w:fill="auto"/>
            <w:vAlign w:val="center"/>
          </w:tcPr>
          <w:p w14:paraId="025EDD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030CD1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5EE754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vMerge w:val="continue"/>
            <w:tcBorders>
              <w:tl2br w:val="nil"/>
              <w:tr2bl w:val="nil"/>
            </w:tcBorders>
            <w:shd w:val="clear" w:color="auto" w:fill="auto"/>
            <w:vAlign w:val="center"/>
          </w:tcPr>
          <w:p w14:paraId="4F9C09E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221" w:type="pct"/>
            <w:vMerge w:val="continue"/>
            <w:tcBorders>
              <w:tl2br w:val="nil"/>
              <w:tr2bl w:val="nil"/>
            </w:tcBorders>
            <w:shd w:val="clear" w:color="auto" w:fill="auto"/>
            <w:vAlign w:val="center"/>
          </w:tcPr>
          <w:p w14:paraId="6BFC041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305" w:type="pct"/>
            <w:vMerge w:val="continue"/>
            <w:tcBorders>
              <w:tl2br w:val="nil"/>
              <w:tr2bl w:val="nil"/>
            </w:tcBorders>
            <w:shd w:val="clear" w:color="auto" w:fill="auto"/>
            <w:vAlign w:val="center"/>
          </w:tcPr>
          <w:p w14:paraId="357B29A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48EC7FE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6" w:type="pct"/>
            <w:vMerge w:val="continue"/>
            <w:tcBorders>
              <w:tl2br w:val="nil"/>
              <w:tr2bl w:val="nil"/>
            </w:tcBorders>
            <w:shd w:val="clear" w:color="auto" w:fill="auto"/>
            <w:vAlign w:val="center"/>
          </w:tcPr>
          <w:p w14:paraId="3FCCBD5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4915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0EC37D8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758EC8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682DE0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NH3-N</w:t>
            </w:r>
          </w:p>
        </w:tc>
        <w:tc>
          <w:tcPr>
            <w:tcW w:w="274" w:type="pct"/>
            <w:tcBorders>
              <w:tl2br w:val="nil"/>
              <w:tr2bl w:val="nil"/>
            </w:tcBorders>
            <w:shd w:val="clear" w:color="auto" w:fill="auto"/>
            <w:vAlign w:val="center"/>
          </w:tcPr>
          <w:p w14:paraId="285124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0.14 </w:t>
            </w:r>
          </w:p>
        </w:tc>
        <w:tc>
          <w:tcPr>
            <w:tcW w:w="274" w:type="pct"/>
            <w:tcBorders>
              <w:tl2br w:val="nil"/>
              <w:tr2bl w:val="nil"/>
            </w:tcBorders>
            <w:shd w:val="clear" w:color="auto" w:fill="auto"/>
            <w:vAlign w:val="center"/>
          </w:tcPr>
          <w:p w14:paraId="7540A6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0.0001 </w:t>
            </w:r>
          </w:p>
        </w:tc>
        <w:tc>
          <w:tcPr>
            <w:tcW w:w="256" w:type="pct"/>
            <w:vMerge w:val="continue"/>
            <w:tcBorders>
              <w:tl2br w:val="nil"/>
              <w:tr2bl w:val="nil"/>
            </w:tcBorders>
            <w:shd w:val="clear" w:color="auto" w:fill="auto"/>
            <w:vAlign w:val="center"/>
          </w:tcPr>
          <w:p w14:paraId="019430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417B98A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3D1907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237" w:type="pct"/>
            <w:vMerge w:val="continue"/>
            <w:tcBorders>
              <w:tl2br w:val="nil"/>
              <w:tr2bl w:val="nil"/>
            </w:tcBorders>
            <w:shd w:val="clear" w:color="auto" w:fill="auto"/>
            <w:vAlign w:val="center"/>
          </w:tcPr>
          <w:p w14:paraId="18C54C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54" w:type="pct"/>
            <w:tcBorders>
              <w:tl2br w:val="nil"/>
              <w:tr2bl w:val="nil"/>
            </w:tcBorders>
            <w:shd w:val="clear" w:color="auto" w:fill="auto"/>
            <w:vAlign w:val="center"/>
          </w:tcPr>
          <w:p w14:paraId="403323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 </w:t>
            </w:r>
          </w:p>
        </w:tc>
        <w:tc>
          <w:tcPr>
            <w:tcW w:w="310" w:type="pct"/>
            <w:tcBorders>
              <w:tl2br w:val="nil"/>
              <w:tr2bl w:val="nil"/>
            </w:tcBorders>
            <w:shd w:val="clear" w:color="auto" w:fill="auto"/>
            <w:vAlign w:val="center"/>
          </w:tcPr>
          <w:p w14:paraId="261757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0.0001 </w:t>
            </w:r>
          </w:p>
        </w:tc>
        <w:tc>
          <w:tcPr>
            <w:tcW w:w="231" w:type="pct"/>
            <w:vMerge w:val="continue"/>
            <w:tcBorders>
              <w:tl2br w:val="nil"/>
              <w:tr2bl w:val="nil"/>
            </w:tcBorders>
            <w:shd w:val="clear" w:color="auto" w:fill="auto"/>
            <w:vAlign w:val="center"/>
          </w:tcPr>
          <w:p w14:paraId="766442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7CF951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449B5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vMerge w:val="continue"/>
            <w:tcBorders>
              <w:tl2br w:val="nil"/>
              <w:tr2bl w:val="nil"/>
            </w:tcBorders>
            <w:shd w:val="clear" w:color="auto" w:fill="auto"/>
            <w:vAlign w:val="center"/>
          </w:tcPr>
          <w:p w14:paraId="705592E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221" w:type="pct"/>
            <w:vMerge w:val="continue"/>
            <w:tcBorders>
              <w:tl2br w:val="nil"/>
              <w:tr2bl w:val="nil"/>
            </w:tcBorders>
            <w:shd w:val="clear" w:color="auto" w:fill="auto"/>
            <w:vAlign w:val="center"/>
          </w:tcPr>
          <w:p w14:paraId="0A59C6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305" w:type="pct"/>
            <w:vMerge w:val="continue"/>
            <w:tcBorders>
              <w:tl2br w:val="nil"/>
              <w:tr2bl w:val="nil"/>
            </w:tcBorders>
            <w:shd w:val="clear" w:color="auto" w:fill="auto"/>
            <w:vAlign w:val="center"/>
          </w:tcPr>
          <w:p w14:paraId="18D1E7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242BA24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6" w:type="pct"/>
            <w:vMerge w:val="continue"/>
            <w:tcBorders>
              <w:tl2br w:val="nil"/>
              <w:tr2bl w:val="nil"/>
            </w:tcBorders>
            <w:shd w:val="clear" w:color="auto" w:fill="auto"/>
            <w:vAlign w:val="center"/>
          </w:tcPr>
          <w:p w14:paraId="2480470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3BFA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482BD3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5B86B9B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2C2BD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TDS </w:t>
            </w:r>
          </w:p>
        </w:tc>
        <w:tc>
          <w:tcPr>
            <w:tcW w:w="274" w:type="pct"/>
            <w:tcBorders>
              <w:tl2br w:val="nil"/>
              <w:tr2bl w:val="nil"/>
            </w:tcBorders>
            <w:shd w:val="clear" w:color="auto" w:fill="auto"/>
            <w:vAlign w:val="center"/>
          </w:tcPr>
          <w:p w14:paraId="3E5C9E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996.75 </w:t>
            </w:r>
          </w:p>
        </w:tc>
        <w:tc>
          <w:tcPr>
            <w:tcW w:w="274" w:type="pct"/>
            <w:tcBorders>
              <w:tl2br w:val="nil"/>
              <w:tr2bl w:val="nil"/>
            </w:tcBorders>
            <w:shd w:val="clear" w:color="auto" w:fill="auto"/>
            <w:vAlign w:val="center"/>
          </w:tcPr>
          <w:p w14:paraId="5455A7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0.5450 </w:t>
            </w:r>
          </w:p>
        </w:tc>
        <w:tc>
          <w:tcPr>
            <w:tcW w:w="256" w:type="pct"/>
            <w:vMerge w:val="continue"/>
            <w:tcBorders>
              <w:tl2br w:val="nil"/>
              <w:tr2bl w:val="nil"/>
            </w:tcBorders>
            <w:shd w:val="clear" w:color="auto" w:fill="auto"/>
            <w:vAlign w:val="center"/>
          </w:tcPr>
          <w:p w14:paraId="782915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66A502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6C612A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p>
        </w:tc>
        <w:tc>
          <w:tcPr>
            <w:tcW w:w="237" w:type="pct"/>
            <w:tcBorders>
              <w:tl2br w:val="nil"/>
              <w:tr2bl w:val="nil"/>
            </w:tcBorders>
            <w:shd w:val="clear" w:color="auto" w:fill="auto"/>
            <w:vAlign w:val="center"/>
          </w:tcPr>
          <w:p w14:paraId="1C653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454" w:type="pct"/>
            <w:tcBorders>
              <w:tl2br w:val="nil"/>
              <w:tr2bl w:val="nil"/>
            </w:tcBorders>
            <w:shd w:val="clear" w:color="auto" w:fill="auto"/>
            <w:vAlign w:val="center"/>
          </w:tcPr>
          <w:p w14:paraId="48BBAB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996.7536921</w:t>
            </w:r>
          </w:p>
        </w:tc>
        <w:tc>
          <w:tcPr>
            <w:tcW w:w="310" w:type="pct"/>
            <w:tcBorders>
              <w:tl2br w:val="nil"/>
              <w:tr2bl w:val="nil"/>
            </w:tcBorders>
            <w:shd w:val="clear" w:color="auto" w:fill="auto"/>
            <w:vAlign w:val="center"/>
          </w:tcPr>
          <w:p w14:paraId="2B6E4C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0.545</w:t>
            </w:r>
          </w:p>
        </w:tc>
        <w:tc>
          <w:tcPr>
            <w:tcW w:w="231" w:type="pct"/>
            <w:vMerge w:val="continue"/>
            <w:tcBorders>
              <w:tl2br w:val="nil"/>
              <w:tr2bl w:val="nil"/>
            </w:tcBorders>
            <w:shd w:val="clear" w:color="auto" w:fill="auto"/>
            <w:vAlign w:val="center"/>
          </w:tcPr>
          <w:p w14:paraId="0BED66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61F8B3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08737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vMerge w:val="continue"/>
            <w:tcBorders>
              <w:tl2br w:val="nil"/>
              <w:tr2bl w:val="nil"/>
            </w:tcBorders>
            <w:shd w:val="clear" w:color="auto" w:fill="auto"/>
            <w:vAlign w:val="center"/>
          </w:tcPr>
          <w:p w14:paraId="4A7795E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221" w:type="pct"/>
            <w:vMerge w:val="continue"/>
            <w:tcBorders>
              <w:tl2br w:val="nil"/>
              <w:tr2bl w:val="nil"/>
            </w:tcBorders>
            <w:shd w:val="clear" w:color="auto" w:fill="auto"/>
            <w:vAlign w:val="center"/>
          </w:tcPr>
          <w:p w14:paraId="6A0A5F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305" w:type="pct"/>
            <w:vMerge w:val="continue"/>
            <w:tcBorders>
              <w:tl2br w:val="nil"/>
              <w:tr2bl w:val="nil"/>
            </w:tcBorders>
            <w:shd w:val="clear" w:color="auto" w:fill="auto"/>
            <w:vAlign w:val="center"/>
          </w:tcPr>
          <w:p w14:paraId="2EFACB5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1DF99A0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6" w:type="pct"/>
            <w:vMerge w:val="continue"/>
            <w:tcBorders>
              <w:tl2br w:val="nil"/>
              <w:tr2bl w:val="nil"/>
            </w:tcBorders>
            <w:shd w:val="clear" w:color="auto" w:fill="auto"/>
            <w:vAlign w:val="center"/>
          </w:tcPr>
          <w:p w14:paraId="3DDC73C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5B84E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tcBorders>
              <w:tl2br w:val="nil"/>
              <w:tr2bl w:val="nil"/>
            </w:tcBorders>
            <w:shd w:val="clear" w:color="auto" w:fill="auto"/>
            <w:vAlign w:val="center"/>
          </w:tcPr>
          <w:p w14:paraId="2FE6C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乙醇废气处理废水</w:t>
            </w:r>
          </w:p>
        </w:tc>
        <w:tc>
          <w:tcPr>
            <w:tcW w:w="310" w:type="pct"/>
            <w:tcBorders>
              <w:tl2br w:val="nil"/>
              <w:tr2bl w:val="nil"/>
            </w:tcBorders>
            <w:shd w:val="clear" w:color="auto" w:fill="auto"/>
            <w:vAlign w:val="center"/>
          </w:tcPr>
          <w:p w14:paraId="568A13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25.2</w:t>
            </w:r>
          </w:p>
        </w:tc>
        <w:tc>
          <w:tcPr>
            <w:tcW w:w="412" w:type="pct"/>
            <w:tcBorders>
              <w:tl2br w:val="nil"/>
              <w:tr2bl w:val="nil"/>
            </w:tcBorders>
            <w:shd w:val="clear" w:color="auto" w:fill="auto"/>
            <w:vAlign w:val="center"/>
          </w:tcPr>
          <w:p w14:paraId="435987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COD</w:t>
            </w:r>
          </w:p>
        </w:tc>
        <w:tc>
          <w:tcPr>
            <w:tcW w:w="274" w:type="pct"/>
            <w:tcBorders>
              <w:tl2br w:val="nil"/>
              <w:tr2bl w:val="nil"/>
            </w:tcBorders>
            <w:shd w:val="clear" w:color="auto" w:fill="auto"/>
            <w:vAlign w:val="center"/>
          </w:tcPr>
          <w:p w14:paraId="1DDCCC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20000</w:t>
            </w:r>
          </w:p>
        </w:tc>
        <w:tc>
          <w:tcPr>
            <w:tcW w:w="274" w:type="pct"/>
            <w:tcBorders>
              <w:tl2br w:val="nil"/>
              <w:tr2bl w:val="nil"/>
            </w:tcBorders>
            <w:shd w:val="clear" w:color="auto" w:fill="auto"/>
            <w:vAlign w:val="center"/>
          </w:tcPr>
          <w:p w14:paraId="762E3D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0.504</w:t>
            </w:r>
          </w:p>
        </w:tc>
        <w:tc>
          <w:tcPr>
            <w:tcW w:w="256" w:type="pct"/>
            <w:tcBorders>
              <w:tl2br w:val="nil"/>
              <w:tr2bl w:val="nil"/>
            </w:tcBorders>
            <w:shd w:val="clear" w:color="auto" w:fill="auto"/>
            <w:vAlign w:val="center"/>
          </w:tcPr>
          <w:p w14:paraId="7121C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收集池+混凝沉淀+厌氧+好氧+MBR+紫外消毒</w:t>
            </w:r>
          </w:p>
        </w:tc>
        <w:tc>
          <w:tcPr>
            <w:tcW w:w="328" w:type="pct"/>
            <w:tcBorders>
              <w:tl2br w:val="nil"/>
              <w:tr2bl w:val="nil"/>
            </w:tcBorders>
            <w:shd w:val="clear" w:color="auto" w:fill="auto"/>
            <w:vAlign w:val="center"/>
          </w:tcPr>
          <w:p w14:paraId="45E831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0.1m</w:t>
            </w:r>
            <w:r>
              <w:rPr>
                <w:rFonts w:hint="default" w:ascii="Times New Roman" w:hAnsi="Times New Roman" w:eastAsia="宋体" w:cs="Times New Roman"/>
                <w:i w:val="0"/>
                <w:iCs w:val="0"/>
                <w:color w:val="auto"/>
                <w:kern w:val="0"/>
                <w:sz w:val="20"/>
                <w:szCs w:val="20"/>
                <w:u w:val="none"/>
                <w:vertAlign w:val="superscript"/>
                <w:lang w:val="en-US" w:eastAsia="zh-CN" w:bidi="ar"/>
              </w:rPr>
              <w:t>3</w:t>
            </w:r>
            <w:r>
              <w:rPr>
                <w:rFonts w:hint="default" w:ascii="Times New Roman" w:hAnsi="Times New Roman" w:eastAsia="宋体" w:cs="Times New Roman"/>
                <w:i w:val="0"/>
                <w:iCs w:val="0"/>
                <w:color w:val="auto"/>
                <w:kern w:val="0"/>
                <w:sz w:val="20"/>
                <w:szCs w:val="20"/>
                <w:u w:val="none"/>
                <w:lang w:val="en-US" w:eastAsia="zh-CN" w:bidi="ar"/>
              </w:rPr>
              <w:t>/d</w:t>
            </w:r>
          </w:p>
        </w:tc>
        <w:tc>
          <w:tcPr>
            <w:tcW w:w="197" w:type="pct"/>
            <w:tcBorders>
              <w:tl2br w:val="nil"/>
              <w:tr2bl w:val="nil"/>
            </w:tcBorders>
            <w:shd w:val="clear" w:color="auto" w:fill="auto"/>
            <w:vAlign w:val="center"/>
          </w:tcPr>
          <w:p w14:paraId="4DE2E8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99</w:t>
            </w:r>
          </w:p>
        </w:tc>
        <w:tc>
          <w:tcPr>
            <w:tcW w:w="237" w:type="pct"/>
            <w:tcBorders>
              <w:tl2br w:val="nil"/>
              <w:tr2bl w:val="nil"/>
            </w:tcBorders>
            <w:shd w:val="clear" w:color="auto" w:fill="auto"/>
            <w:vAlign w:val="center"/>
          </w:tcPr>
          <w:p w14:paraId="2E74C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454" w:type="pct"/>
            <w:tcBorders>
              <w:tl2br w:val="nil"/>
              <w:tr2bl w:val="nil"/>
            </w:tcBorders>
            <w:shd w:val="clear" w:color="auto" w:fill="auto"/>
            <w:vAlign w:val="center"/>
          </w:tcPr>
          <w:p w14:paraId="264DE9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200</w:t>
            </w:r>
          </w:p>
        </w:tc>
        <w:tc>
          <w:tcPr>
            <w:tcW w:w="310" w:type="pct"/>
            <w:tcBorders>
              <w:tl2br w:val="nil"/>
              <w:tr2bl w:val="nil"/>
            </w:tcBorders>
            <w:shd w:val="clear" w:color="auto" w:fill="auto"/>
            <w:vAlign w:val="center"/>
          </w:tcPr>
          <w:p w14:paraId="1ADD70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0.00504</w:t>
            </w:r>
          </w:p>
        </w:tc>
        <w:tc>
          <w:tcPr>
            <w:tcW w:w="231" w:type="pct"/>
            <w:tcBorders>
              <w:tl2br w:val="nil"/>
              <w:tr2bl w:val="nil"/>
            </w:tcBorders>
            <w:shd w:val="clear" w:color="auto" w:fill="auto"/>
            <w:vAlign w:val="center"/>
          </w:tcPr>
          <w:p w14:paraId="0AE78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生产废水排口</w:t>
            </w:r>
          </w:p>
        </w:tc>
        <w:tc>
          <w:tcPr>
            <w:tcW w:w="241" w:type="pct"/>
            <w:tcBorders>
              <w:tl2br w:val="nil"/>
              <w:tr2bl w:val="nil"/>
            </w:tcBorders>
            <w:shd w:val="clear" w:color="auto" w:fill="auto"/>
            <w:vAlign w:val="center"/>
          </w:tcPr>
          <w:p w14:paraId="3B6787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1F08CA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76FEEA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21" w:type="pct"/>
            <w:tcBorders>
              <w:tl2br w:val="nil"/>
              <w:tr2bl w:val="nil"/>
            </w:tcBorders>
            <w:shd w:val="clear" w:color="auto" w:fill="auto"/>
            <w:vAlign w:val="center"/>
          </w:tcPr>
          <w:p w14:paraId="60BB25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305" w:type="pct"/>
            <w:tcBorders>
              <w:tl2br w:val="nil"/>
              <w:tr2bl w:val="nil"/>
            </w:tcBorders>
            <w:shd w:val="clear" w:color="auto" w:fill="auto"/>
            <w:vAlign w:val="center"/>
          </w:tcPr>
          <w:p w14:paraId="6D9D0F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715920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6" w:type="pct"/>
            <w:tcBorders>
              <w:tl2br w:val="nil"/>
              <w:tr2bl w:val="nil"/>
            </w:tcBorders>
            <w:shd w:val="clear" w:color="auto" w:fill="auto"/>
            <w:vAlign w:val="center"/>
          </w:tcPr>
          <w:p w14:paraId="4752C9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r>
      <w:tr w14:paraId="20BD8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restart"/>
            <w:tcBorders>
              <w:tl2br w:val="nil"/>
              <w:tr2bl w:val="nil"/>
            </w:tcBorders>
            <w:shd w:val="clear" w:color="auto" w:fill="auto"/>
            <w:vAlign w:val="center"/>
          </w:tcPr>
          <w:p w14:paraId="5CBA6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生产废水排放口DW002</w:t>
            </w:r>
          </w:p>
        </w:tc>
        <w:tc>
          <w:tcPr>
            <w:tcW w:w="310" w:type="pct"/>
            <w:vMerge w:val="restart"/>
            <w:tcBorders>
              <w:tl2br w:val="nil"/>
              <w:tr2bl w:val="nil"/>
            </w:tcBorders>
            <w:shd w:val="clear" w:color="auto" w:fill="auto"/>
            <w:vAlign w:val="center"/>
          </w:tcPr>
          <w:p w14:paraId="3AFC00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571.975</w:t>
            </w:r>
          </w:p>
        </w:tc>
        <w:tc>
          <w:tcPr>
            <w:tcW w:w="412" w:type="pct"/>
            <w:tcBorders>
              <w:tl2br w:val="nil"/>
              <w:tr2bl w:val="nil"/>
            </w:tcBorders>
            <w:shd w:val="clear" w:color="auto" w:fill="auto"/>
            <w:vAlign w:val="center"/>
          </w:tcPr>
          <w:p w14:paraId="30CE178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pH(无量纲）</w:t>
            </w:r>
          </w:p>
        </w:tc>
        <w:tc>
          <w:tcPr>
            <w:tcW w:w="274" w:type="pct"/>
            <w:tcBorders>
              <w:tl2br w:val="nil"/>
              <w:tr2bl w:val="nil"/>
            </w:tcBorders>
            <w:shd w:val="clear" w:color="auto" w:fill="auto"/>
            <w:vAlign w:val="center"/>
          </w:tcPr>
          <w:p w14:paraId="71EE78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274" w:type="pct"/>
            <w:tcBorders>
              <w:tl2br w:val="nil"/>
              <w:tr2bl w:val="nil"/>
            </w:tcBorders>
            <w:shd w:val="clear" w:color="auto" w:fill="auto"/>
            <w:vAlign w:val="center"/>
          </w:tcPr>
          <w:p w14:paraId="4E13D5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56" w:type="pct"/>
            <w:vMerge w:val="restart"/>
            <w:tcBorders>
              <w:tl2br w:val="nil"/>
              <w:tr2bl w:val="nil"/>
            </w:tcBorders>
            <w:shd w:val="clear" w:color="auto" w:fill="auto"/>
            <w:vAlign w:val="center"/>
          </w:tcPr>
          <w:p w14:paraId="7EF85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分别处理后汇入厂区生产废水排口</w:t>
            </w:r>
          </w:p>
        </w:tc>
        <w:tc>
          <w:tcPr>
            <w:tcW w:w="328" w:type="pct"/>
            <w:vMerge w:val="restart"/>
            <w:tcBorders>
              <w:tl2br w:val="nil"/>
              <w:tr2bl w:val="nil"/>
            </w:tcBorders>
            <w:shd w:val="clear" w:color="auto" w:fill="auto"/>
            <w:vAlign w:val="center"/>
          </w:tcPr>
          <w:p w14:paraId="303EB5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97" w:type="pct"/>
            <w:tcBorders>
              <w:tl2br w:val="nil"/>
              <w:tr2bl w:val="nil"/>
            </w:tcBorders>
            <w:shd w:val="clear" w:color="auto" w:fill="auto"/>
            <w:vAlign w:val="center"/>
          </w:tcPr>
          <w:p w14:paraId="1A9F8E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restart"/>
            <w:tcBorders>
              <w:tl2br w:val="nil"/>
              <w:tr2bl w:val="nil"/>
            </w:tcBorders>
            <w:shd w:val="clear" w:color="auto" w:fill="auto"/>
            <w:vAlign w:val="center"/>
          </w:tcPr>
          <w:p w14:paraId="44BDE0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454" w:type="pct"/>
            <w:tcBorders>
              <w:tl2br w:val="nil"/>
              <w:tr2bl w:val="nil"/>
            </w:tcBorders>
            <w:shd w:val="clear" w:color="auto" w:fill="auto"/>
            <w:vAlign w:val="center"/>
          </w:tcPr>
          <w:p w14:paraId="198FEE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310" w:type="pct"/>
            <w:tcBorders>
              <w:tl2br w:val="nil"/>
              <w:tr2bl w:val="nil"/>
            </w:tcBorders>
            <w:shd w:val="clear" w:color="auto" w:fill="auto"/>
            <w:vAlign w:val="center"/>
          </w:tcPr>
          <w:p w14:paraId="7948A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1" w:type="pct"/>
            <w:vMerge w:val="restart"/>
            <w:tcBorders>
              <w:tl2br w:val="nil"/>
              <w:tr2bl w:val="nil"/>
            </w:tcBorders>
            <w:shd w:val="clear" w:color="auto" w:fill="auto"/>
            <w:vAlign w:val="center"/>
          </w:tcPr>
          <w:p w14:paraId="10EDD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重庆宁态环保科技有限公司罐车拉运处置/北渡园区污水处理厂</w:t>
            </w:r>
          </w:p>
        </w:tc>
        <w:tc>
          <w:tcPr>
            <w:tcW w:w="241" w:type="pct"/>
            <w:tcBorders>
              <w:tl2br w:val="nil"/>
              <w:tr2bl w:val="nil"/>
            </w:tcBorders>
            <w:shd w:val="clear" w:color="auto" w:fill="auto"/>
            <w:vAlign w:val="center"/>
          </w:tcPr>
          <w:p w14:paraId="046713A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6~9</w:t>
            </w:r>
          </w:p>
        </w:tc>
        <w:tc>
          <w:tcPr>
            <w:tcW w:w="170" w:type="pct"/>
            <w:tcBorders>
              <w:tl2br w:val="nil"/>
              <w:tr2bl w:val="nil"/>
            </w:tcBorders>
            <w:shd w:val="clear" w:color="auto" w:fill="auto"/>
            <w:vAlign w:val="center"/>
          </w:tcPr>
          <w:p w14:paraId="5601BC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达标</w:t>
            </w:r>
          </w:p>
        </w:tc>
        <w:tc>
          <w:tcPr>
            <w:tcW w:w="170" w:type="pct"/>
            <w:vMerge w:val="restart"/>
            <w:tcBorders>
              <w:tl2br w:val="nil"/>
              <w:tr2bl w:val="nil"/>
            </w:tcBorders>
            <w:shd w:val="clear" w:color="auto" w:fill="auto"/>
            <w:vAlign w:val="center"/>
          </w:tcPr>
          <w:p w14:paraId="36C1D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间接排放</w:t>
            </w:r>
          </w:p>
        </w:tc>
        <w:tc>
          <w:tcPr>
            <w:tcW w:w="221" w:type="pct"/>
            <w:vMerge w:val="restart"/>
            <w:tcBorders>
              <w:tl2br w:val="nil"/>
              <w:tr2bl w:val="nil"/>
            </w:tcBorders>
            <w:shd w:val="clear" w:color="auto" w:fill="auto"/>
            <w:vAlign w:val="center"/>
          </w:tcPr>
          <w:p w14:paraId="7F8B8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间断排放，排放期间流量不稳定，但有周期性规律</w:t>
            </w:r>
          </w:p>
        </w:tc>
        <w:tc>
          <w:tcPr>
            <w:tcW w:w="305" w:type="pct"/>
            <w:vMerge w:val="restart"/>
            <w:tcBorders>
              <w:tl2br w:val="nil"/>
              <w:tr2bl w:val="nil"/>
            </w:tcBorders>
            <w:shd w:val="clear" w:color="auto" w:fill="auto"/>
            <w:vAlign w:val="center"/>
          </w:tcPr>
          <w:p w14:paraId="43EA66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DW002</w:t>
            </w:r>
          </w:p>
        </w:tc>
        <w:tc>
          <w:tcPr>
            <w:tcW w:w="170" w:type="pct"/>
            <w:vMerge w:val="restart"/>
            <w:tcBorders>
              <w:tl2br w:val="nil"/>
              <w:tr2bl w:val="nil"/>
            </w:tcBorders>
            <w:shd w:val="clear" w:color="auto" w:fill="auto"/>
            <w:vAlign w:val="center"/>
          </w:tcPr>
          <w:p w14:paraId="78AF5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一般排放口</w:t>
            </w:r>
          </w:p>
        </w:tc>
        <w:tc>
          <w:tcPr>
            <w:tcW w:w="176" w:type="pct"/>
            <w:vMerge w:val="restart"/>
            <w:tcBorders>
              <w:tl2br w:val="nil"/>
              <w:tr2bl w:val="nil"/>
            </w:tcBorders>
            <w:shd w:val="clear" w:color="auto" w:fill="auto"/>
            <w:vAlign w:val="center"/>
          </w:tcPr>
          <w:p w14:paraId="5B2E243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7EA0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709C23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5744B1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0BA7A1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COD</w:t>
            </w:r>
          </w:p>
        </w:tc>
        <w:tc>
          <w:tcPr>
            <w:tcW w:w="274" w:type="pct"/>
            <w:tcBorders>
              <w:tl2br w:val="nil"/>
              <w:tr2bl w:val="nil"/>
            </w:tcBorders>
            <w:shd w:val="clear" w:color="auto" w:fill="auto"/>
            <w:vAlign w:val="center"/>
          </w:tcPr>
          <w:p w14:paraId="2436F0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886.5 </w:t>
            </w:r>
          </w:p>
        </w:tc>
        <w:tc>
          <w:tcPr>
            <w:tcW w:w="274" w:type="pct"/>
            <w:tcBorders>
              <w:tl2br w:val="nil"/>
              <w:tr2bl w:val="nil"/>
            </w:tcBorders>
            <w:shd w:val="clear" w:color="auto" w:fill="auto"/>
            <w:vAlign w:val="center"/>
          </w:tcPr>
          <w:p w14:paraId="13F6BC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0.5071 </w:t>
            </w:r>
          </w:p>
        </w:tc>
        <w:tc>
          <w:tcPr>
            <w:tcW w:w="256" w:type="pct"/>
            <w:vMerge w:val="continue"/>
            <w:tcBorders>
              <w:tl2br w:val="nil"/>
              <w:tr2bl w:val="nil"/>
            </w:tcBorders>
            <w:shd w:val="clear" w:color="auto" w:fill="auto"/>
            <w:vAlign w:val="center"/>
          </w:tcPr>
          <w:p w14:paraId="5F4729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2A75F06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6B596B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continue"/>
            <w:tcBorders>
              <w:tl2br w:val="nil"/>
              <w:tr2bl w:val="nil"/>
            </w:tcBorders>
            <w:shd w:val="clear" w:color="auto" w:fill="auto"/>
            <w:vAlign w:val="center"/>
          </w:tcPr>
          <w:p w14:paraId="42121A5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54" w:type="pct"/>
            <w:tcBorders>
              <w:tl2br w:val="nil"/>
              <w:tr2bl w:val="nil"/>
            </w:tcBorders>
            <w:shd w:val="clear" w:color="auto" w:fill="auto"/>
            <w:vAlign w:val="center"/>
          </w:tcPr>
          <w:p w14:paraId="4A1BBF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13.1 </w:t>
            </w:r>
          </w:p>
        </w:tc>
        <w:tc>
          <w:tcPr>
            <w:tcW w:w="310" w:type="pct"/>
            <w:tcBorders>
              <w:tl2br w:val="nil"/>
              <w:tr2bl w:val="nil"/>
            </w:tcBorders>
            <w:shd w:val="clear" w:color="auto" w:fill="auto"/>
            <w:vAlign w:val="center"/>
          </w:tcPr>
          <w:p w14:paraId="50833F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0.0075 </w:t>
            </w:r>
          </w:p>
        </w:tc>
        <w:tc>
          <w:tcPr>
            <w:tcW w:w="231" w:type="pct"/>
            <w:vMerge w:val="continue"/>
            <w:tcBorders>
              <w:tl2br w:val="nil"/>
              <w:tr2bl w:val="nil"/>
            </w:tcBorders>
            <w:shd w:val="clear" w:color="auto" w:fill="auto"/>
            <w:vAlign w:val="center"/>
          </w:tcPr>
          <w:p w14:paraId="4C038D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1EFDA0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300</w:t>
            </w:r>
          </w:p>
        </w:tc>
        <w:tc>
          <w:tcPr>
            <w:tcW w:w="170" w:type="pct"/>
            <w:tcBorders>
              <w:tl2br w:val="nil"/>
              <w:tr2bl w:val="nil"/>
            </w:tcBorders>
            <w:shd w:val="clear" w:color="auto" w:fill="auto"/>
            <w:vAlign w:val="center"/>
          </w:tcPr>
          <w:p w14:paraId="763C4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达标</w:t>
            </w:r>
          </w:p>
        </w:tc>
        <w:tc>
          <w:tcPr>
            <w:tcW w:w="170" w:type="pct"/>
            <w:vMerge w:val="continue"/>
            <w:tcBorders>
              <w:tl2br w:val="nil"/>
              <w:tr2bl w:val="nil"/>
            </w:tcBorders>
            <w:shd w:val="clear" w:color="auto" w:fill="auto"/>
            <w:vAlign w:val="center"/>
          </w:tcPr>
          <w:p w14:paraId="1EA94B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21" w:type="pct"/>
            <w:vMerge w:val="continue"/>
            <w:tcBorders>
              <w:tl2br w:val="nil"/>
              <w:tr2bl w:val="nil"/>
            </w:tcBorders>
            <w:shd w:val="clear" w:color="auto" w:fill="auto"/>
            <w:vAlign w:val="center"/>
          </w:tcPr>
          <w:p w14:paraId="56DB20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05" w:type="pct"/>
            <w:vMerge w:val="continue"/>
            <w:tcBorders>
              <w:tl2br w:val="nil"/>
              <w:tr2bl w:val="nil"/>
            </w:tcBorders>
            <w:shd w:val="clear" w:color="auto" w:fill="auto"/>
            <w:vAlign w:val="center"/>
          </w:tcPr>
          <w:p w14:paraId="7E69266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49DA9F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6" w:type="pct"/>
            <w:vMerge w:val="continue"/>
            <w:tcBorders>
              <w:tl2br w:val="nil"/>
              <w:tr2bl w:val="nil"/>
            </w:tcBorders>
            <w:shd w:val="clear" w:color="auto" w:fill="auto"/>
            <w:vAlign w:val="center"/>
          </w:tcPr>
          <w:p w14:paraId="6869F1A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1EA54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555212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3B7F438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72F3D2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SS</w:t>
            </w:r>
          </w:p>
        </w:tc>
        <w:tc>
          <w:tcPr>
            <w:tcW w:w="274" w:type="pct"/>
            <w:tcBorders>
              <w:tl2br w:val="nil"/>
              <w:tr2bl w:val="nil"/>
            </w:tcBorders>
            <w:shd w:val="clear" w:color="auto" w:fill="auto"/>
            <w:vAlign w:val="center"/>
          </w:tcPr>
          <w:p w14:paraId="159345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2.2 </w:t>
            </w:r>
          </w:p>
        </w:tc>
        <w:tc>
          <w:tcPr>
            <w:tcW w:w="274" w:type="pct"/>
            <w:tcBorders>
              <w:tl2br w:val="nil"/>
              <w:tr2bl w:val="nil"/>
            </w:tcBorders>
            <w:shd w:val="clear" w:color="auto" w:fill="auto"/>
            <w:vAlign w:val="center"/>
          </w:tcPr>
          <w:p w14:paraId="51EF87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0.0013 </w:t>
            </w:r>
          </w:p>
        </w:tc>
        <w:tc>
          <w:tcPr>
            <w:tcW w:w="256" w:type="pct"/>
            <w:vMerge w:val="continue"/>
            <w:tcBorders>
              <w:tl2br w:val="nil"/>
              <w:tr2bl w:val="nil"/>
            </w:tcBorders>
            <w:shd w:val="clear" w:color="auto" w:fill="auto"/>
            <w:vAlign w:val="center"/>
          </w:tcPr>
          <w:p w14:paraId="3CB87B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087DB2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445060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continue"/>
            <w:tcBorders>
              <w:tl2br w:val="nil"/>
              <w:tr2bl w:val="nil"/>
            </w:tcBorders>
            <w:shd w:val="clear" w:color="auto" w:fill="auto"/>
            <w:vAlign w:val="center"/>
          </w:tcPr>
          <w:p w14:paraId="67798D2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54" w:type="pct"/>
            <w:tcBorders>
              <w:tl2br w:val="nil"/>
              <w:tr2bl w:val="nil"/>
            </w:tcBorders>
            <w:shd w:val="clear" w:color="auto" w:fill="auto"/>
            <w:vAlign w:val="center"/>
          </w:tcPr>
          <w:p w14:paraId="7D4AC2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1.8 </w:t>
            </w:r>
          </w:p>
        </w:tc>
        <w:tc>
          <w:tcPr>
            <w:tcW w:w="310" w:type="pct"/>
            <w:tcBorders>
              <w:tl2br w:val="nil"/>
              <w:tr2bl w:val="nil"/>
            </w:tcBorders>
            <w:shd w:val="clear" w:color="auto" w:fill="auto"/>
            <w:vAlign w:val="center"/>
          </w:tcPr>
          <w:p w14:paraId="64984E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0.0010 </w:t>
            </w:r>
          </w:p>
        </w:tc>
        <w:tc>
          <w:tcPr>
            <w:tcW w:w="231" w:type="pct"/>
            <w:vMerge w:val="continue"/>
            <w:tcBorders>
              <w:tl2br w:val="nil"/>
              <w:tr2bl w:val="nil"/>
            </w:tcBorders>
            <w:shd w:val="clear" w:color="auto" w:fill="auto"/>
            <w:vAlign w:val="center"/>
          </w:tcPr>
          <w:p w14:paraId="39D9900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184B49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150</w:t>
            </w:r>
          </w:p>
        </w:tc>
        <w:tc>
          <w:tcPr>
            <w:tcW w:w="170" w:type="pct"/>
            <w:tcBorders>
              <w:tl2br w:val="nil"/>
              <w:tr2bl w:val="nil"/>
            </w:tcBorders>
            <w:shd w:val="clear" w:color="auto" w:fill="auto"/>
            <w:vAlign w:val="center"/>
          </w:tcPr>
          <w:p w14:paraId="68E4E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达标</w:t>
            </w:r>
          </w:p>
        </w:tc>
        <w:tc>
          <w:tcPr>
            <w:tcW w:w="170" w:type="pct"/>
            <w:vMerge w:val="continue"/>
            <w:tcBorders>
              <w:tl2br w:val="nil"/>
              <w:tr2bl w:val="nil"/>
            </w:tcBorders>
            <w:shd w:val="clear" w:color="auto" w:fill="auto"/>
            <w:vAlign w:val="center"/>
          </w:tcPr>
          <w:p w14:paraId="2AED2F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21" w:type="pct"/>
            <w:vMerge w:val="continue"/>
            <w:tcBorders>
              <w:tl2br w:val="nil"/>
              <w:tr2bl w:val="nil"/>
            </w:tcBorders>
            <w:shd w:val="clear" w:color="auto" w:fill="auto"/>
            <w:vAlign w:val="center"/>
          </w:tcPr>
          <w:p w14:paraId="4F06B0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05" w:type="pct"/>
            <w:vMerge w:val="continue"/>
            <w:tcBorders>
              <w:tl2br w:val="nil"/>
              <w:tr2bl w:val="nil"/>
            </w:tcBorders>
            <w:shd w:val="clear" w:color="auto" w:fill="auto"/>
            <w:vAlign w:val="center"/>
          </w:tcPr>
          <w:p w14:paraId="3816D4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0C06C8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6" w:type="pct"/>
            <w:vMerge w:val="continue"/>
            <w:tcBorders>
              <w:tl2br w:val="nil"/>
              <w:tr2bl w:val="nil"/>
            </w:tcBorders>
            <w:shd w:val="clear" w:color="auto" w:fill="auto"/>
            <w:vAlign w:val="center"/>
          </w:tcPr>
          <w:p w14:paraId="4DB293A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55FAC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034BFE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106EAE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7A8E3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氨氮</w:t>
            </w:r>
          </w:p>
        </w:tc>
        <w:tc>
          <w:tcPr>
            <w:tcW w:w="274" w:type="pct"/>
            <w:tcBorders>
              <w:tl2br w:val="nil"/>
              <w:tr2bl w:val="nil"/>
            </w:tcBorders>
            <w:shd w:val="clear" w:color="auto" w:fill="auto"/>
            <w:vAlign w:val="center"/>
          </w:tcPr>
          <w:p w14:paraId="6A6FCA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 </w:t>
            </w:r>
          </w:p>
        </w:tc>
        <w:tc>
          <w:tcPr>
            <w:tcW w:w="274" w:type="pct"/>
            <w:tcBorders>
              <w:tl2br w:val="nil"/>
              <w:tr2bl w:val="nil"/>
            </w:tcBorders>
            <w:shd w:val="clear" w:color="auto" w:fill="auto"/>
            <w:vAlign w:val="center"/>
          </w:tcPr>
          <w:p w14:paraId="2B694F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0.0001 </w:t>
            </w:r>
          </w:p>
        </w:tc>
        <w:tc>
          <w:tcPr>
            <w:tcW w:w="256" w:type="pct"/>
            <w:vMerge w:val="continue"/>
            <w:tcBorders>
              <w:tl2br w:val="nil"/>
              <w:tr2bl w:val="nil"/>
            </w:tcBorders>
            <w:shd w:val="clear" w:color="auto" w:fill="auto"/>
            <w:vAlign w:val="center"/>
          </w:tcPr>
          <w:p w14:paraId="1B1E11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737F233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69647A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continue"/>
            <w:tcBorders>
              <w:tl2br w:val="nil"/>
              <w:tr2bl w:val="nil"/>
            </w:tcBorders>
            <w:shd w:val="clear" w:color="auto" w:fill="auto"/>
            <w:vAlign w:val="center"/>
          </w:tcPr>
          <w:p w14:paraId="5AB72CC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54" w:type="pct"/>
            <w:tcBorders>
              <w:tl2br w:val="nil"/>
              <w:tr2bl w:val="nil"/>
            </w:tcBorders>
            <w:shd w:val="clear" w:color="auto" w:fill="auto"/>
            <w:vAlign w:val="center"/>
          </w:tcPr>
          <w:p w14:paraId="6FDA8B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0.1 </w:t>
            </w:r>
          </w:p>
        </w:tc>
        <w:tc>
          <w:tcPr>
            <w:tcW w:w="310" w:type="pct"/>
            <w:tcBorders>
              <w:tl2br w:val="nil"/>
              <w:tr2bl w:val="nil"/>
            </w:tcBorders>
            <w:shd w:val="clear" w:color="auto" w:fill="auto"/>
            <w:vAlign w:val="center"/>
          </w:tcPr>
          <w:p w14:paraId="324A20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0.0001 </w:t>
            </w:r>
          </w:p>
        </w:tc>
        <w:tc>
          <w:tcPr>
            <w:tcW w:w="231" w:type="pct"/>
            <w:vMerge w:val="continue"/>
            <w:tcBorders>
              <w:tl2br w:val="nil"/>
              <w:tr2bl w:val="nil"/>
            </w:tcBorders>
            <w:shd w:val="clear" w:color="auto" w:fill="auto"/>
            <w:vAlign w:val="center"/>
          </w:tcPr>
          <w:p w14:paraId="085088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27779F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w:t>
            </w:r>
          </w:p>
        </w:tc>
        <w:tc>
          <w:tcPr>
            <w:tcW w:w="170" w:type="pct"/>
            <w:tcBorders>
              <w:tl2br w:val="nil"/>
              <w:tr2bl w:val="nil"/>
            </w:tcBorders>
            <w:shd w:val="clear" w:color="auto" w:fill="auto"/>
            <w:vAlign w:val="center"/>
          </w:tcPr>
          <w:p w14:paraId="0E055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达标</w:t>
            </w:r>
          </w:p>
        </w:tc>
        <w:tc>
          <w:tcPr>
            <w:tcW w:w="170" w:type="pct"/>
            <w:vMerge w:val="continue"/>
            <w:tcBorders>
              <w:tl2br w:val="nil"/>
              <w:tr2bl w:val="nil"/>
            </w:tcBorders>
            <w:shd w:val="clear" w:color="auto" w:fill="auto"/>
            <w:vAlign w:val="center"/>
          </w:tcPr>
          <w:p w14:paraId="3F703D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21" w:type="pct"/>
            <w:vMerge w:val="continue"/>
            <w:tcBorders>
              <w:tl2br w:val="nil"/>
              <w:tr2bl w:val="nil"/>
            </w:tcBorders>
            <w:shd w:val="clear" w:color="auto" w:fill="auto"/>
            <w:vAlign w:val="center"/>
          </w:tcPr>
          <w:p w14:paraId="489605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05" w:type="pct"/>
            <w:vMerge w:val="continue"/>
            <w:tcBorders>
              <w:tl2br w:val="nil"/>
              <w:tr2bl w:val="nil"/>
            </w:tcBorders>
            <w:shd w:val="clear" w:color="auto" w:fill="auto"/>
            <w:vAlign w:val="center"/>
          </w:tcPr>
          <w:p w14:paraId="436F7CD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2274E2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6" w:type="pct"/>
            <w:vMerge w:val="continue"/>
            <w:tcBorders>
              <w:tl2br w:val="nil"/>
              <w:tr2bl w:val="nil"/>
            </w:tcBorders>
            <w:shd w:val="clear" w:color="auto" w:fill="auto"/>
            <w:vAlign w:val="center"/>
          </w:tcPr>
          <w:p w14:paraId="5682C7F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5AA4B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653982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0A0F6BC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3A5A2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石油类</w:t>
            </w:r>
          </w:p>
        </w:tc>
        <w:tc>
          <w:tcPr>
            <w:tcW w:w="274" w:type="pct"/>
            <w:tcBorders>
              <w:tl2br w:val="nil"/>
              <w:tr2bl w:val="nil"/>
            </w:tcBorders>
            <w:shd w:val="clear" w:color="auto" w:fill="auto"/>
            <w:vAlign w:val="center"/>
          </w:tcPr>
          <w:p w14:paraId="2D6F83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0.6 </w:t>
            </w:r>
          </w:p>
        </w:tc>
        <w:tc>
          <w:tcPr>
            <w:tcW w:w="274" w:type="pct"/>
            <w:tcBorders>
              <w:tl2br w:val="nil"/>
              <w:tr2bl w:val="nil"/>
            </w:tcBorders>
            <w:shd w:val="clear" w:color="auto" w:fill="auto"/>
            <w:vAlign w:val="center"/>
          </w:tcPr>
          <w:p w14:paraId="60E590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0.0003 </w:t>
            </w:r>
          </w:p>
        </w:tc>
        <w:tc>
          <w:tcPr>
            <w:tcW w:w="256" w:type="pct"/>
            <w:vMerge w:val="continue"/>
            <w:tcBorders>
              <w:tl2br w:val="nil"/>
              <w:tr2bl w:val="nil"/>
            </w:tcBorders>
            <w:shd w:val="clear" w:color="auto" w:fill="auto"/>
            <w:vAlign w:val="center"/>
          </w:tcPr>
          <w:p w14:paraId="50B79F5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0954CC1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692AE1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continue"/>
            <w:tcBorders>
              <w:tl2br w:val="nil"/>
              <w:tr2bl w:val="nil"/>
            </w:tcBorders>
            <w:shd w:val="clear" w:color="auto" w:fill="auto"/>
            <w:vAlign w:val="center"/>
          </w:tcPr>
          <w:p w14:paraId="1B0C83D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54" w:type="pct"/>
            <w:tcBorders>
              <w:tl2br w:val="nil"/>
              <w:tr2bl w:val="nil"/>
            </w:tcBorders>
            <w:shd w:val="clear" w:color="auto" w:fill="auto"/>
            <w:vAlign w:val="center"/>
          </w:tcPr>
          <w:p w14:paraId="4B9139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0.3 </w:t>
            </w:r>
          </w:p>
        </w:tc>
        <w:tc>
          <w:tcPr>
            <w:tcW w:w="310" w:type="pct"/>
            <w:tcBorders>
              <w:tl2br w:val="nil"/>
              <w:tr2bl w:val="nil"/>
            </w:tcBorders>
            <w:shd w:val="clear" w:color="auto" w:fill="auto"/>
            <w:vAlign w:val="center"/>
          </w:tcPr>
          <w:p w14:paraId="57E01C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0.0002 </w:t>
            </w:r>
          </w:p>
        </w:tc>
        <w:tc>
          <w:tcPr>
            <w:tcW w:w="231" w:type="pct"/>
            <w:vMerge w:val="continue"/>
            <w:tcBorders>
              <w:tl2br w:val="nil"/>
              <w:tr2bl w:val="nil"/>
            </w:tcBorders>
            <w:shd w:val="clear" w:color="auto" w:fill="auto"/>
            <w:vAlign w:val="center"/>
          </w:tcPr>
          <w:p w14:paraId="279195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00D14E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70" w:type="pct"/>
            <w:tcBorders>
              <w:tl2br w:val="nil"/>
              <w:tr2bl w:val="nil"/>
            </w:tcBorders>
            <w:shd w:val="clear" w:color="auto" w:fill="auto"/>
            <w:vAlign w:val="center"/>
          </w:tcPr>
          <w:p w14:paraId="45DCD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达标</w:t>
            </w:r>
          </w:p>
        </w:tc>
        <w:tc>
          <w:tcPr>
            <w:tcW w:w="170" w:type="pct"/>
            <w:vMerge w:val="continue"/>
            <w:tcBorders>
              <w:tl2br w:val="nil"/>
              <w:tr2bl w:val="nil"/>
            </w:tcBorders>
            <w:shd w:val="clear" w:color="auto" w:fill="auto"/>
            <w:vAlign w:val="center"/>
          </w:tcPr>
          <w:p w14:paraId="15E13F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21" w:type="pct"/>
            <w:vMerge w:val="continue"/>
            <w:tcBorders>
              <w:tl2br w:val="nil"/>
              <w:tr2bl w:val="nil"/>
            </w:tcBorders>
            <w:shd w:val="clear" w:color="auto" w:fill="auto"/>
            <w:vAlign w:val="center"/>
          </w:tcPr>
          <w:p w14:paraId="04F8C37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05" w:type="pct"/>
            <w:vMerge w:val="continue"/>
            <w:tcBorders>
              <w:tl2br w:val="nil"/>
              <w:tr2bl w:val="nil"/>
            </w:tcBorders>
            <w:shd w:val="clear" w:color="auto" w:fill="auto"/>
            <w:vAlign w:val="center"/>
          </w:tcPr>
          <w:p w14:paraId="4311745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40CE7D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6" w:type="pct"/>
            <w:vMerge w:val="continue"/>
            <w:tcBorders>
              <w:tl2br w:val="nil"/>
              <w:tr2bl w:val="nil"/>
            </w:tcBorders>
            <w:shd w:val="clear" w:color="auto" w:fill="auto"/>
            <w:vAlign w:val="center"/>
          </w:tcPr>
          <w:p w14:paraId="090555D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r w14:paraId="35CA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40" w:hRule="atLeast"/>
        </w:trPr>
        <w:tc>
          <w:tcPr>
            <w:tcW w:w="256" w:type="pct"/>
            <w:vMerge w:val="continue"/>
            <w:tcBorders>
              <w:tl2br w:val="nil"/>
              <w:tr2bl w:val="nil"/>
            </w:tcBorders>
            <w:shd w:val="clear" w:color="auto" w:fill="auto"/>
            <w:vAlign w:val="center"/>
          </w:tcPr>
          <w:p w14:paraId="7728E3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10" w:type="pct"/>
            <w:vMerge w:val="continue"/>
            <w:tcBorders>
              <w:tl2br w:val="nil"/>
              <w:tr2bl w:val="nil"/>
            </w:tcBorders>
            <w:shd w:val="clear" w:color="auto" w:fill="auto"/>
            <w:vAlign w:val="center"/>
          </w:tcPr>
          <w:p w14:paraId="3DFA2DC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12" w:type="pct"/>
            <w:tcBorders>
              <w:tl2br w:val="nil"/>
              <w:tr2bl w:val="nil"/>
            </w:tcBorders>
            <w:shd w:val="clear" w:color="auto" w:fill="auto"/>
            <w:vAlign w:val="center"/>
          </w:tcPr>
          <w:p w14:paraId="531919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TDS</w:t>
            </w:r>
          </w:p>
        </w:tc>
        <w:tc>
          <w:tcPr>
            <w:tcW w:w="274" w:type="pct"/>
            <w:tcBorders>
              <w:tl2br w:val="nil"/>
              <w:tr2bl w:val="nil"/>
            </w:tcBorders>
            <w:shd w:val="clear" w:color="auto" w:fill="auto"/>
            <w:vAlign w:val="center"/>
          </w:tcPr>
          <w:p w14:paraId="502C0F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952.8 </w:t>
            </w:r>
          </w:p>
        </w:tc>
        <w:tc>
          <w:tcPr>
            <w:tcW w:w="274" w:type="pct"/>
            <w:tcBorders>
              <w:tl2br w:val="nil"/>
              <w:tr2bl w:val="nil"/>
            </w:tcBorders>
            <w:shd w:val="clear" w:color="auto" w:fill="auto"/>
            <w:vAlign w:val="center"/>
          </w:tcPr>
          <w:p w14:paraId="405C8D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0.5450 </w:t>
            </w:r>
          </w:p>
        </w:tc>
        <w:tc>
          <w:tcPr>
            <w:tcW w:w="256" w:type="pct"/>
            <w:vMerge w:val="continue"/>
            <w:tcBorders>
              <w:tl2br w:val="nil"/>
              <w:tr2bl w:val="nil"/>
            </w:tcBorders>
            <w:shd w:val="clear" w:color="auto" w:fill="auto"/>
            <w:vAlign w:val="center"/>
          </w:tcPr>
          <w:p w14:paraId="3F9E82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28" w:type="pct"/>
            <w:vMerge w:val="continue"/>
            <w:tcBorders>
              <w:tl2br w:val="nil"/>
              <w:tr2bl w:val="nil"/>
            </w:tcBorders>
            <w:shd w:val="clear" w:color="auto" w:fill="auto"/>
            <w:vAlign w:val="center"/>
          </w:tcPr>
          <w:p w14:paraId="7F641F3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97" w:type="pct"/>
            <w:tcBorders>
              <w:tl2br w:val="nil"/>
              <w:tr2bl w:val="nil"/>
            </w:tcBorders>
            <w:shd w:val="clear" w:color="auto" w:fill="auto"/>
            <w:vAlign w:val="center"/>
          </w:tcPr>
          <w:p w14:paraId="3C76C5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237" w:type="pct"/>
            <w:vMerge w:val="continue"/>
            <w:tcBorders>
              <w:tl2br w:val="nil"/>
              <w:tr2bl w:val="nil"/>
            </w:tcBorders>
            <w:shd w:val="clear" w:color="auto" w:fill="auto"/>
            <w:vAlign w:val="center"/>
          </w:tcPr>
          <w:p w14:paraId="7F8153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454" w:type="pct"/>
            <w:tcBorders>
              <w:tl2br w:val="nil"/>
              <w:tr2bl w:val="nil"/>
            </w:tcBorders>
            <w:shd w:val="clear" w:color="auto" w:fill="auto"/>
            <w:vAlign w:val="center"/>
          </w:tcPr>
          <w:p w14:paraId="583490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952.8 </w:t>
            </w:r>
          </w:p>
        </w:tc>
        <w:tc>
          <w:tcPr>
            <w:tcW w:w="310" w:type="pct"/>
            <w:tcBorders>
              <w:tl2br w:val="nil"/>
              <w:tr2bl w:val="nil"/>
            </w:tcBorders>
            <w:shd w:val="clear" w:color="auto" w:fill="auto"/>
            <w:vAlign w:val="center"/>
          </w:tcPr>
          <w:p w14:paraId="392E6E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0.5450 </w:t>
            </w:r>
          </w:p>
        </w:tc>
        <w:tc>
          <w:tcPr>
            <w:tcW w:w="231" w:type="pct"/>
            <w:vMerge w:val="continue"/>
            <w:tcBorders>
              <w:tl2br w:val="nil"/>
              <w:tr2bl w:val="nil"/>
            </w:tcBorders>
            <w:shd w:val="clear" w:color="auto" w:fill="auto"/>
            <w:vAlign w:val="center"/>
          </w:tcPr>
          <w:p w14:paraId="292C17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1" w:type="pct"/>
            <w:tcBorders>
              <w:tl2br w:val="nil"/>
              <w:tr2bl w:val="nil"/>
            </w:tcBorders>
            <w:shd w:val="clear" w:color="auto" w:fill="auto"/>
            <w:vAlign w:val="center"/>
          </w:tcPr>
          <w:p w14:paraId="324CBA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70" w:type="pct"/>
            <w:tcBorders>
              <w:tl2br w:val="nil"/>
              <w:tr2bl w:val="nil"/>
            </w:tcBorders>
            <w:shd w:val="clear" w:color="auto" w:fill="auto"/>
            <w:vAlign w:val="center"/>
          </w:tcPr>
          <w:p w14:paraId="48D18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70" w:type="pct"/>
            <w:vMerge w:val="continue"/>
            <w:tcBorders>
              <w:tl2br w:val="nil"/>
              <w:tr2bl w:val="nil"/>
            </w:tcBorders>
            <w:shd w:val="clear" w:color="auto" w:fill="auto"/>
            <w:vAlign w:val="center"/>
          </w:tcPr>
          <w:p w14:paraId="1DDAF4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21" w:type="pct"/>
            <w:vMerge w:val="continue"/>
            <w:tcBorders>
              <w:tl2br w:val="nil"/>
              <w:tr2bl w:val="nil"/>
            </w:tcBorders>
            <w:shd w:val="clear" w:color="auto" w:fill="auto"/>
            <w:vAlign w:val="center"/>
          </w:tcPr>
          <w:p w14:paraId="53802C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305" w:type="pct"/>
            <w:vMerge w:val="continue"/>
            <w:tcBorders>
              <w:tl2br w:val="nil"/>
              <w:tr2bl w:val="nil"/>
            </w:tcBorders>
            <w:shd w:val="clear" w:color="auto" w:fill="auto"/>
            <w:vAlign w:val="center"/>
          </w:tcPr>
          <w:p w14:paraId="67638CF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c>
          <w:tcPr>
            <w:tcW w:w="170" w:type="pct"/>
            <w:vMerge w:val="continue"/>
            <w:tcBorders>
              <w:tl2br w:val="nil"/>
              <w:tr2bl w:val="nil"/>
            </w:tcBorders>
            <w:shd w:val="clear" w:color="auto" w:fill="auto"/>
            <w:vAlign w:val="center"/>
          </w:tcPr>
          <w:p w14:paraId="628EC0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6" w:type="pct"/>
            <w:vMerge w:val="continue"/>
            <w:tcBorders>
              <w:tl2br w:val="nil"/>
              <w:tr2bl w:val="nil"/>
            </w:tcBorders>
            <w:shd w:val="clear" w:color="auto" w:fill="auto"/>
            <w:vAlign w:val="center"/>
          </w:tcPr>
          <w:p w14:paraId="1E276A6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0"/>
                <w:szCs w:val="20"/>
                <w:u w:val="none"/>
              </w:rPr>
            </w:pPr>
          </w:p>
        </w:tc>
      </w:tr>
    </w:tbl>
    <w:p w14:paraId="752B52B7">
      <w:pPr>
        <w:pStyle w:val="3"/>
        <w:ind w:left="0" w:leftChars="0" w:firstLine="0" w:firstLineChars="0"/>
        <w:rPr>
          <w:rFonts w:hint="default" w:eastAsia="宋体"/>
          <w:color w:val="auto"/>
          <w:lang w:val="en-US" w:eastAsia="zh-CN"/>
        </w:rPr>
        <w:sectPr>
          <w:pgSz w:w="16840" w:h="11907" w:orient="landscape"/>
          <w:pgMar w:top="1134" w:right="1701" w:bottom="1134" w:left="1418"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lang w:val="en-US" w:eastAsia="zh-CN"/>
        </w:rPr>
        <w:t>注：由于本项目厂区生产废水排放口的污染物浓度均低于受纳污水处理厂的排放限值，因此生产废水排入外环境的总量均按照生产废水排放口DW002的排放量计算。</w:t>
      </w:r>
    </w:p>
    <w:p w14:paraId="2FB213DA">
      <w:pPr>
        <w:pStyle w:val="3"/>
        <w:rPr>
          <w:color w:val="auto"/>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9424"/>
      </w:tblGrid>
      <w:tr w14:paraId="5E56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8" w:hRule="atLeast"/>
        </w:trPr>
        <w:tc>
          <w:tcPr>
            <w:tcW w:w="421" w:type="dxa"/>
          </w:tcPr>
          <w:p w14:paraId="13EBD06E">
            <w:pPr>
              <w:keepNext w:val="0"/>
              <w:keepLines w:val="0"/>
              <w:suppressLineNumbers w:val="0"/>
              <w:tabs>
                <w:tab w:val="left" w:pos="3034"/>
              </w:tabs>
              <w:spacing w:before="0" w:beforeAutospacing="0" w:after="0" w:afterAutospacing="0"/>
              <w:ind w:left="0" w:right="0"/>
              <w:jc w:val="left"/>
              <w:rPr>
                <w:rFonts w:hint="default"/>
                <w:b/>
                <w:color w:val="auto"/>
                <w:kern w:val="0"/>
                <w:szCs w:val="21"/>
                <w:highlight w:val="none"/>
              </w:rPr>
            </w:pPr>
            <w:r>
              <w:rPr>
                <w:rFonts w:hint="default"/>
                <w:color w:val="auto"/>
                <w:sz w:val="18"/>
                <w:szCs w:val="18"/>
                <w:highlight w:val="none"/>
              </w:rPr>
              <w:tab/>
            </w:r>
          </w:p>
        </w:tc>
        <w:tc>
          <w:tcPr>
            <w:tcW w:w="9208" w:type="dxa"/>
          </w:tcPr>
          <w:p w14:paraId="1702A48C">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eastAsia"/>
                <w:b/>
                <w:color w:val="auto"/>
                <w:sz w:val="26"/>
                <w:szCs w:val="26"/>
                <w:highlight w:val="none"/>
                <w:lang w:val="zh-CN"/>
              </w:rPr>
            </w:pPr>
            <w:r>
              <w:rPr>
                <w:rFonts w:hint="default"/>
                <w:b/>
                <w:color w:val="auto"/>
                <w:sz w:val="26"/>
                <w:szCs w:val="26"/>
                <w:highlight w:val="none"/>
                <w:lang w:val="zh-CN"/>
              </w:rPr>
              <w:t>4.2.2.2</w:t>
            </w:r>
            <w:r>
              <w:rPr>
                <w:rFonts w:hint="eastAsia"/>
                <w:b/>
                <w:color w:val="auto"/>
                <w:sz w:val="26"/>
                <w:szCs w:val="26"/>
                <w:highlight w:val="none"/>
                <w:lang w:val="zh-CN"/>
              </w:rPr>
              <w:t>治理设施可行性分析</w:t>
            </w:r>
          </w:p>
          <w:p w14:paraId="2B115D9C">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szCs w:val="26"/>
                <w:highlight w:val="none"/>
                <w:lang w:val="en-US" w:eastAsia="zh-CN"/>
              </w:rPr>
            </w:pPr>
            <w:r>
              <w:rPr>
                <w:rFonts w:hint="eastAsia"/>
                <w:b w:val="0"/>
                <w:bCs/>
                <w:color w:val="auto"/>
                <w:sz w:val="26"/>
                <w:szCs w:val="26"/>
                <w:highlight w:val="none"/>
                <w:lang w:val="en-US" w:eastAsia="zh-CN"/>
              </w:rPr>
              <w:t>（1）项目污水处理设施的可行性</w:t>
            </w:r>
          </w:p>
          <w:p w14:paraId="0147C256">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1）生活污水处理设施：</w:t>
            </w:r>
          </w:p>
          <w:p w14:paraId="47562389">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szCs w:val="26"/>
                <w:highlight w:val="none"/>
                <w:lang w:val="en-US" w:eastAsia="zh-CN"/>
              </w:rPr>
            </w:pPr>
            <w:r>
              <w:rPr>
                <w:rFonts w:hint="default"/>
                <w:b w:val="0"/>
                <w:bCs/>
                <w:color w:val="auto"/>
                <w:sz w:val="26"/>
                <w:szCs w:val="26"/>
                <w:highlight w:val="none"/>
                <w:lang w:val="zh-CN"/>
              </w:rPr>
              <w:t>生活污水</w:t>
            </w:r>
            <w:r>
              <w:rPr>
                <w:rFonts w:hint="eastAsia"/>
                <w:b w:val="0"/>
                <w:bCs/>
                <w:color w:val="auto"/>
                <w:sz w:val="26"/>
                <w:szCs w:val="26"/>
                <w:highlight w:val="none"/>
                <w:lang w:val="zh-CN"/>
              </w:rPr>
              <w:t>、</w:t>
            </w:r>
            <w:r>
              <w:rPr>
                <w:rFonts w:hint="eastAsia"/>
                <w:b w:val="0"/>
                <w:bCs/>
                <w:color w:val="auto"/>
                <w:sz w:val="26"/>
                <w:szCs w:val="26"/>
                <w:highlight w:val="none"/>
                <w:lang w:val="en-US" w:eastAsia="zh-CN"/>
              </w:rPr>
              <w:t>综合楼地面清洗废水、食堂含油废水的</w:t>
            </w:r>
            <w:r>
              <w:rPr>
                <w:rFonts w:hint="default"/>
                <w:b w:val="0"/>
                <w:bCs/>
                <w:color w:val="auto"/>
                <w:sz w:val="26"/>
                <w:szCs w:val="26"/>
                <w:highlight w:val="none"/>
                <w:lang w:val="zh-CN"/>
              </w:rPr>
              <w:t>主要污染物为</w:t>
            </w:r>
            <w:r>
              <w:rPr>
                <w:rFonts w:hint="eastAsia"/>
                <w:b w:val="0"/>
                <w:bCs/>
                <w:color w:val="auto"/>
                <w:sz w:val="26"/>
                <w:szCs w:val="26"/>
                <w:highlight w:val="none"/>
                <w:lang w:val="en-US" w:eastAsia="zh-CN"/>
              </w:rPr>
              <w:t>pH、</w:t>
            </w:r>
            <w:r>
              <w:rPr>
                <w:rFonts w:hint="default"/>
                <w:b w:val="0"/>
                <w:bCs/>
                <w:color w:val="auto"/>
                <w:sz w:val="26"/>
                <w:szCs w:val="26"/>
                <w:highlight w:val="none"/>
                <w:lang w:val="zh-CN"/>
              </w:rPr>
              <w:t>COD、SS、氨氮、BOD</w:t>
            </w:r>
            <w:r>
              <w:rPr>
                <w:rFonts w:hint="default"/>
                <w:b w:val="0"/>
                <w:bCs/>
                <w:color w:val="auto"/>
                <w:sz w:val="26"/>
                <w:szCs w:val="26"/>
                <w:highlight w:val="none"/>
                <w:vertAlign w:val="subscript"/>
                <w:lang w:val="zh-CN"/>
              </w:rPr>
              <w:t>5</w:t>
            </w:r>
            <w:r>
              <w:rPr>
                <w:rFonts w:hint="default"/>
                <w:b w:val="0"/>
                <w:bCs/>
                <w:color w:val="auto"/>
                <w:sz w:val="26"/>
                <w:szCs w:val="26"/>
                <w:highlight w:val="none"/>
                <w:lang w:val="zh-CN"/>
              </w:rPr>
              <w:t>、动植物油。</w:t>
            </w:r>
            <w:r>
              <w:rPr>
                <w:rFonts w:hint="eastAsia"/>
                <w:b w:val="0"/>
                <w:bCs/>
                <w:color w:val="auto"/>
                <w:sz w:val="26"/>
                <w:szCs w:val="26"/>
                <w:highlight w:val="none"/>
                <w:lang w:val="en-US" w:eastAsia="zh-CN"/>
              </w:rPr>
              <w:t>餐饮含油废水进入三级隔油池，然后与生活污水、综合楼地面清洁废水一起进入生化池处理达标接入</w:t>
            </w:r>
            <w:r>
              <w:rPr>
                <w:rFonts w:hint="default"/>
                <w:b w:val="0"/>
                <w:bCs/>
                <w:color w:val="auto"/>
                <w:sz w:val="26"/>
                <w:szCs w:val="26"/>
                <w:highlight w:val="none"/>
                <w:lang w:val="zh-CN"/>
              </w:rPr>
              <w:t>园区污水管网，能有效去除</w:t>
            </w:r>
            <w:r>
              <w:rPr>
                <w:rFonts w:hint="eastAsia"/>
                <w:b w:val="0"/>
                <w:bCs/>
                <w:color w:val="auto"/>
                <w:sz w:val="26"/>
                <w:szCs w:val="26"/>
                <w:highlight w:val="none"/>
                <w:lang w:val="en-US" w:eastAsia="zh-CN"/>
              </w:rPr>
              <w:t>本项目污废</w:t>
            </w:r>
            <w:r>
              <w:rPr>
                <w:rFonts w:hint="default"/>
                <w:b w:val="0"/>
                <w:bCs/>
                <w:color w:val="auto"/>
                <w:sz w:val="26"/>
                <w:szCs w:val="26"/>
                <w:highlight w:val="none"/>
                <w:lang w:val="zh-CN"/>
              </w:rPr>
              <w:t>水中的污染物。</w:t>
            </w:r>
            <w:r>
              <w:rPr>
                <w:rFonts w:hint="eastAsia"/>
                <w:b w:val="0"/>
                <w:bCs/>
                <w:color w:val="auto"/>
                <w:sz w:val="26"/>
                <w:szCs w:val="26"/>
                <w:highlight w:val="none"/>
                <w:lang w:val="en-US" w:eastAsia="zh-CN"/>
              </w:rPr>
              <w:t>且根据《排污许可证申请与核发技术规范 铁路、船舶、航空航天和其他运输设备制造业》（HJ1124-2020）表 C.5 铁路、船舶、航空航天和其他运输设备制造业排污单位废水污染防治推荐可行技术，对于含油废水的推荐可行技术为“隔油、破乳、混凝、沉淀、气浮、砂滤、吸附、膜处理、氧化”，本项目采用三级隔油池处理清洗的含油废水属于可行技术，对于生活污水的推荐可行技术包括“隔油+化粪池、其他生化处理”，本项目采用“隔油+生化池”属于可行技术。</w:t>
            </w:r>
          </w:p>
          <w:p w14:paraId="0E7736EE">
            <w:pPr>
              <w:pStyle w:val="7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2）生产废水处理设施：</w:t>
            </w:r>
          </w:p>
          <w:p w14:paraId="7D1CA2A8">
            <w:pPr>
              <w:pStyle w:val="7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A）生产废水预处理设施用于乙醇喷淋废水的预处理：</w:t>
            </w:r>
          </w:p>
          <w:p w14:paraId="581023C2">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收集池</w:t>
            </w:r>
            <w:r>
              <w:rPr>
                <w:rFonts w:hint="eastAsia"/>
                <w:color w:val="auto"/>
                <w:lang w:val="en-US" w:eastAsia="zh-CN"/>
              </w:rPr>
              <w:t>：</w:t>
            </w:r>
            <w:r>
              <w:rPr>
                <w:rFonts w:hint="default"/>
                <w:color w:val="auto"/>
                <w:lang w:val="en-US" w:eastAsia="zh-CN"/>
              </w:rPr>
              <w:t>均质均量。乙醇喷淋废水的水量和浓度可能波动很大，收集池可以缓冲这种冲击，为后续处理系统提供一个稳定、连续的水质和水量条件，这对于厌氧和好氧系统的稳定运行至关重要。</w:t>
            </w:r>
          </w:p>
          <w:p w14:paraId="77AB086E">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混凝沉淀</w:t>
            </w:r>
            <w:r>
              <w:rPr>
                <w:rFonts w:hint="eastAsia"/>
                <w:color w:val="auto"/>
                <w:lang w:val="en-US" w:eastAsia="zh-CN"/>
              </w:rPr>
              <w:t>：</w:t>
            </w:r>
            <w:r>
              <w:rPr>
                <w:rFonts w:hint="default"/>
                <w:color w:val="auto"/>
                <w:lang w:val="en-US" w:eastAsia="zh-CN"/>
              </w:rPr>
              <w:t>对于乙醇喷淋废水，其主要污染物是溶解性的乙醇</w:t>
            </w:r>
            <w:r>
              <w:rPr>
                <w:rFonts w:hint="eastAsia"/>
                <w:color w:val="auto"/>
                <w:lang w:val="en-US" w:eastAsia="zh-CN"/>
              </w:rPr>
              <w:t>，</w:t>
            </w:r>
            <w:r>
              <w:rPr>
                <w:rFonts w:hint="default"/>
                <w:color w:val="auto"/>
                <w:lang w:val="en-US" w:eastAsia="zh-CN"/>
              </w:rPr>
              <w:t>可以减轻后续生化单元（特别是MBR）的污泥负荷和膜污染风险。</w:t>
            </w:r>
          </w:p>
          <w:p w14:paraId="012AE0F6">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厌氧处理（核心单元之一）</w:t>
            </w:r>
            <w:r>
              <w:rPr>
                <w:rFonts w:hint="eastAsia"/>
                <w:color w:val="auto"/>
                <w:lang w:val="en-US" w:eastAsia="zh-CN"/>
              </w:rPr>
              <w:t>：</w:t>
            </w:r>
            <w:r>
              <w:rPr>
                <w:rFonts w:hint="default"/>
                <w:color w:val="auto"/>
                <w:lang w:val="en-US" w:eastAsia="zh-CN"/>
              </w:rPr>
              <w:t>这是处理高浓度有机废水的关键和经济的步骤。厌氧微生物能够去除绝大部分的COD负荷。乙醇（CH₃CH₂OH）是一种极易被厌氧微生物降解的物质。它在厌氧条件下会先被酸化，然后被产甲烷菌利用。</w:t>
            </w:r>
          </w:p>
          <w:p w14:paraId="50A814CE">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好氧+ MBR（核心单元之二）</w:t>
            </w:r>
            <w:r>
              <w:rPr>
                <w:rFonts w:hint="eastAsia"/>
                <w:color w:val="auto"/>
                <w:lang w:val="en-US" w:eastAsia="zh-CN"/>
              </w:rPr>
              <w:t>：</w:t>
            </w:r>
            <w:r>
              <w:rPr>
                <w:rFonts w:hint="default"/>
                <w:color w:val="auto"/>
                <w:lang w:val="en-US" w:eastAsia="zh-CN"/>
              </w:rPr>
              <w:t>承接厌氧出水，利用好氧微生物进一步降解剩余的、不易厌氧降解的有机物以及进行硝化作用（如果含氮）</w:t>
            </w:r>
            <w:r>
              <w:rPr>
                <w:rFonts w:hint="eastAsia"/>
                <w:color w:val="auto"/>
                <w:lang w:val="en-US" w:eastAsia="zh-CN"/>
              </w:rPr>
              <w:t>；</w:t>
            </w:r>
            <w:r>
              <w:rPr>
                <w:rFonts w:hint="default"/>
                <w:color w:val="auto"/>
                <w:lang w:val="en-US" w:eastAsia="zh-CN"/>
              </w:rPr>
              <w:t>MBR：将生化处理与膜分离技术相结合。膜组件替代了传统的二沉池，可以100%截留污泥，使反应器内维持极高的污泥浓度（MLSS），从而大大强化了处理效率，出水悬浮物极低。</w:t>
            </w:r>
          </w:p>
          <w:p w14:paraId="51F499EB">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紫外消毒</w:t>
            </w:r>
            <w:r>
              <w:rPr>
                <w:rFonts w:hint="eastAsia"/>
                <w:color w:val="auto"/>
                <w:lang w:val="en-US" w:eastAsia="zh-CN"/>
              </w:rPr>
              <w:t>：</w:t>
            </w:r>
            <w:r>
              <w:rPr>
                <w:rFonts w:hint="default"/>
                <w:color w:val="auto"/>
                <w:lang w:val="en-US" w:eastAsia="zh-CN"/>
              </w:rPr>
              <w:t>杀灭水中残留的病原菌和病毒，确保出水生物学安全性。作为最终出水的消毒保障，是标准配置。</w:t>
            </w:r>
          </w:p>
          <w:p w14:paraId="2B3EB124">
            <w:pPr>
              <w:pStyle w:val="7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综上所述，乙醇废气喷淋废水在经过生产废水处理设施预处理后能够确保达到间接排放要求，治理技术可行。</w:t>
            </w:r>
          </w:p>
          <w:p w14:paraId="3E1EA41E">
            <w:pPr>
              <w:pStyle w:val="74"/>
              <w:keepNext w:val="0"/>
              <w:keepLines w:val="0"/>
              <w:suppressLineNumbers w:val="0"/>
              <w:bidi w:val="0"/>
              <w:spacing w:before="0" w:beforeAutospacing="0" w:after="0" w:afterAutospacing="0"/>
              <w:ind w:left="0" w:right="0"/>
              <w:rPr>
                <w:rFonts w:hint="eastAsia"/>
                <w:color w:val="auto"/>
                <w:lang w:val="en-US" w:eastAsia="zh-CN"/>
              </w:rPr>
            </w:pPr>
            <w:r>
              <w:rPr>
                <w:rFonts w:hint="eastAsia"/>
                <w:color w:val="auto"/>
                <w:lang w:val="en-US" w:eastAsia="zh-CN"/>
              </w:rPr>
              <w:t>B）其他生产废水预处理：</w:t>
            </w:r>
          </w:p>
          <w:p w14:paraId="5E069A07">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default"/>
                <w:color w:val="auto"/>
                <w:lang w:val="en-US" w:eastAsia="zh-CN"/>
              </w:rPr>
              <w:t>清洗废水呈碱性且含有油类物质</w:t>
            </w:r>
            <w:r>
              <w:rPr>
                <w:rFonts w:hint="eastAsia"/>
                <w:color w:val="auto"/>
                <w:lang w:val="en-US" w:eastAsia="zh-CN"/>
              </w:rPr>
              <w:t>（主要污染因子为石油类、pH），空压机含油冷凝水的主要污染物为石油类，冷却废水主要为溶解性盐类（污染因子为TDS），脱模废气治理设施产生的冷凝水主要污染物为石油类、COD，因此，根据上述生产废水的水质，采用酸碱中和+隔油处理设施，经预处理后能够确保达到间接排放标准，治理措施可行。</w:t>
            </w:r>
          </w:p>
          <w:p w14:paraId="0F924F68">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szCs w:val="26"/>
                <w:highlight w:val="none"/>
                <w:lang w:val="en-US" w:eastAsia="zh-CN"/>
              </w:rPr>
            </w:pPr>
            <w:r>
              <w:rPr>
                <w:rFonts w:hint="eastAsia"/>
                <w:b w:val="0"/>
                <w:bCs/>
                <w:color w:val="auto"/>
                <w:sz w:val="26"/>
                <w:szCs w:val="26"/>
                <w:highlight w:val="none"/>
                <w:lang w:val="zh-CN"/>
              </w:rPr>
              <w:t>（</w:t>
            </w:r>
            <w:r>
              <w:rPr>
                <w:rFonts w:hint="eastAsia"/>
                <w:b w:val="0"/>
                <w:bCs/>
                <w:color w:val="auto"/>
                <w:sz w:val="26"/>
                <w:szCs w:val="26"/>
                <w:highlight w:val="none"/>
                <w:lang w:val="en-US" w:eastAsia="zh-CN"/>
              </w:rPr>
              <w:t>2</w:t>
            </w:r>
            <w:r>
              <w:rPr>
                <w:rFonts w:hint="eastAsia"/>
                <w:b w:val="0"/>
                <w:bCs/>
                <w:color w:val="auto"/>
                <w:sz w:val="26"/>
                <w:szCs w:val="26"/>
                <w:highlight w:val="none"/>
                <w:lang w:val="zh-CN"/>
              </w:rPr>
              <w:t>）</w:t>
            </w:r>
            <w:r>
              <w:rPr>
                <w:rFonts w:hint="eastAsia"/>
                <w:b w:val="0"/>
                <w:bCs/>
                <w:color w:val="auto"/>
                <w:sz w:val="26"/>
                <w:szCs w:val="26"/>
                <w:highlight w:val="none"/>
                <w:lang w:val="en-US" w:eastAsia="zh-CN"/>
              </w:rPr>
              <w:t>近期生活污水排入旗能污水处理站的可行性分析</w:t>
            </w:r>
          </w:p>
          <w:p w14:paraId="7072EAFE">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szCs w:val="26"/>
                <w:highlight w:val="none"/>
                <w:lang w:val="en-US" w:eastAsia="zh-CN"/>
              </w:rPr>
            </w:pPr>
            <w:r>
              <w:rPr>
                <w:rFonts w:hint="eastAsia"/>
                <w:b w:val="0"/>
                <w:bCs/>
                <w:color w:val="auto"/>
                <w:sz w:val="26"/>
                <w:szCs w:val="26"/>
                <w:highlight w:val="none"/>
                <w:lang w:val="en-US" w:eastAsia="zh-CN"/>
              </w:rPr>
              <w:t>项目近期生活污水排水依托旗能电铝污水处理站，根据《綦江区北渡铝产业园污水处理（一期）工程项目环境影响报告书》，旗能电铝污水处理站生活污水处理规模为720m</w:t>
            </w:r>
            <w:r>
              <w:rPr>
                <w:rFonts w:hint="eastAsia"/>
                <w:b w:val="0"/>
                <w:bCs/>
                <w:color w:val="auto"/>
                <w:sz w:val="26"/>
                <w:szCs w:val="26"/>
                <w:highlight w:val="none"/>
                <w:vertAlign w:val="superscript"/>
                <w:lang w:val="en-US" w:eastAsia="zh-CN"/>
              </w:rPr>
              <w:t>3</w:t>
            </w:r>
            <w:r>
              <w:rPr>
                <w:rFonts w:hint="eastAsia"/>
                <w:b w:val="0"/>
                <w:bCs/>
                <w:color w:val="auto"/>
                <w:sz w:val="26"/>
                <w:szCs w:val="26"/>
                <w:highlight w:val="none"/>
                <w:lang w:val="en-US" w:eastAsia="zh-CN"/>
              </w:rPr>
              <w:t>/d，处理工艺为A-O，生产废水处理规模为7200m</w:t>
            </w:r>
            <w:r>
              <w:rPr>
                <w:rFonts w:hint="eastAsia"/>
                <w:b w:val="0"/>
                <w:bCs/>
                <w:color w:val="auto"/>
                <w:sz w:val="26"/>
                <w:szCs w:val="26"/>
                <w:highlight w:val="none"/>
                <w:vertAlign w:val="superscript"/>
                <w:lang w:val="en-US" w:eastAsia="zh-CN"/>
              </w:rPr>
              <w:t>3</w:t>
            </w:r>
            <w:r>
              <w:rPr>
                <w:rFonts w:hint="eastAsia"/>
                <w:b w:val="0"/>
                <w:bCs/>
                <w:color w:val="auto"/>
                <w:sz w:val="26"/>
                <w:szCs w:val="26"/>
                <w:highlight w:val="none"/>
                <w:lang w:val="en-US" w:eastAsia="zh-CN"/>
              </w:rPr>
              <w:t>/d，处理工艺为膜过滤，现阶段污水处理站接纳废水量为生活污水400m</w:t>
            </w:r>
            <w:r>
              <w:rPr>
                <w:rFonts w:hint="eastAsia"/>
                <w:b w:val="0"/>
                <w:bCs/>
                <w:color w:val="auto"/>
                <w:sz w:val="26"/>
                <w:szCs w:val="26"/>
                <w:highlight w:val="none"/>
                <w:vertAlign w:val="superscript"/>
                <w:lang w:val="en-US" w:eastAsia="zh-CN"/>
              </w:rPr>
              <w:t>3</w:t>
            </w:r>
            <w:r>
              <w:rPr>
                <w:rFonts w:hint="eastAsia"/>
                <w:b w:val="0"/>
                <w:bCs/>
                <w:color w:val="auto"/>
                <w:sz w:val="26"/>
                <w:szCs w:val="26"/>
                <w:highlight w:val="none"/>
                <w:lang w:val="en-US" w:eastAsia="zh-CN"/>
              </w:rPr>
              <w:t>/d，生产废水3500m</w:t>
            </w:r>
            <w:r>
              <w:rPr>
                <w:rFonts w:hint="eastAsia"/>
                <w:b w:val="0"/>
                <w:bCs/>
                <w:color w:val="auto"/>
                <w:sz w:val="26"/>
                <w:szCs w:val="26"/>
                <w:highlight w:val="none"/>
                <w:vertAlign w:val="superscript"/>
                <w:lang w:val="en-US" w:eastAsia="zh-CN"/>
              </w:rPr>
              <w:t>3</w:t>
            </w:r>
            <w:r>
              <w:rPr>
                <w:rFonts w:hint="eastAsia"/>
                <w:b w:val="0"/>
                <w:bCs/>
                <w:color w:val="auto"/>
                <w:sz w:val="26"/>
                <w:szCs w:val="26"/>
                <w:highlight w:val="none"/>
                <w:lang w:val="en-US" w:eastAsia="zh-CN"/>
              </w:rPr>
              <w:t>/d。</w:t>
            </w:r>
          </w:p>
          <w:p w14:paraId="77EFFD32">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szCs w:val="26"/>
                <w:highlight w:val="none"/>
                <w:lang w:val="en-US" w:eastAsia="zh-CN"/>
              </w:rPr>
            </w:pPr>
            <w:r>
              <w:rPr>
                <w:rFonts w:hint="eastAsia"/>
                <w:b w:val="0"/>
                <w:bCs/>
                <w:color w:val="auto"/>
                <w:sz w:val="26"/>
                <w:szCs w:val="26"/>
                <w:highlight w:val="none"/>
                <w:lang w:val="en-US" w:eastAsia="zh-CN"/>
              </w:rPr>
              <w:t>本项目实施后，餐饮废水、生活污水、综合楼（不涉及生产区域）的地面清洁废水经处理达标后排入旗能电铝污水处理站，每日废水排放量约为11.873m</w:t>
            </w:r>
            <w:r>
              <w:rPr>
                <w:rFonts w:hint="eastAsia"/>
                <w:b w:val="0"/>
                <w:bCs/>
                <w:color w:val="auto"/>
                <w:sz w:val="26"/>
                <w:szCs w:val="26"/>
                <w:highlight w:val="none"/>
                <w:vertAlign w:val="superscript"/>
                <w:lang w:val="en-US" w:eastAsia="zh-CN"/>
              </w:rPr>
              <w:t>3</w:t>
            </w:r>
            <w:r>
              <w:rPr>
                <w:rFonts w:hint="eastAsia"/>
                <w:b w:val="0"/>
                <w:bCs/>
                <w:color w:val="auto"/>
                <w:sz w:val="26"/>
                <w:szCs w:val="26"/>
                <w:highlight w:val="none"/>
                <w:lang w:val="en-US" w:eastAsia="zh-CN"/>
              </w:rPr>
              <w:t>/d，占旗能电铝污水处理站处理规模比例较小。经隔油池+生化池处理后，能满足《橡胶制品工业污染物排放标准》（GB27632-2011）的间接排放标准（“动植物油”达《污水综合排放标准》（GB8978-1996）三级标准），水质满足旗能电铝污水处理站进水水质要求，不会影响污水处理厂的正常运行，因此本项目在园区污水处理厂建成前，污水接入旗能电铝污水处理站是可行的（生活污水接纳证明详见附件11）。</w:t>
            </w:r>
          </w:p>
          <w:p w14:paraId="45857A02">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szCs w:val="26"/>
                <w:highlight w:val="none"/>
                <w:lang w:val="en-US" w:eastAsia="zh-CN"/>
              </w:rPr>
            </w:pPr>
            <w:r>
              <w:rPr>
                <w:rFonts w:hint="eastAsia"/>
                <w:b w:val="0"/>
                <w:bCs/>
                <w:color w:val="auto"/>
                <w:sz w:val="26"/>
                <w:szCs w:val="26"/>
                <w:highlight w:val="none"/>
                <w:lang w:val="zh-CN"/>
              </w:rPr>
              <w:t>（</w:t>
            </w:r>
            <w:r>
              <w:rPr>
                <w:rFonts w:hint="eastAsia"/>
                <w:b w:val="0"/>
                <w:bCs/>
                <w:color w:val="auto"/>
                <w:sz w:val="26"/>
                <w:szCs w:val="26"/>
                <w:highlight w:val="none"/>
                <w:lang w:val="en-US" w:eastAsia="zh-CN"/>
              </w:rPr>
              <w:t>3</w:t>
            </w:r>
            <w:r>
              <w:rPr>
                <w:rFonts w:hint="eastAsia"/>
                <w:b w:val="0"/>
                <w:bCs/>
                <w:color w:val="auto"/>
                <w:sz w:val="26"/>
                <w:szCs w:val="26"/>
                <w:highlight w:val="none"/>
                <w:lang w:val="zh-CN"/>
              </w:rPr>
              <w:t>）</w:t>
            </w:r>
            <w:r>
              <w:rPr>
                <w:rFonts w:hint="eastAsia"/>
                <w:b w:val="0"/>
                <w:bCs/>
                <w:color w:val="auto"/>
                <w:sz w:val="26"/>
                <w:szCs w:val="26"/>
                <w:highlight w:val="none"/>
                <w:lang w:val="en-US" w:eastAsia="zh-CN"/>
              </w:rPr>
              <w:t>近期生产废水由重庆宁态环保科技有限公司处置的可行性分析</w:t>
            </w:r>
          </w:p>
          <w:p w14:paraId="08659D72">
            <w:pPr>
              <w:pStyle w:val="74"/>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本项目与重庆宁态环保科技有限公司已签订生产废水接纳协议（详见附件12），在北渡园区污水处理厂投运前，本项目所产生的生产废水经预处理达协议中所要求的间接排放标准限值要求，重庆宁态环保科技有限公司可进行拉运并接纳处置，本项目生产废水产生量较小，重庆宁态环保科技有限公司的剩余处理能力能够满足要求；重庆宁态环保科技有限公司处理工艺为“调节池+混凝气浮+芬顿氧化+沉淀+曝气+ABR+缺氧+两级接触氧化+二沉池+MBR+反洗池”，本项目的生产废水经预处理后能满足《橡胶制品工业污染物排放标准》（GB27632-2011）的间接排放标准（“动植物油”达《污水综合排放标准》（GB8978-1996）三级标准），水质能够满足重庆宁态环保科技有限公司，因此，本项目生产废水由重庆宁态环保科技有限公司处置是可行的。</w:t>
            </w:r>
          </w:p>
          <w:p w14:paraId="3505FA8B">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default"/>
                <w:b w:val="0"/>
                <w:bCs/>
                <w:color w:val="auto"/>
                <w:sz w:val="26"/>
                <w:szCs w:val="26"/>
                <w:highlight w:val="none"/>
                <w:lang w:val="zh-CN"/>
              </w:rPr>
            </w:pPr>
            <w:r>
              <w:rPr>
                <w:rFonts w:hint="eastAsia"/>
                <w:b w:val="0"/>
                <w:bCs/>
                <w:color w:val="auto"/>
                <w:sz w:val="26"/>
                <w:szCs w:val="26"/>
                <w:highlight w:val="none"/>
                <w:lang w:val="zh-CN"/>
              </w:rPr>
              <w:t>（</w:t>
            </w:r>
            <w:r>
              <w:rPr>
                <w:rFonts w:hint="eastAsia"/>
                <w:b w:val="0"/>
                <w:bCs/>
                <w:color w:val="auto"/>
                <w:sz w:val="26"/>
                <w:szCs w:val="26"/>
                <w:highlight w:val="none"/>
                <w:lang w:val="en-US" w:eastAsia="zh-CN"/>
              </w:rPr>
              <w:t>4</w:t>
            </w:r>
            <w:r>
              <w:rPr>
                <w:rFonts w:hint="eastAsia"/>
                <w:b w:val="0"/>
                <w:bCs/>
                <w:color w:val="auto"/>
                <w:sz w:val="26"/>
                <w:szCs w:val="26"/>
                <w:highlight w:val="none"/>
                <w:lang w:val="zh-CN"/>
              </w:rPr>
              <w:t>）</w:t>
            </w:r>
            <w:r>
              <w:rPr>
                <w:rFonts w:hint="eastAsia"/>
                <w:b w:val="0"/>
                <w:bCs/>
                <w:color w:val="auto"/>
                <w:sz w:val="26"/>
                <w:szCs w:val="26"/>
                <w:highlight w:val="none"/>
                <w:lang w:val="en-US" w:eastAsia="zh-CN"/>
              </w:rPr>
              <w:t>远期</w:t>
            </w:r>
            <w:r>
              <w:rPr>
                <w:rFonts w:hint="default"/>
                <w:b w:val="0"/>
                <w:bCs/>
                <w:color w:val="auto"/>
                <w:sz w:val="26"/>
                <w:szCs w:val="26"/>
                <w:highlight w:val="none"/>
                <w:lang w:val="zh-CN"/>
              </w:rPr>
              <w:t>排入</w:t>
            </w:r>
            <w:r>
              <w:rPr>
                <w:rFonts w:hint="eastAsia"/>
                <w:b w:val="0"/>
                <w:bCs/>
                <w:color w:val="auto"/>
                <w:sz w:val="26"/>
                <w:szCs w:val="26"/>
                <w:highlight w:val="none"/>
                <w:lang w:val="en-US" w:eastAsia="zh-CN"/>
              </w:rPr>
              <w:t>北渡园区污水处理厂</w:t>
            </w:r>
            <w:r>
              <w:rPr>
                <w:rFonts w:hint="default"/>
                <w:b w:val="0"/>
                <w:bCs/>
                <w:color w:val="auto"/>
                <w:sz w:val="26"/>
                <w:szCs w:val="26"/>
                <w:highlight w:val="none"/>
                <w:lang w:val="zh-CN"/>
              </w:rPr>
              <w:t>的可行性分析</w:t>
            </w:r>
          </w:p>
          <w:p w14:paraId="61EBF903">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default"/>
                <w:bCs/>
                <w:color w:val="auto"/>
                <w:sz w:val="24"/>
                <w:highlight w:val="none"/>
              </w:rPr>
            </w:pPr>
            <w:r>
              <w:rPr>
                <w:rFonts w:hint="eastAsia"/>
                <w:b w:val="0"/>
                <w:bCs/>
                <w:color w:val="auto"/>
                <w:sz w:val="26"/>
                <w:szCs w:val="26"/>
                <w:highlight w:val="none"/>
                <w:lang w:val="en-US" w:eastAsia="zh-CN"/>
              </w:rPr>
              <w:t>本项目位于北渡园区，园区污水处理厂已建成，预计2026年1月正式投运，在园区污水处理厂投运后，本项目生产废水、生活污水经预处理达《橡胶制品工业污染物排放标准》（GB27632-2011）的间接排放标准（“动植物油”达《污水综合排放标准》（GB8978-1996）三级标准）后，通过园区污水管网排入园区污水处理厂进行处理满足要求后排入綦江河</w:t>
            </w:r>
            <w:r>
              <w:rPr>
                <w:rStyle w:val="73"/>
                <w:rFonts w:hint="eastAsia"/>
                <w:color w:val="auto"/>
                <w:highlight w:val="none"/>
                <w:lang w:val="en-US" w:eastAsia="zh-CN"/>
              </w:rPr>
              <w:t>。</w:t>
            </w:r>
            <w:r>
              <w:rPr>
                <w:rStyle w:val="73"/>
                <w:rFonts w:hint="default"/>
                <w:color w:val="auto"/>
                <w:highlight w:val="none"/>
              </w:rPr>
              <w:t>园区新建污水处理厂近期处理规模2万m</w:t>
            </w:r>
            <w:r>
              <w:rPr>
                <w:rStyle w:val="73"/>
                <w:rFonts w:hint="default"/>
                <w:color w:val="auto"/>
                <w:highlight w:val="none"/>
                <w:vertAlign w:val="superscript"/>
              </w:rPr>
              <w:t>3</w:t>
            </w:r>
            <w:r>
              <w:rPr>
                <w:rStyle w:val="73"/>
                <w:rFonts w:hint="default"/>
                <w:color w:val="auto"/>
                <w:highlight w:val="none"/>
              </w:rPr>
              <w:t>/d，分两期实施，一期设计处理规模0.2万m</w:t>
            </w:r>
            <w:r>
              <w:rPr>
                <w:rStyle w:val="73"/>
                <w:rFonts w:hint="default"/>
                <w:color w:val="auto"/>
                <w:highlight w:val="none"/>
                <w:vertAlign w:val="superscript"/>
              </w:rPr>
              <w:t>3</w:t>
            </w:r>
            <w:r>
              <w:rPr>
                <w:rStyle w:val="73"/>
                <w:rFonts w:hint="default"/>
                <w:color w:val="auto"/>
                <w:highlight w:val="none"/>
              </w:rPr>
              <w:t>/d，二期设计处理规模1.8万m</w:t>
            </w:r>
            <w:r>
              <w:rPr>
                <w:rStyle w:val="73"/>
                <w:rFonts w:hint="default"/>
                <w:color w:val="auto"/>
                <w:highlight w:val="none"/>
                <w:vertAlign w:val="superscript"/>
              </w:rPr>
              <w:t>3</w:t>
            </w:r>
            <w:r>
              <w:rPr>
                <w:rStyle w:val="73"/>
                <w:rFonts w:hint="default"/>
                <w:color w:val="auto"/>
                <w:highlight w:val="none"/>
              </w:rPr>
              <w:t>/d，远期处理规模4万m</w:t>
            </w:r>
            <w:r>
              <w:rPr>
                <w:rStyle w:val="73"/>
                <w:rFonts w:hint="default"/>
                <w:color w:val="auto"/>
                <w:highlight w:val="none"/>
                <w:vertAlign w:val="superscript"/>
              </w:rPr>
              <w:t>3</w:t>
            </w:r>
            <w:r>
              <w:rPr>
                <w:rStyle w:val="73"/>
                <w:rFonts w:hint="default"/>
                <w:color w:val="auto"/>
                <w:highlight w:val="none"/>
              </w:rPr>
              <w:t>/d；处理工艺为“调节+沉砂、混凝沉淀+AO生化处理+絮凝澄清”。园区污水处理厂运行后，本项目产生的污废水处理</w:t>
            </w:r>
            <w:r>
              <w:rPr>
                <w:rStyle w:val="73"/>
                <w:rFonts w:hint="eastAsia"/>
                <w:color w:val="auto"/>
                <w:highlight w:val="none"/>
                <w:lang w:val="en-US" w:eastAsia="zh-CN"/>
              </w:rPr>
              <w:t>达标后</w:t>
            </w:r>
            <w:r>
              <w:rPr>
                <w:rStyle w:val="73"/>
                <w:rFonts w:hint="default"/>
                <w:color w:val="auto"/>
                <w:highlight w:val="none"/>
              </w:rPr>
              <w:t>通过污水管网进入园区污水处理厂，处理</w:t>
            </w:r>
            <w:r>
              <w:rPr>
                <w:rStyle w:val="73"/>
                <w:rFonts w:hint="eastAsia"/>
                <w:color w:val="auto"/>
                <w:highlight w:val="none"/>
              </w:rPr>
              <w:t>达到《城镇污水处理厂污染物排放标准》（GB18918-2002）</w:t>
            </w:r>
            <w:r>
              <w:rPr>
                <w:rStyle w:val="73"/>
                <w:rFonts w:hint="default"/>
                <w:color w:val="auto"/>
                <w:highlight w:val="none"/>
              </w:rPr>
              <w:t>一级B标准后排入綦江。</w:t>
            </w:r>
          </w:p>
          <w:p w14:paraId="5FCC012B">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本项目建成后</w:t>
            </w:r>
            <w:r>
              <w:rPr>
                <w:rFonts w:hint="eastAsia"/>
                <w:color w:val="auto"/>
                <w:highlight w:val="none"/>
                <w:lang w:val="en-US" w:eastAsia="zh-CN"/>
              </w:rPr>
              <w:t>生活污水</w:t>
            </w:r>
            <w:r>
              <w:rPr>
                <w:rFonts w:hint="default"/>
                <w:color w:val="auto"/>
                <w:highlight w:val="none"/>
              </w:rPr>
              <w:t>量约</w:t>
            </w:r>
            <w:r>
              <w:rPr>
                <w:rFonts w:hint="eastAsia"/>
                <w:color w:val="auto"/>
                <w:highlight w:val="none"/>
                <w:lang w:val="en-US" w:eastAsia="zh-CN"/>
              </w:rPr>
              <w:t>11.879</w:t>
            </w:r>
            <w:r>
              <w:rPr>
                <w:rFonts w:hint="default"/>
                <w:color w:val="auto"/>
                <w:highlight w:val="none"/>
              </w:rPr>
              <w:t>m</w:t>
            </w:r>
            <w:r>
              <w:rPr>
                <w:rFonts w:hint="default"/>
                <w:color w:val="auto"/>
                <w:highlight w:val="none"/>
                <w:vertAlign w:val="superscript"/>
              </w:rPr>
              <w:t>3</w:t>
            </w:r>
            <w:r>
              <w:rPr>
                <w:rFonts w:hint="default"/>
                <w:color w:val="auto"/>
                <w:highlight w:val="none"/>
              </w:rPr>
              <w:t>/</w:t>
            </w:r>
            <w:r>
              <w:rPr>
                <w:rFonts w:hint="eastAsia"/>
                <w:color w:val="auto"/>
                <w:highlight w:val="none"/>
                <w:lang w:val="en-US" w:eastAsia="zh-CN"/>
              </w:rPr>
              <w:t>d</w:t>
            </w:r>
            <w:r>
              <w:rPr>
                <w:rFonts w:hint="default"/>
                <w:color w:val="auto"/>
                <w:highlight w:val="none"/>
              </w:rPr>
              <w:t>，</w:t>
            </w:r>
            <w:r>
              <w:rPr>
                <w:rFonts w:hint="eastAsia"/>
                <w:color w:val="auto"/>
                <w:highlight w:val="none"/>
                <w:lang w:val="en-US" w:eastAsia="zh-CN"/>
              </w:rPr>
              <w:t>生产废水约2.607</w:t>
            </w:r>
            <w:r>
              <w:rPr>
                <w:rFonts w:hint="default"/>
                <w:color w:val="auto"/>
                <w:highlight w:val="none"/>
              </w:rPr>
              <w:t>m</w:t>
            </w:r>
            <w:r>
              <w:rPr>
                <w:rFonts w:hint="default"/>
                <w:color w:val="auto"/>
                <w:highlight w:val="none"/>
                <w:vertAlign w:val="superscript"/>
              </w:rPr>
              <w:t>3</w:t>
            </w:r>
            <w:r>
              <w:rPr>
                <w:rFonts w:hint="default"/>
                <w:color w:val="auto"/>
                <w:highlight w:val="none"/>
              </w:rPr>
              <w:t>/</w:t>
            </w:r>
            <w:r>
              <w:rPr>
                <w:rFonts w:hint="eastAsia"/>
                <w:color w:val="auto"/>
                <w:highlight w:val="none"/>
                <w:lang w:val="en-US" w:eastAsia="zh-CN"/>
              </w:rPr>
              <w:t>d。为</w:t>
            </w:r>
            <w:r>
              <w:rPr>
                <w:rFonts w:hint="default"/>
                <w:color w:val="auto"/>
                <w:highlight w:val="none"/>
              </w:rPr>
              <w:t>无特殊污染因子，经预处理</w:t>
            </w:r>
            <w:r>
              <w:rPr>
                <w:rFonts w:hint="eastAsia"/>
                <w:color w:val="auto"/>
                <w:highlight w:val="none"/>
                <w:lang w:eastAsia="zh-CN"/>
              </w:rPr>
              <w:t>达到</w:t>
            </w:r>
            <w:r>
              <w:rPr>
                <w:rFonts w:hint="default"/>
                <w:color w:val="auto"/>
                <w:highlight w:val="none"/>
              </w:rPr>
              <w:t>《橡胶制品工业污染物排放标准》（GB27632-2011）的间接排放标准（“动植物油”达《污水综合排放标准》（GB897</w:t>
            </w:r>
            <w:r>
              <w:rPr>
                <w:rFonts w:hint="eastAsia"/>
                <w:color w:val="auto"/>
                <w:highlight w:val="none"/>
                <w:lang w:val="en-US" w:eastAsia="zh-CN"/>
              </w:rPr>
              <w:t>8</w:t>
            </w:r>
            <w:r>
              <w:rPr>
                <w:rFonts w:hint="default"/>
                <w:color w:val="auto"/>
                <w:highlight w:val="none"/>
              </w:rPr>
              <w:t>-1996）三级标准）后排入污水处理厂，满足其进水水质要求，污水处理厂处理能力满足要求。污水处理厂依托可行，地表水环境影响可接受。</w:t>
            </w:r>
          </w:p>
          <w:p w14:paraId="489493CB">
            <w:pPr>
              <w:pStyle w:val="74"/>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故采取以上环保措施后，本项目废水对环境影响较小。项目产生的废水按以上要求处理后排放，不会对周边地表水环境造成不良影响。</w:t>
            </w:r>
          </w:p>
          <w:p w14:paraId="4F72B613">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sz w:val="26"/>
                <w:szCs w:val="26"/>
                <w:highlight w:val="none"/>
                <w:lang w:val="zh-CN"/>
              </w:rPr>
              <w:t>4.2.2.3</w:t>
            </w:r>
            <w:r>
              <w:rPr>
                <w:rFonts w:hint="eastAsia"/>
                <w:b/>
                <w:color w:val="auto"/>
                <w:kern w:val="0"/>
                <w:sz w:val="26"/>
                <w:szCs w:val="26"/>
                <w:highlight w:val="none"/>
              </w:rPr>
              <w:t>监测要求</w:t>
            </w:r>
          </w:p>
          <w:p w14:paraId="3E6CD32C">
            <w:pPr>
              <w:keepNext w:val="0"/>
              <w:keepLines w:val="0"/>
              <w:suppressLineNumbers w:val="0"/>
              <w:tabs>
                <w:tab w:val="left" w:pos="1040"/>
              </w:tabs>
              <w:adjustRightInd w:val="0"/>
              <w:snapToGrid w:val="0"/>
              <w:spacing w:before="0" w:beforeAutospacing="0" w:after="0" w:afterAutospacing="0" w:line="400" w:lineRule="exact"/>
              <w:ind w:left="0" w:right="0" w:firstLine="420"/>
              <w:rPr>
                <w:rFonts w:hint="default"/>
                <w:color w:val="auto"/>
                <w:kern w:val="0"/>
                <w:sz w:val="26"/>
                <w:szCs w:val="26"/>
                <w:highlight w:val="none"/>
              </w:rPr>
            </w:pPr>
            <w:r>
              <w:rPr>
                <w:rFonts w:hint="eastAsia"/>
                <w:color w:val="auto"/>
                <w:kern w:val="0"/>
                <w:sz w:val="26"/>
                <w:szCs w:val="26"/>
                <w:highlight w:val="none"/>
              </w:rPr>
              <w:t>根据《排污单位自行监测技术指南 总则》（HJ 819-2017）</w:t>
            </w:r>
            <w:r>
              <w:rPr>
                <w:rFonts w:hint="eastAsia"/>
                <w:color w:val="auto"/>
                <w:kern w:val="0"/>
                <w:sz w:val="26"/>
                <w:szCs w:val="26"/>
                <w:highlight w:val="none"/>
                <w:lang w:eastAsia="zh-CN"/>
              </w:rPr>
              <w:t>、</w:t>
            </w:r>
            <w:r>
              <w:rPr>
                <w:rFonts w:hint="eastAsia"/>
                <w:color w:val="auto"/>
                <w:kern w:val="0"/>
                <w:sz w:val="26"/>
                <w:szCs w:val="26"/>
                <w:highlight w:val="none"/>
              </w:rPr>
              <w:t>《排污许可证申请与核发技术规范 铁路、船舶、航空航天和其他运输设备制造业》（HJ1124-2020）</w:t>
            </w:r>
            <w:r>
              <w:rPr>
                <w:rFonts w:hint="eastAsia"/>
                <w:color w:val="auto"/>
                <w:kern w:val="0"/>
                <w:sz w:val="26"/>
                <w:szCs w:val="26"/>
                <w:highlight w:val="none"/>
                <w:lang w:eastAsia="zh-CN"/>
              </w:rPr>
              <w:t>、《排污单位自行监测技术指南 金属铸造工业》（HJ1251—2022）、《排污许可证申请与核发技术规范 金属铸造工业》（HJ1115-2020）、《排污许可证申请与核发技术规范 橡胶和塑料制品工业》（HJ1122-2020）、《排污单位自行监测技术指南 橡胶和塑料制品》（HJ1207-2021）</w:t>
            </w:r>
            <w:r>
              <w:rPr>
                <w:rFonts w:hint="eastAsia"/>
                <w:color w:val="auto"/>
                <w:kern w:val="0"/>
                <w:sz w:val="26"/>
                <w:szCs w:val="26"/>
                <w:highlight w:val="none"/>
              </w:rPr>
              <w:t>，项目属于非重点排污单位，并结合项目运营期间污染物排放特点，制定本项目的水污染源监测计划。监测分析方法按照现行国家、部颁标准和有关规定执行。</w:t>
            </w:r>
          </w:p>
          <w:p w14:paraId="423AEC0E">
            <w:pPr>
              <w:pStyle w:val="65"/>
              <w:keepNext w:val="0"/>
              <w:keepLines w:val="0"/>
              <w:suppressLineNumbers w:val="0"/>
              <w:spacing w:before="0" w:beforeAutospacing="0" w:after="0" w:afterAutospacing="0"/>
              <w:ind w:left="0" w:right="0"/>
              <w:rPr>
                <w:rFonts w:hint="default"/>
                <w:color w:val="auto"/>
                <w:highlight w:val="none"/>
              </w:rPr>
            </w:pPr>
          </w:p>
          <w:p w14:paraId="4253203A">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6"/>
                <w:szCs w:val="26"/>
                <w:highlight w:val="none"/>
              </w:rPr>
            </w:pPr>
            <w:r>
              <w:rPr>
                <w:rFonts w:hint="eastAsia"/>
                <w:color w:val="auto"/>
                <w:kern w:val="0"/>
                <w:sz w:val="26"/>
                <w:szCs w:val="26"/>
                <w:highlight w:val="none"/>
              </w:rPr>
              <w:t>表4</w:t>
            </w:r>
            <w:r>
              <w:rPr>
                <w:rFonts w:hint="default"/>
                <w:color w:val="auto"/>
                <w:kern w:val="0"/>
                <w:sz w:val="26"/>
                <w:szCs w:val="26"/>
                <w:highlight w:val="none"/>
              </w:rPr>
              <w:t>.2-</w:t>
            </w:r>
            <w:r>
              <w:rPr>
                <w:rFonts w:hint="eastAsia"/>
                <w:color w:val="auto"/>
                <w:kern w:val="0"/>
                <w:sz w:val="26"/>
                <w:szCs w:val="26"/>
                <w:highlight w:val="none"/>
                <w:lang w:val="en-US" w:eastAsia="zh-CN"/>
              </w:rPr>
              <w:t>11</w:t>
            </w:r>
            <w:r>
              <w:rPr>
                <w:rFonts w:hint="default"/>
                <w:color w:val="auto"/>
                <w:kern w:val="0"/>
                <w:sz w:val="26"/>
                <w:szCs w:val="26"/>
                <w:highlight w:val="none"/>
              </w:rPr>
              <w:t xml:space="preserve">    </w:t>
            </w:r>
            <w:r>
              <w:rPr>
                <w:rFonts w:hint="eastAsia"/>
                <w:color w:val="auto"/>
                <w:kern w:val="0"/>
                <w:sz w:val="26"/>
                <w:szCs w:val="26"/>
                <w:highlight w:val="none"/>
              </w:rPr>
              <w:t>废水</w:t>
            </w:r>
            <w:r>
              <w:rPr>
                <w:rFonts w:hint="eastAsia"/>
                <w:color w:val="auto"/>
                <w:kern w:val="0"/>
                <w:sz w:val="26"/>
                <w:szCs w:val="26"/>
                <w:highlight w:val="none"/>
                <w:lang w:val="en-US" w:eastAsia="zh-CN"/>
              </w:rPr>
              <w:t>自行</w:t>
            </w:r>
            <w:r>
              <w:rPr>
                <w:rFonts w:hint="eastAsia"/>
                <w:color w:val="auto"/>
                <w:kern w:val="0"/>
                <w:sz w:val="26"/>
                <w:szCs w:val="26"/>
                <w:highlight w:val="none"/>
              </w:rPr>
              <w:t>监测要求一览表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254"/>
              <w:gridCol w:w="3020"/>
              <w:gridCol w:w="2019"/>
              <w:gridCol w:w="2020"/>
            </w:tblGrid>
            <w:tr w14:paraId="3739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3" w:type="pct"/>
                  <w:vAlign w:val="center"/>
                </w:tcPr>
                <w:p w14:paraId="1F89D798">
                  <w:pPr>
                    <w:keepNext w:val="0"/>
                    <w:keepLines w:val="0"/>
                    <w:suppressLineNumbers w:val="0"/>
                    <w:tabs>
                      <w:tab w:val="left" w:pos="1040"/>
                    </w:tabs>
                    <w:adjustRightInd w:val="0"/>
                    <w:snapToGrid w:val="0"/>
                    <w:spacing w:before="0" w:beforeAutospacing="0" w:after="0" w:afterAutospacing="0"/>
                    <w:ind w:left="0" w:right="0"/>
                    <w:jc w:val="center"/>
                    <w:rPr>
                      <w:rFonts w:hint="eastAsia"/>
                      <w:color w:val="auto"/>
                      <w:kern w:val="0"/>
                      <w:sz w:val="21"/>
                      <w:szCs w:val="21"/>
                      <w:highlight w:val="none"/>
                    </w:rPr>
                  </w:pPr>
                  <w:r>
                    <w:rPr>
                      <w:rFonts w:hint="eastAsia"/>
                      <w:color w:val="auto"/>
                      <w:kern w:val="0"/>
                      <w:sz w:val="21"/>
                      <w:szCs w:val="21"/>
                      <w:highlight w:val="none"/>
                    </w:rPr>
                    <w:t>监测</w:t>
                  </w:r>
                </w:p>
                <w:p w14:paraId="1969451C">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1"/>
                      <w:szCs w:val="21"/>
                      <w:highlight w:val="none"/>
                    </w:rPr>
                  </w:pPr>
                  <w:r>
                    <w:rPr>
                      <w:rFonts w:hint="eastAsia"/>
                      <w:color w:val="auto"/>
                      <w:kern w:val="0"/>
                      <w:sz w:val="21"/>
                      <w:szCs w:val="21"/>
                      <w:highlight w:val="none"/>
                    </w:rPr>
                    <w:t>点位</w:t>
                  </w:r>
                </w:p>
              </w:tc>
              <w:tc>
                <w:tcPr>
                  <w:tcW w:w="683" w:type="pct"/>
                  <w:vAlign w:val="center"/>
                </w:tcPr>
                <w:p w14:paraId="5300621D">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排放口类别</w:t>
                  </w:r>
                </w:p>
              </w:tc>
              <w:tc>
                <w:tcPr>
                  <w:tcW w:w="1643" w:type="pct"/>
                  <w:vAlign w:val="center"/>
                </w:tcPr>
                <w:p w14:paraId="05FA5CCF">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1"/>
                      <w:szCs w:val="21"/>
                      <w:highlight w:val="none"/>
                    </w:rPr>
                  </w:pPr>
                  <w:r>
                    <w:rPr>
                      <w:rFonts w:hint="eastAsia"/>
                      <w:color w:val="auto"/>
                      <w:kern w:val="0"/>
                      <w:sz w:val="21"/>
                      <w:szCs w:val="21"/>
                      <w:highlight w:val="none"/>
                    </w:rPr>
                    <w:t>监测因子</w:t>
                  </w:r>
                </w:p>
              </w:tc>
              <w:tc>
                <w:tcPr>
                  <w:tcW w:w="1099" w:type="pct"/>
                  <w:vAlign w:val="center"/>
                </w:tcPr>
                <w:p w14:paraId="77BE0A99">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1"/>
                      <w:szCs w:val="21"/>
                      <w:highlight w:val="none"/>
                    </w:rPr>
                  </w:pPr>
                  <w:r>
                    <w:rPr>
                      <w:rFonts w:hint="eastAsia"/>
                      <w:color w:val="auto"/>
                      <w:kern w:val="0"/>
                      <w:sz w:val="21"/>
                      <w:szCs w:val="21"/>
                      <w:highlight w:val="none"/>
                    </w:rPr>
                    <w:t>监测频率</w:t>
                  </w:r>
                </w:p>
              </w:tc>
              <w:tc>
                <w:tcPr>
                  <w:tcW w:w="1099" w:type="pct"/>
                  <w:vAlign w:val="center"/>
                </w:tcPr>
                <w:p w14:paraId="1FB2EC4B">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监测频次依据</w:t>
                  </w:r>
                </w:p>
              </w:tc>
            </w:tr>
            <w:tr w14:paraId="2B29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shd w:val="clear" w:color="auto" w:fill="auto"/>
                  <w:vAlign w:val="center"/>
                </w:tcPr>
                <w:p w14:paraId="4D996891">
                  <w:pPr>
                    <w:keepNext w:val="0"/>
                    <w:keepLines w:val="0"/>
                    <w:suppressLineNumbers w:val="0"/>
                    <w:tabs>
                      <w:tab w:val="left" w:pos="1485"/>
                    </w:tabs>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生活污水单独排放口DW001</w:t>
                  </w:r>
                </w:p>
              </w:tc>
              <w:tc>
                <w:tcPr>
                  <w:tcW w:w="683" w:type="pct"/>
                  <w:shd w:val="clear" w:color="auto" w:fill="auto"/>
                  <w:vAlign w:val="center"/>
                </w:tcPr>
                <w:p w14:paraId="6155FB49">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一般排放口</w:t>
                  </w:r>
                </w:p>
              </w:tc>
              <w:tc>
                <w:tcPr>
                  <w:tcW w:w="1643" w:type="pct"/>
                  <w:shd w:val="clear" w:color="auto" w:fill="auto"/>
                  <w:vAlign w:val="center"/>
                </w:tcPr>
                <w:p w14:paraId="51AB4AC2">
                  <w:pPr>
                    <w:keepNext w:val="0"/>
                    <w:keepLines w:val="0"/>
                    <w:suppressLineNumbers w:val="0"/>
                    <w:tabs>
                      <w:tab w:val="left" w:pos="1040"/>
                    </w:tabs>
                    <w:adjustRightInd w:val="0"/>
                    <w:snapToGrid w:val="0"/>
                    <w:spacing w:before="0" w:beforeAutospacing="0" w:after="0" w:afterAutospacing="0"/>
                    <w:ind w:left="0" w:leftChars="0" w:right="0" w:rightChars="0"/>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流量、悬浮物</w:t>
                  </w:r>
                  <w:r>
                    <w:rPr>
                      <w:rFonts w:hint="default"/>
                      <w:color w:val="auto"/>
                      <w:kern w:val="0"/>
                      <w:sz w:val="21"/>
                      <w:szCs w:val="21"/>
                      <w:highlight w:val="none"/>
                      <w:lang w:val="en-US" w:eastAsia="zh-CN"/>
                    </w:rPr>
                    <w:t>、化学需氧量、五日生化需氧量</w:t>
                  </w:r>
                  <w:r>
                    <w:rPr>
                      <w:rFonts w:hint="eastAsia"/>
                      <w:color w:val="auto"/>
                      <w:kern w:val="0"/>
                      <w:sz w:val="21"/>
                      <w:szCs w:val="21"/>
                      <w:highlight w:val="none"/>
                      <w:lang w:val="en-US" w:eastAsia="zh-CN"/>
                    </w:rPr>
                    <w:t>、动植物油</w:t>
                  </w:r>
                </w:p>
              </w:tc>
              <w:tc>
                <w:tcPr>
                  <w:tcW w:w="1099" w:type="pct"/>
                  <w:shd w:val="clear" w:color="auto" w:fill="auto"/>
                  <w:vAlign w:val="center"/>
                </w:tcPr>
                <w:p w14:paraId="3D6BB058">
                  <w:pPr>
                    <w:keepNext w:val="0"/>
                    <w:keepLines w:val="0"/>
                    <w:suppressLineNumbers w:val="0"/>
                    <w:tabs>
                      <w:tab w:val="left" w:pos="1040"/>
                    </w:tabs>
                    <w:adjustRightInd w:val="0"/>
                    <w:snapToGrid w:val="0"/>
                    <w:spacing w:before="0" w:beforeAutospacing="0" w:after="0" w:afterAutospacing="0"/>
                    <w:ind w:left="0" w:leftChars="0" w:right="0" w:rightChars="0"/>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rPr>
                    <w:t>验收时监测一次</w:t>
                  </w:r>
                </w:p>
              </w:tc>
              <w:tc>
                <w:tcPr>
                  <w:tcW w:w="1099" w:type="pct"/>
                  <w:shd w:val="clear" w:color="auto" w:fill="auto"/>
                  <w:vAlign w:val="center"/>
                </w:tcPr>
                <w:p w14:paraId="00660515">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1"/>
                      <w:szCs w:val="21"/>
                      <w:highlight w:val="none"/>
                      <w:lang w:val="en-US" w:eastAsia="zh-CN"/>
                    </w:rPr>
                  </w:pPr>
                  <w:r>
                    <w:rPr>
                      <w:rFonts w:hint="eastAsia"/>
                      <w:color w:val="auto"/>
                      <w:kern w:val="0"/>
                      <w:sz w:val="21"/>
                      <w:szCs w:val="21"/>
                      <w:highlight w:val="none"/>
                      <w:lang w:val="en-US" w:eastAsia="zh-CN"/>
                    </w:rPr>
                    <w:t>HJ1124的表26“生活污水单独排放口”</w:t>
                  </w:r>
                </w:p>
              </w:tc>
            </w:tr>
            <w:tr w14:paraId="0CE2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shd w:val="clear" w:color="auto" w:fill="auto"/>
                  <w:vAlign w:val="center"/>
                </w:tcPr>
                <w:p w14:paraId="67DDFFAF">
                  <w:pPr>
                    <w:keepNext w:val="0"/>
                    <w:keepLines w:val="0"/>
                    <w:suppressLineNumbers w:val="0"/>
                    <w:tabs>
                      <w:tab w:val="left" w:pos="1485"/>
                    </w:tabs>
                    <w:adjustRightInd w:val="0"/>
                    <w:snapToGrid w:val="0"/>
                    <w:spacing w:before="0" w:beforeAutospacing="0" w:after="0" w:afterAutospacing="0"/>
                    <w:ind w:left="0" w:leftChars="0" w:right="0" w:rightChars="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生产废水排放口DW002</w:t>
                  </w:r>
                </w:p>
              </w:tc>
              <w:tc>
                <w:tcPr>
                  <w:tcW w:w="683" w:type="pct"/>
                  <w:shd w:val="clear" w:color="auto" w:fill="auto"/>
                  <w:vAlign w:val="center"/>
                </w:tcPr>
                <w:p w14:paraId="4AD13027">
                  <w:pPr>
                    <w:keepNext w:val="0"/>
                    <w:keepLines w:val="0"/>
                    <w:suppressLineNumbers w:val="0"/>
                    <w:tabs>
                      <w:tab w:val="left" w:pos="1040"/>
                    </w:tabs>
                    <w:adjustRightInd w:val="0"/>
                    <w:snapToGrid w:val="0"/>
                    <w:spacing w:before="0" w:beforeAutospacing="0" w:after="0" w:afterAutospacing="0"/>
                    <w:ind w:left="0" w:leftChars="0" w:right="0" w:rightChars="0"/>
                    <w:jc w:val="center"/>
                    <w:rPr>
                      <w:rFonts w:hint="default"/>
                      <w:color w:val="auto"/>
                      <w:kern w:val="0"/>
                      <w:sz w:val="21"/>
                      <w:szCs w:val="21"/>
                      <w:highlight w:val="none"/>
                      <w:lang w:val="en-US" w:eastAsia="zh-CN"/>
                    </w:rPr>
                  </w:pPr>
                  <w:r>
                    <w:rPr>
                      <w:rFonts w:hint="eastAsia"/>
                      <w:color w:val="auto"/>
                      <w:kern w:val="0"/>
                      <w:sz w:val="21"/>
                      <w:szCs w:val="21"/>
                      <w:highlight w:val="none"/>
                      <w:lang w:val="en-US" w:eastAsia="zh-CN"/>
                    </w:rPr>
                    <w:t>一般排放口</w:t>
                  </w:r>
                </w:p>
              </w:tc>
              <w:tc>
                <w:tcPr>
                  <w:tcW w:w="1643" w:type="pct"/>
                  <w:shd w:val="clear" w:color="auto" w:fill="auto"/>
                  <w:vAlign w:val="center"/>
                </w:tcPr>
                <w:p w14:paraId="5C7D8495">
                  <w:pPr>
                    <w:keepNext w:val="0"/>
                    <w:keepLines w:val="0"/>
                    <w:suppressLineNumbers w:val="0"/>
                    <w:tabs>
                      <w:tab w:val="left" w:pos="1040"/>
                    </w:tabs>
                    <w:adjustRightInd w:val="0"/>
                    <w:snapToGrid w:val="0"/>
                    <w:spacing w:before="0" w:beforeAutospacing="0" w:after="0" w:afterAutospacing="0"/>
                    <w:ind w:left="0" w:leftChars="0" w:right="0" w:rightChars="0"/>
                    <w:rPr>
                      <w:rFonts w:hint="default"/>
                      <w:color w:val="auto"/>
                      <w:kern w:val="0"/>
                      <w:sz w:val="21"/>
                      <w:szCs w:val="21"/>
                      <w:highlight w:val="none"/>
                      <w:lang w:val="en-US" w:eastAsia="zh-CN"/>
                    </w:rPr>
                  </w:pPr>
                  <w:r>
                    <w:rPr>
                      <w:rFonts w:hint="eastAsia"/>
                      <w:color w:val="auto"/>
                      <w:kern w:val="0"/>
                      <w:sz w:val="21"/>
                      <w:szCs w:val="21"/>
                      <w:highlight w:val="none"/>
                      <w:lang w:val="en-US" w:eastAsia="zh-CN"/>
                    </w:rPr>
                    <w:t>流量、</w:t>
                  </w:r>
                  <w:r>
                    <w:rPr>
                      <w:rFonts w:hint="default"/>
                      <w:color w:val="auto"/>
                      <w:kern w:val="0"/>
                      <w:sz w:val="21"/>
                      <w:szCs w:val="21"/>
                      <w:highlight w:val="none"/>
                      <w:lang w:val="en-US" w:eastAsia="zh-CN"/>
                    </w:rPr>
                    <w:t>pH值、</w:t>
                  </w:r>
                  <w:r>
                    <w:rPr>
                      <w:rFonts w:hint="eastAsia"/>
                      <w:color w:val="auto"/>
                      <w:kern w:val="0"/>
                      <w:sz w:val="21"/>
                      <w:szCs w:val="21"/>
                      <w:highlight w:val="none"/>
                      <w:lang w:val="en-US" w:eastAsia="zh-CN"/>
                    </w:rPr>
                    <w:t>悬浮物</w:t>
                  </w:r>
                  <w:r>
                    <w:rPr>
                      <w:rFonts w:hint="default"/>
                      <w:color w:val="auto"/>
                      <w:kern w:val="0"/>
                      <w:sz w:val="21"/>
                      <w:szCs w:val="21"/>
                      <w:highlight w:val="none"/>
                      <w:lang w:val="en-US" w:eastAsia="zh-CN"/>
                    </w:rPr>
                    <w:t>、化学需氧量、</w:t>
                  </w:r>
                  <w:r>
                    <w:rPr>
                      <w:rFonts w:hint="eastAsia"/>
                      <w:color w:val="auto"/>
                      <w:kern w:val="0"/>
                      <w:sz w:val="21"/>
                      <w:szCs w:val="21"/>
                      <w:highlight w:val="none"/>
                      <w:lang w:val="en-US" w:eastAsia="zh-CN"/>
                    </w:rPr>
                    <w:t>氨氮、石油类</w:t>
                  </w:r>
                </w:p>
              </w:tc>
              <w:tc>
                <w:tcPr>
                  <w:tcW w:w="2019" w:type="dxa"/>
                  <w:shd w:val="clear" w:color="auto" w:fill="auto"/>
                  <w:vAlign w:val="center"/>
                </w:tcPr>
                <w:p w14:paraId="7A90FCB3">
                  <w:pPr>
                    <w:keepNext w:val="0"/>
                    <w:keepLines w:val="0"/>
                    <w:suppressLineNumbers w:val="0"/>
                    <w:tabs>
                      <w:tab w:val="left" w:pos="1040"/>
                    </w:tabs>
                    <w:adjustRightInd w:val="0"/>
                    <w:snapToGrid w:val="0"/>
                    <w:spacing w:before="0" w:beforeAutospacing="0" w:after="0" w:afterAutospacing="0"/>
                    <w:ind w:left="0" w:leftChars="0" w:right="0" w:rightChars="0"/>
                    <w:rPr>
                      <w:rFonts w:hint="eastAsia"/>
                      <w:color w:val="auto"/>
                      <w:kern w:val="0"/>
                      <w:sz w:val="21"/>
                      <w:szCs w:val="21"/>
                      <w:highlight w:val="none"/>
                      <w:lang w:val="en-US" w:eastAsia="zh-CN"/>
                    </w:rPr>
                  </w:pPr>
                  <w:r>
                    <w:rPr>
                      <w:rFonts w:hint="eastAsia"/>
                      <w:color w:val="auto"/>
                      <w:kern w:val="0"/>
                      <w:sz w:val="21"/>
                      <w:szCs w:val="21"/>
                      <w:highlight w:val="none"/>
                      <w:lang w:val="en-US" w:eastAsia="zh-CN"/>
                    </w:rPr>
                    <w:t>验收时监测一次，运营期1次/半年</w:t>
                  </w:r>
                </w:p>
              </w:tc>
              <w:tc>
                <w:tcPr>
                  <w:tcW w:w="2020" w:type="dxa"/>
                  <w:shd w:val="clear" w:color="auto" w:fill="auto"/>
                  <w:vAlign w:val="center"/>
                </w:tcPr>
                <w:p w14:paraId="20CEC282">
                  <w:pPr>
                    <w:keepNext w:val="0"/>
                    <w:keepLines w:val="0"/>
                    <w:suppressLineNumbers w:val="0"/>
                    <w:tabs>
                      <w:tab w:val="left" w:pos="1040"/>
                    </w:tabs>
                    <w:adjustRightInd w:val="0"/>
                    <w:snapToGrid w:val="0"/>
                    <w:spacing w:before="0" w:beforeAutospacing="0" w:after="0" w:afterAutospacing="0"/>
                    <w:ind w:left="0" w:leftChars="0" w:right="0" w:rightChars="0"/>
                    <w:rPr>
                      <w:rFonts w:hint="eastAsia"/>
                      <w:color w:val="auto"/>
                      <w:kern w:val="0"/>
                      <w:sz w:val="21"/>
                      <w:szCs w:val="21"/>
                      <w:highlight w:val="none"/>
                      <w:lang w:val="en-US" w:eastAsia="zh-CN"/>
                    </w:rPr>
                  </w:pPr>
                  <w:r>
                    <w:rPr>
                      <w:rFonts w:hint="eastAsia"/>
                      <w:color w:val="auto"/>
                      <w:kern w:val="0"/>
                      <w:sz w:val="21"/>
                      <w:szCs w:val="21"/>
                      <w:highlight w:val="none"/>
                      <w:lang w:val="en-US" w:eastAsia="zh-CN"/>
                    </w:rPr>
                    <w:t>HJ1124的表26“废水总排放口-间接排放”</w:t>
                  </w:r>
                </w:p>
              </w:tc>
            </w:tr>
          </w:tbl>
          <w:p w14:paraId="6B77E100">
            <w:pPr>
              <w:pStyle w:val="65"/>
              <w:keepNext w:val="0"/>
              <w:keepLines w:val="0"/>
              <w:suppressLineNumbers w:val="0"/>
              <w:spacing w:before="0" w:beforeAutospacing="0" w:after="0" w:afterAutospacing="0"/>
              <w:ind w:left="0" w:right="0"/>
              <w:rPr>
                <w:rFonts w:hint="default"/>
                <w:color w:val="auto"/>
                <w:highlight w:val="none"/>
              </w:rPr>
            </w:pPr>
          </w:p>
          <w:p w14:paraId="40D1079A">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default"/>
                <w:b/>
                <w:color w:val="auto"/>
                <w:sz w:val="26"/>
                <w:highlight w:val="none"/>
              </w:rPr>
              <w:t>4.2.3</w:t>
            </w:r>
            <w:r>
              <w:rPr>
                <w:rFonts w:hint="eastAsia"/>
                <w:b/>
                <w:color w:val="auto"/>
                <w:sz w:val="26"/>
                <w:highlight w:val="none"/>
              </w:rPr>
              <w:t>噪声</w:t>
            </w:r>
          </w:p>
          <w:p w14:paraId="34886612">
            <w:pPr>
              <w:keepNext w:val="0"/>
              <w:keepLines w:val="0"/>
              <w:suppressLineNumbers w:val="0"/>
              <w:spacing w:before="0" w:beforeAutospacing="0" w:after="0" w:afterAutospacing="0" w:line="400" w:lineRule="exact"/>
              <w:ind w:left="0" w:right="0" w:firstLine="522" w:firstLineChars="200"/>
              <w:rPr>
                <w:rFonts w:hint="default"/>
                <w:b/>
                <w:color w:val="auto"/>
                <w:sz w:val="26"/>
                <w:szCs w:val="26"/>
                <w:highlight w:val="none"/>
              </w:rPr>
            </w:pPr>
            <w:r>
              <w:rPr>
                <w:rFonts w:hint="eastAsia"/>
                <w:b/>
                <w:color w:val="auto"/>
                <w:sz w:val="26"/>
                <w:szCs w:val="26"/>
                <w:highlight w:val="none"/>
              </w:rPr>
              <w:t>4</w:t>
            </w:r>
            <w:r>
              <w:rPr>
                <w:rFonts w:hint="default"/>
                <w:b/>
                <w:color w:val="auto"/>
                <w:sz w:val="26"/>
                <w:szCs w:val="26"/>
                <w:highlight w:val="none"/>
              </w:rPr>
              <w:t>.2.3.1</w:t>
            </w:r>
            <w:r>
              <w:rPr>
                <w:rFonts w:hint="eastAsia"/>
                <w:b/>
                <w:color w:val="auto"/>
                <w:sz w:val="26"/>
                <w:szCs w:val="26"/>
                <w:highlight w:val="none"/>
              </w:rPr>
              <w:t>噪声源、降噪措施及排放强度</w:t>
            </w:r>
          </w:p>
          <w:p w14:paraId="3E3CF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eastAsia"/>
                <w:color w:val="auto"/>
                <w:sz w:val="26"/>
                <w:szCs w:val="26"/>
                <w:highlight w:val="none"/>
                <w:lang w:val="en-US" w:eastAsia="zh-CN"/>
              </w:rPr>
            </w:pPr>
            <w:r>
              <w:rPr>
                <w:rFonts w:hint="eastAsia"/>
                <w:color w:val="auto"/>
                <w:sz w:val="26"/>
                <w:szCs w:val="26"/>
                <w:highlight w:val="none"/>
                <w:lang w:val="en-US" w:eastAsia="zh-CN"/>
              </w:rPr>
              <w:t>本项目主要为风机、空压机、冷却塔、熔铸机、冲床、抛丸机、磨床等设备产生噪声，噪声值在70-85dB（A）之间</w:t>
            </w:r>
            <w:r>
              <w:rPr>
                <w:rFonts w:hint="eastAsia"/>
                <w:color w:val="auto"/>
                <w:sz w:val="26"/>
                <w:szCs w:val="26"/>
                <w:highlight w:val="none"/>
              </w:rPr>
              <w:t>。</w:t>
            </w:r>
            <w:r>
              <w:rPr>
                <w:rFonts w:hint="eastAsia"/>
                <w:color w:val="auto"/>
                <w:sz w:val="26"/>
                <w:szCs w:val="26"/>
                <w:highlight w:val="none"/>
                <w:lang w:val="en-US" w:eastAsia="zh-CN"/>
              </w:rPr>
              <w:t>噪声源强采用设备商提供的数据，本次评价统计噪声源强在70dB以上的设备。</w:t>
            </w:r>
          </w:p>
          <w:p w14:paraId="44032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20" w:firstLineChars="200"/>
              <w:textAlignment w:val="auto"/>
              <w:rPr>
                <w:rFonts w:hint="default"/>
                <w:color w:val="auto"/>
                <w:sz w:val="26"/>
                <w:szCs w:val="26"/>
                <w:highlight w:val="none"/>
              </w:rPr>
            </w:pPr>
            <w:r>
              <w:rPr>
                <w:rFonts w:hint="eastAsia"/>
                <w:color w:val="auto"/>
                <w:sz w:val="26"/>
                <w:szCs w:val="26"/>
                <w:highlight w:val="none"/>
                <w:lang w:val="en-US" w:eastAsia="zh-CN"/>
              </w:rPr>
              <w:t>评价</w:t>
            </w:r>
            <w:r>
              <w:rPr>
                <w:rFonts w:hint="eastAsia"/>
                <w:color w:val="auto"/>
                <w:sz w:val="26"/>
                <w:szCs w:val="26"/>
                <w:highlight w:val="none"/>
              </w:rPr>
              <w:t>噪声源的调查清单见表4</w:t>
            </w:r>
            <w:r>
              <w:rPr>
                <w:rFonts w:hint="default"/>
                <w:color w:val="auto"/>
                <w:sz w:val="26"/>
                <w:szCs w:val="26"/>
                <w:highlight w:val="none"/>
              </w:rPr>
              <w:t>.2-</w:t>
            </w:r>
            <w:r>
              <w:rPr>
                <w:rFonts w:hint="eastAsia"/>
                <w:color w:val="auto"/>
                <w:sz w:val="26"/>
                <w:szCs w:val="26"/>
                <w:highlight w:val="none"/>
                <w:lang w:val="en-US" w:eastAsia="zh-CN"/>
              </w:rPr>
              <w:t>12、4.2-13</w:t>
            </w:r>
            <w:r>
              <w:rPr>
                <w:rFonts w:hint="eastAsia"/>
                <w:color w:val="auto"/>
                <w:sz w:val="26"/>
                <w:szCs w:val="26"/>
                <w:highlight w:val="none"/>
              </w:rPr>
              <w:t>。</w:t>
            </w:r>
          </w:p>
          <w:p w14:paraId="681F9A00">
            <w:pPr>
              <w:keepNext w:val="0"/>
              <w:keepLines w:val="0"/>
              <w:suppressLineNumbers w:val="0"/>
              <w:spacing w:before="0" w:beforeAutospacing="0" w:after="0" w:afterAutospacing="0"/>
              <w:ind w:left="0" w:right="0" w:firstLine="520" w:firstLineChars="200"/>
              <w:rPr>
                <w:rFonts w:hint="default"/>
                <w:color w:val="auto"/>
                <w:sz w:val="26"/>
                <w:szCs w:val="26"/>
                <w:highlight w:val="none"/>
              </w:rPr>
            </w:pPr>
          </w:p>
          <w:p w14:paraId="40028517">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表4.2</w:t>
            </w:r>
            <w:r>
              <w:rPr>
                <w:rFonts w:hint="eastAsia"/>
                <w:color w:val="auto"/>
                <w:sz w:val="26"/>
                <w:szCs w:val="26"/>
                <w:highlight w:val="none"/>
                <w:lang w:val="en-US" w:eastAsia="zh-CN"/>
              </w:rPr>
              <w:t xml:space="preserve">-12 </w:t>
            </w:r>
            <w:r>
              <w:rPr>
                <w:rFonts w:hint="default"/>
                <w:color w:val="auto"/>
                <w:sz w:val="26"/>
                <w:szCs w:val="26"/>
                <w:highlight w:val="none"/>
              </w:rPr>
              <w:t xml:space="preserve">  工业企业噪声源强调查清单（室外声源）</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0"/>
              <w:gridCol w:w="815"/>
              <w:gridCol w:w="1284"/>
              <w:gridCol w:w="1754"/>
              <w:gridCol w:w="2750"/>
              <w:gridCol w:w="1405"/>
            </w:tblGrid>
            <w:tr w14:paraId="78FA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1190" w:type="dxa"/>
                  <w:vMerge w:val="restart"/>
                  <w:tcBorders>
                    <w:top w:val="single" w:color="000000" w:sz="4" w:space="0"/>
                    <w:left w:val="single" w:color="000000" w:sz="4" w:space="0"/>
                    <w:bottom w:val="single" w:color="000000" w:sz="4" w:space="0"/>
                    <w:right w:val="single" w:color="000000" w:sz="4" w:space="0"/>
                  </w:tcBorders>
                  <w:vAlign w:val="center"/>
                </w:tcPr>
                <w:p w14:paraId="664DD5B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设备名称</w:t>
                  </w:r>
                </w:p>
              </w:tc>
              <w:tc>
                <w:tcPr>
                  <w:tcW w:w="815" w:type="dxa"/>
                  <w:vMerge w:val="restart"/>
                  <w:tcBorders>
                    <w:top w:val="single" w:color="000000" w:sz="4" w:space="0"/>
                    <w:left w:val="nil"/>
                    <w:bottom w:val="single" w:color="000000" w:sz="4" w:space="0"/>
                    <w:right w:val="single" w:color="000000" w:sz="4" w:space="0"/>
                  </w:tcBorders>
                  <w:vAlign w:val="center"/>
                </w:tcPr>
                <w:p w14:paraId="1445DDF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数量</w:t>
                  </w:r>
                </w:p>
              </w:tc>
              <w:tc>
                <w:tcPr>
                  <w:tcW w:w="1284" w:type="dxa"/>
                  <w:vMerge w:val="restart"/>
                  <w:tcBorders>
                    <w:top w:val="single" w:color="000000" w:sz="4" w:space="0"/>
                    <w:left w:val="nil"/>
                    <w:bottom w:val="single" w:color="000000" w:sz="4" w:space="0"/>
                    <w:right w:val="single" w:color="000000" w:sz="4" w:space="0"/>
                  </w:tcBorders>
                  <w:vAlign w:val="center"/>
                </w:tcPr>
                <w:p w14:paraId="0CD72A2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型号</w:t>
                  </w:r>
                </w:p>
              </w:tc>
              <w:tc>
                <w:tcPr>
                  <w:tcW w:w="1754" w:type="dxa"/>
                  <w:vMerge w:val="restart"/>
                  <w:tcBorders>
                    <w:top w:val="single" w:color="000000" w:sz="4" w:space="0"/>
                    <w:left w:val="nil"/>
                    <w:bottom w:val="single" w:color="000000" w:sz="4" w:space="0"/>
                    <w:right w:val="single" w:color="000000" w:sz="4" w:space="0"/>
                  </w:tcBorders>
                  <w:vAlign w:val="center"/>
                </w:tcPr>
                <w:p w14:paraId="09CF523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声源源强dB（A）</w:t>
                  </w:r>
                </w:p>
              </w:tc>
              <w:tc>
                <w:tcPr>
                  <w:tcW w:w="2750" w:type="dxa"/>
                  <w:vMerge w:val="restart"/>
                  <w:tcBorders>
                    <w:top w:val="single" w:color="000000" w:sz="4" w:space="0"/>
                    <w:left w:val="nil"/>
                    <w:bottom w:val="single" w:color="000000" w:sz="4" w:space="0"/>
                    <w:right w:val="single" w:color="000000" w:sz="4" w:space="0"/>
                  </w:tcBorders>
                  <w:vAlign w:val="center"/>
                </w:tcPr>
                <w:p w14:paraId="6E1FB11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声源控制措施</w:t>
                  </w:r>
                </w:p>
              </w:tc>
              <w:tc>
                <w:tcPr>
                  <w:tcW w:w="1405" w:type="dxa"/>
                  <w:vMerge w:val="restart"/>
                  <w:tcBorders>
                    <w:top w:val="single" w:color="000000" w:sz="4" w:space="0"/>
                    <w:left w:val="nil"/>
                    <w:bottom w:val="single" w:color="000000" w:sz="4" w:space="0"/>
                    <w:right w:val="single" w:color="000000" w:sz="4" w:space="0"/>
                  </w:tcBorders>
                  <w:vAlign w:val="center"/>
                </w:tcPr>
                <w:p w14:paraId="7187DBC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运行时段</w:t>
                  </w:r>
                </w:p>
              </w:tc>
            </w:tr>
            <w:tr w14:paraId="12AD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vAlign w:val="center"/>
                </w:tcPr>
                <w:p w14:paraId="6544685B">
                  <w:pPr>
                    <w:pStyle w:val="86"/>
                    <w:keepNext w:val="0"/>
                    <w:keepLines w:val="0"/>
                    <w:suppressLineNumbers w:val="0"/>
                    <w:bidi w:val="0"/>
                    <w:spacing w:before="0" w:beforeAutospacing="0" w:after="0" w:afterAutospacing="0"/>
                    <w:ind w:left="0" w:right="0"/>
                    <w:rPr>
                      <w:rFonts w:hint="default"/>
                      <w:color w:val="auto"/>
                      <w:highlight w:val="none"/>
                    </w:rPr>
                  </w:pPr>
                </w:p>
              </w:tc>
              <w:tc>
                <w:tcPr>
                  <w:tcW w:w="815" w:type="dxa"/>
                  <w:vMerge w:val="continue"/>
                  <w:tcBorders>
                    <w:top w:val="single" w:color="000000" w:sz="4" w:space="0"/>
                    <w:left w:val="nil"/>
                    <w:bottom w:val="single" w:color="000000" w:sz="4" w:space="0"/>
                    <w:right w:val="single" w:color="000000" w:sz="4" w:space="0"/>
                  </w:tcBorders>
                  <w:vAlign w:val="center"/>
                </w:tcPr>
                <w:p w14:paraId="530DD60C">
                  <w:pPr>
                    <w:pStyle w:val="86"/>
                    <w:keepNext w:val="0"/>
                    <w:keepLines w:val="0"/>
                    <w:suppressLineNumbers w:val="0"/>
                    <w:bidi w:val="0"/>
                    <w:spacing w:before="0" w:beforeAutospacing="0" w:after="0" w:afterAutospacing="0"/>
                    <w:ind w:left="0" w:right="0"/>
                    <w:rPr>
                      <w:rFonts w:hint="default"/>
                      <w:color w:val="auto"/>
                      <w:highlight w:val="none"/>
                    </w:rPr>
                  </w:pPr>
                </w:p>
              </w:tc>
              <w:tc>
                <w:tcPr>
                  <w:tcW w:w="1284" w:type="dxa"/>
                  <w:vMerge w:val="continue"/>
                  <w:tcBorders>
                    <w:top w:val="single" w:color="000000" w:sz="4" w:space="0"/>
                    <w:left w:val="nil"/>
                    <w:bottom w:val="single" w:color="000000" w:sz="4" w:space="0"/>
                    <w:right w:val="single" w:color="000000" w:sz="4" w:space="0"/>
                  </w:tcBorders>
                  <w:vAlign w:val="center"/>
                </w:tcPr>
                <w:p w14:paraId="24ACE352">
                  <w:pPr>
                    <w:pStyle w:val="86"/>
                    <w:keepNext w:val="0"/>
                    <w:keepLines w:val="0"/>
                    <w:suppressLineNumbers w:val="0"/>
                    <w:bidi w:val="0"/>
                    <w:spacing w:before="0" w:beforeAutospacing="0" w:after="0" w:afterAutospacing="0"/>
                    <w:ind w:left="0" w:right="0"/>
                    <w:rPr>
                      <w:rFonts w:hint="default"/>
                      <w:color w:val="auto"/>
                      <w:highlight w:val="none"/>
                    </w:rPr>
                  </w:pPr>
                </w:p>
              </w:tc>
              <w:tc>
                <w:tcPr>
                  <w:tcW w:w="1754" w:type="dxa"/>
                  <w:vMerge w:val="continue"/>
                  <w:tcBorders>
                    <w:top w:val="single" w:color="000000" w:sz="4" w:space="0"/>
                    <w:left w:val="nil"/>
                    <w:bottom w:val="single" w:color="000000" w:sz="4" w:space="0"/>
                    <w:right w:val="single" w:color="000000" w:sz="4" w:space="0"/>
                  </w:tcBorders>
                  <w:vAlign w:val="center"/>
                </w:tcPr>
                <w:p w14:paraId="23C9D383">
                  <w:pPr>
                    <w:pStyle w:val="86"/>
                    <w:keepNext w:val="0"/>
                    <w:keepLines w:val="0"/>
                    <w:suppressLineNumbers w:val="0"/>
                    <w:bidi w:val="0"/>
                    <w:spacing w:before="0" w:beforeAutospacing="0" w:after="0" w:afterAutospacing="0"/>
                    <w:ind w:left="0" w:right="0"/>
                    <w:rPr>
                      <w:rFonts w:hint="default"/>
                      <w:color w:val="auto"/>
                      <w:highlight w:val="none"/>
                    </w:rPr>
                  </w:pPr>
                </w:p>
              </w:tc>
              <w:tc>
                <w:tcPr>
                  <w:tcW w:w="2750" w:type="dxa"/>
                  <w:vMerge w:val="continue"/>
                  <w:tcBorders>
                    <w:top w:val="single" w:color="000000" w:sz="4" w:space="0"/>
                    <w:left w:val="nil"/>
                    <w:bottom w:val="single" w:color="000000" w:sz="4" w:space="0"/>
                    <w:right w:val="single" w:color="000000" w:sz="4" w:space="0"/>
                  </w:tcBorders>
                  <w:vAlign w:val="center"/>
                </w:tcPr>
                <w:p w14:paraId="7714E405">
                  <w:pPr>
                    <w:pStyle w:val="86"/>
                    <w:keepNext w:val="0"/>
                    <w:keepLines w:val="0"/>
                    <w:suppressLineNumbers w:val="0"/>
                    <w:bidi w:val="0"/>
                    <w:spacing w:before="0" w:beforeAutospacing="0" w:after="0" w:afterAutospacing="0"/>
                    <w:ind w:left="0" w:right="0"/>
                    <w:rPr>
                      <w:rFonts w:hint="default"/>
                      <w:color w:val="auto"/>
                      <w:highlight w:val="none"/>
                    </w:rPr>
                  </w:pPr>
                </w:p>
              </w:tc>
              <w:tc>
                <w:tcPr>
                  <w:tcW w:w="1405" w:type="dxa"/>
                  <w:vMerge w:val="continue"/>
                  <w:tcBorders>
                    <w:top w:val="single" w:color="000000" w:sz="4" w:space="0"/>
                    <w:left w:val="nil"/>
                    <w:bottom w:val="single" w:color="000000" w:sz="4" w:space="0"/>
                    <w:right w:val="single" w:color="000000" w:sz="4" w:space="0"/>
                  </w:tcBorders>
                  <w:vAlign w:val="center"/>
                </w:tcPr>
                <w:p w14:paraId="30739161">
                  <w:pPr>
                    <w:pStyle w:val="86"/>
                    <w:keepNext w:val="0"/>
                    <w:keepLines w:val="0"/>
                    <w:suppressLineNumbers w:val="0"/>
                    <w:bidi w:val="0"/>
                    <w:spacing w:before="0" w:beforeAutospacing="0" w:after="0" w:afterAutospacing="0"/>
                    <w:ind w:left="0" w:right="0"/>
                    <w:rPr>
                      <w:rFonts w:hint="default"/>
                      <w:color w:val="auto"/>
                      <w:highlight w:val="none"/>
                    </w:rPr>
                  </w:pPr>
                </w:p>
              </w:tc>
            </w:tr>
            <w:tr w14:paraId="5C98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dxa"/>
                  <w:tcBorders>
                    <w:top w:val="single" w:color="000000" w:sz="4" w:space="0"/>
                    <w:left w:val="single" w:color="000000" w:sz="4" w:space="0"/>
                    <w:bottom w:val="single" w:color="000000" w:sz="4" w:space="0"/>
                    <w:right w:val="single" w:color="000000" w:sz="4" w:space="0"/>
                  </w:tcBorders>
                  <w:vAlign w:val="center"/>
                </w:tcPr>
                <w:p w14:paraId="77619DB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风机</w:t>
                  </w:r>
                </w:p>
              </w:tc>
              <w:tc>
                <w:tcPr>
                  <w:tcW w:w="815" w:type="dxa"/>
                  <w:tcBorders>
                    <w:top w:val="single" w:color="000000" w:sz="4" w:space="0"/>
                    <w:left w:val="nil"/>
                    <w:bottom w:val="single" w:color="000000" w:sz="4" w:space="0"/>
                    <w:right w:val="single" w:color="000000" w:sz="4" w:space="0"/>
                  </w:tcBorders>
                  <w:vAlign w:val="center"/>
                </w:tcPr>
                <w:p w14:paraId="13638244">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6</w:t>
                  </w:r>
                </w:p>
              </w:tc>
              <w:tc>
                <w:tcPr>
                  <w:tcW w:w="1284" w:type="dxa"/>
                  <w:tcBorders>
                    <w:top w:val="single" w:color="000000" w:sz="4" w:space="0"/>
                    <w:left w:val="nil"/>
                    <w:bottom w:val="single" w:color="000000" w:sz="4" w:space="0"/>
                    <w:right w:val="single" w:color="000000" w:sz="4" w:space="0"/>
                  </w:tcBorders>
                  <w:vAlign w:val="center"/>
                </w:tcPr>
                <w:p w14:paraId="740AC9B1">
                  <w:pPr>
                    <w:pStyle w:val="86"/>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w:t>
                  </w:r>
                </w:p>
              </w:tc>
              <w:tc>
                <w:tcPr>
                  <w:tcW w:w="1754" w:type="dxa"/>
                  <w:tcBorders>
                    <w:top w:val="single" w:color="000000" w:sz="4" w:space="0"/>
                    <w:left w:val="nil"/>
                    <w:bottom w:val="single" w:color="000000" w:sz="4" w:space="0"/>
                    <w:right w:val="single" w:color="000000" w:sz="4" w:space="0"/>
                  </w:tcBorders>
                  <w:vAlign w:val="center"/>
                </w:tcPr>
                <w:p w14:paraId="1E5A3D0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85</w:t>
                  </w:r>
                </w:p>
              </w:tc>
              <w:tc>
                <w:tcPr>
                  <w:tcW w:w="2750" w:type="dxa"/>
                  <w:tcBorders>
                    <w:top w:val="single" w:color="000000" w:sz="4" w:space="0"/>
                    <w:left w:val="nil"/>
                    <w:bottom w:val="single" w:color="000000" w:sz="4" w:space="0"/>
                    <w:right w:val="single" w:color="000000" w:sz="4" w:space="0"/>
                  </w:tcBorders>
                  <w:vAlign w:val="center"/>
                </w:tcPr>
                <w:p w14:paraId="3879A4C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基础减振</w:t>
                  </w:r>
                </w:p>
              </w:tc>
              <w:tc>
                <w:tcPr>
                  <w:tcW w:w="1405" w:type="dxa"/>
                  <w:tcBorders>
                    <w:top w:val="single" w:color="000000" w:sz="4" w:space="0"/>
                    <w:left w:val="nil"/>
                    <w:bottom w:val="single" w:color="000000" w:sz="4" w:space="0"/>
                    <w:right w:val="single" w:color="000000" w:sz="4" w:space="0"/>
                  </w:tcBorders>
                  <w:vAlign w:val="center"/>
                </w:tcPr>
                <w:p w14:paraId="4D920AFF">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昼夜</w:t>
                  </w:r>
                </w:p>
              </w:tc>
            </w:tr>
            <w:tr w14:paraId="2E518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dxa"/>
                  <w:tcBorders>
                    <w:top w:val="single" w:color="000000" w:sz="4" w:space="0"/>
                    <w:left w:val="single" w:color="000000" w:sz="4" w:space="0"/>
                    <w:bottom w:val="single" w:color="000000" w:sz="4" w:space="0"/>
                    <w:right w:val="single" w:color="000000" w:sz="4" w:space="0"/>
                  </w:tcBorders>
                  <w:vAlign w:val="center"/>
                </w:tcPr>
                <w:p w14:paraId="397D23D1">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空压机</w:t>
                  </w:r>
                </w:p>
              </w:tc>
              <w:tc>
                <w:tcPr>
                  <w:tcW w:w="815" w:type="dxa"/>
                  <w:tcBorders>
                    <w:top w:val="single" w:color="000000" w:sz="4" w:space="0"/>
                    <w:left w:val="nil"/>
                    <w:bottom w:val="single" w:color="000000" w:sz="4" w:space="0"/>
                    <w:right w:val="single" w:color="000000" w:sz="4" w:space="0"/>
                  </w:tcBorders>
                  <w:vAlign w:val="center"/>
                </w:tcPr>
                <w:p w14:paraId="150B14BB">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1284" w:type="dxa"/>
                  <w:tcBorders>
                    <w:top w:val="single" w:color="000000" w:sz="4" w:space="0"/>
                    <w:left w:val="nil"/>
                    <w:bottom w:val="single" w:color="000000" w:sz="4" w:space="0"/>
                    <w:right w:val="single" w:color="000000" w:sz="4" w:space="0"/>
                  </w:tcBorders>
                  <w:vAlign w:val="center"/>
                </w:tcPr>
                <w:p w14:paraId="084327C5">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w:t>
                  </w:r>
                </w:p>
              </w:tc>
              <w:tc>
                <w:tcPr>
                  <w:tcW w:w="1754" w:type="dxa"/>
                  <w:tcBorders>
                    <w:top w:val="single" w:color="000000" w:sz="4" w:space="0"/>
                    <w:left w:val="nil"/>
                    <w:bottom w:val="single" w:color="000000" w:sz="4" w:space="0"/>
                    <w:right w:val="single" w:color="000000" w:sz="4" w:space="0"/>
                  </w:tcBorders>
                  <w:vAlign w:val="center"/>
                </w:tcPr>
                <w:p w14:paraId="025DA5AA">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80</w:t>
                  </w:r>
                </w:p>
              </w:tc>
              <w:tc>
                <w:tcPr>
                  <w:tcW w:w="2750" w:type="dxa"/>
                  <w:tcBorders>
                    <w:top w:val="single" w:color="000000" w:sz="4" w:space="0"/>
                    <w:left w:val="nil"/>
                    <w:bottom w:val="single" w:color="000000" w:sz="4" w:space="0"/>
                    <w:right w:val="single" w:color="000000" w:sz="4" w:space="0"/>
                  </w:tcBorders>
                  <w:vAlign w:val="center"/>
                </w:tcPr>
                <w:p w14:paraId="3703F1AF">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基础减震</w:t>
                  </w:r>
                </w:p>
              </w:tc>
              <w:tc>
                <w:tcPr>
                  <w:tcW w:w="1405" w:type="dxa"/>
                  <w:tcBorders>
                    <w:top w:val="single" w:color="000000" w:sz="4" w:space="0"/>
                    <w:left w:val="nil"/>
                    <w:bottom w:val="single" w:color="000000" w:sz="4" w:space="0"/>
                    <w:right w:val="single" w:color="000000" w:sz="4" w:space="0"/>
                  </w:tcBorders>
                  <w:vAlign w:val="center"/>
                </w:tcPr>
                <w:p w14:paraId="14E7153A">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昼夜</w:t>
                  </w:r>
                </w:p>
              </w:tc>
            </w:tr>
            <w:tr w14:paraId="66B08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dxa"/>
                  <w:tcBorders>
                    <w:top w:val="single" w:color="000000" w:sz="4" w:space="0"/>
                    <w:left w:val="single" w:color="000000" w:sz="4" w:space="0"/>
                    <w:bottom w:val="single" w:color="000000" w:sz="4" w:space="0"/>
                    <w:right w:val="single" w:color="000000" w:sz="4" w:space="0"/>
                  </w:tcBorders>
                  <w:vAlign w:val="center"/>
                </w:tcPr>
                <w:p w14:paraId="33B6248C">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冷却塔</w:t>
                  </w:r>
                </w:p>
              </w:tc>
              <w:tc>
                <w:tcPr>
                  <w:tcW w:w="815" w:type="dxa"/>
                  <w:tcBorders>
                    <w:top w:val="single" w:color="000000" w:sz="4" w:space="0"/>
                    <w:left w:val="nil"/>
                    <w:bottom w:val="single" w:color="000000" w:sz="4" w:space="0"/>
                    <w:right w:val="single" w:color="000000" w:sz="4" w:space="0"/>
                  </w:tcBorders>
                  <w:vAlign w:val="center"/>
                </w:tcPr>
                <w:p w14:paraId="3017AF0D">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1284" w:type="dxa"/>
                  <w:tcBorders>
                    <w:top w:val="single" w:color="000000" w:sz="4" w:space="0"/>
                    <w:left w:val="nil"/>
                    <w:bottom w:val="single" w:color="000000" w:sz="4" w:space="0"/>
                    <w:right w:val="single" w:color="000000" w:sz="4" w:space="0"/>
                  </w:tcBorders>
                  <w:vAlign w:val="center"/>
                </w:tcPr>
                <w:p w14:paraId="3C0E8D5B">
                  <w:pPr>
                    <w:pStyle w:val="86"/>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w:t>
                  </w:r>
                </w:p>
              </w:tc>
              <w:tc>
                <w:tcPr>
                  <w:tcW w:w="1754" w:type="dxa"/>
                  <w:tcBorders>
                    <w:top w:val="single" w:color="000000" w:sz="4" w:space="0"/>
                    <w:left w:val="nil"/>
                    <w:bottom w:val="single" w:color="000000" w:sz="4" w:space="0"/>
                    <w:right w:val="single" w:color="000000" w:sz="4" w:space="0"/>
                  </w:tcBorders>
                  <w:vAlign w:val="center"/>
                </w:tcPr>
                <w:p w14:paraId="082C1D57">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70</w:t>
                  </w:r>
                </w:p>
              </w:tc>
              <w:tc>
                <w:tcPr>
                  <w:tcW w:w="2750" w:type="dxa"/>
                  <w:tcBorders>
                    <w:top w:val="single" w:color="000000" w:sz="4" w:space="0"/>
                    <w:left w:val="nil"/>
                    <w:bottom w:val="single" w:color="000000" w:sz="4" w:space="0"/>
                    <w:right w:val="single" w:color="000000" w:sz="4" w:space="0"/>
                  </w:tcBorders>
                  <w:vAlign w:val="center"/>
                </w:tcPr>
                <w:p w14:paraId="01AFF9EA">
                  <w:pPr>
                    <w:pStyle w:val="86"/>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选用低噪声冷却塔、基础减震</w:t>
                  </w:r>
                </w:p>
              </w:tc>
              <w:tc>
                <w:tcPr>
                  <w:tcW w:w="1405" w:type="dxa"/>
                  <w:tcBorders>
                    <w:top w:val="single" w:color="000000" w:sz="4" w:space="0"/>
                    <w:left w:val="nil"/>
                    <w:bottom w:val="single" w:color="000000" w:sz="4" w:space="0"/>
                    <w:right w:val="single" w:color="000000" w:sz="4" w:space="0"/>
                  </w:tcBorders>
                  <w:vAlign w:val="center"/>
                </w:tcPr>
                <w:p w14:paraId="5001E1F8">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昼夜</w:t>
                  </w:r>
                </w:p>
              </w:tc>
            </w:tr>
          </w:tbl>
          <w:p w14:paraId="5B05AB9B">
            <w:pPr>
              <w:pStyle w:val="86"/>
              <w:keepNext w:val="0"/>
              <w:keepLines w:val="0"/>
              <w:suppressLineNumbers w:val="0"/>
              <w:bidi w:val="0"/>
              <w:spacing w:before="0" w:beforeAutospacing="0" w:after="0" w:afterAutospacing="0"/>
              <w:ind w:left="0" w:right="0"/>
              <w:rPr>
                <w:rFonts w:hint="default"/>
                <w:color w:val="auto"/>
                <w:highlight w:val="none"/>
              </w:rPr>
            </w:pPr>
          </w:p>
          <w:p w14:paraId="026C3F18">
            <w:pPr>
              <w:pStyle w:val="86"/>
              <w:keepNext w:val="0"/>
              <w:keepLines w:val="0"/>
              <w:suppressLineNumbers w:val="0"/>
              <w:bidi w:val="0"/>
              <w:spacing w:before="0" w:beforeAutospacing="0" w:after="0" w:afterAutospacing="0"/>
              <w:ind w:left="0" w:right="0"/>
              <w:rPr>
                <w:rFonts w:hint="default"/>
                <w:color w:val="auto"/>
                <w:sz w:val="26"/>
                <w:szCs w:val="26"/>
                <w:highlight w:val="none"/>
              </w:rPr>
            </w:pPr>
            <w:r>
              <w:rPr>
                <w:rFonts w:hint="default"/>
                <w:color w:val="auto"/>
                <w:sz w:val="26"/>
                <w:szCs w:val="26"/>
                <w:highlight w:val="none"/>
              </w:rPr>
              <w:t>表4.2</w:t>
            </w:r>
            <w:r>
              <w:rPr>
                <w:rFonts w:hint="eastAsia"/>
                <w:color w:val="auto"/>
                <w:sz w:val="26"/>
                <w:szCs w:val="26"/>
                <w:highlight w:val="none"/>
                <w:lang w:val="en-US" w:eastAsia="zh-CN"/>
              </w:rPr>
              <w:t xml:space="preserve">-13  </w:t>
            </w:r>
            <w:r>
              <w:rPr>
                <w:rFonts w:hint="default"/>
                <w:color w:val="auto"/>
                <w:sz w:val="26"/>
                <w:szCs w:val="26"/>
                <w:highlight w:val="none"/>
              </w:rPr>
              <w:t xml:space="preserve">  工业企业噪声源强调查清单（室内声源）     单位：dB(A)</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5"/>
              <w:gridCol w:w="1104"/>
              <w:gridCol w:w="631"/>
              <w:gridCol w:w="860"/>
              <w:gridCol w:w="1033"/>
              <w:gridCol w:w="789"/>
              <w:gridCol w:w="946"/>
              <w:gridCol w:w="789"/>
              <w:gridCol w:w="933"/>
              <w:gridCol w:w="867"/>
              <w:gridCol w:w="761"/>
            </w:tblGrid>
            <w:tr w14:paraId="50C31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vMerge w:val="restart"/>
                  <w:shd w:val="clear" w:color="auto" w:fill="auto"/>
                  <w:vAlign w:val="center"/>
                </w:tcPr>
                <w:p w14:paraId="58339EA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序号</w:t>
                  </w:r>
                </w:p>
              </w:tc>
              <w:tc>
                <w:tcPr>
                  <w:tcW w:w="1104" w:type="dxa"/>
                  <w:vMerge w:val="restart"/>
                  <w:shd w:val="clear" w:color="auto" w:fill="auto"/>
                  <w:vAlign w:val="center"/>
                </w:tcPr>
                <w:p w14:paraId="00D9B55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设备名称</w:t>
                  </w:r>
                </w:p>
              </w:tc>
              <w:tc>
                <w:tcPr>
                  <w:tcW w:w="631" w:type="dxa"/>
                  <w:vMerge w:val="restart"/>
                  <w:shd w:val="clear" w:color="auto" w:fill="auto"/>
                  <w:vAlign w:val="center"/>
                </w:tcPr>
                <w:p w14:paraId="7297EFC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数量</w:t>
                  </w:r>
                </w:p>
              </w:tc>
              <w:tc>
                <w:tcPr>
                  <w:tcW w:w="860" w:type="dxa"/>
                  <w:vMerge w:val="restart"/>
                  <w:shd w:val="clear" w:color="auto" w:fill="auto"/>
                  <w:vAlign w:val="center"/>
                </w:tcPr>
                <w:p w14:paraId="58B4795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单台源强/ dB(A)</w:t>
                  </w:r>
                </w:p>
              </w:tc>
              <w:tc>
                <w:tcPr>
                  <w:tcW w:w="1033" w:type="dxa"/>
                  <w:vMerge w:val="restart"/>
                  <w:vAlign w:val="center"/>
                </w:tcPr>
                <w:p w14:paraId="549A9FE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声源控制措施</w:t>
                  </w:r>
                </w:p>
              </w:tc>
              <w:tc>
                <w:tcPr>
                  <w:tcW w:w="789" w:type="dxa"/>
                  <w:vMerge w:val="restart"/>
                  <w:tcBorders>
                    <w:right w:val="single" w:color="auto" w:sz="4" w:space="0"/>
                  </w:tcBorders>
                  <w:shd w:val="clear" w:color="auto" w:fill="auto"/>
                  <w:vAlign w:val="center"/>
                </w:tcPr>
                <w:p w14:paraId="3407475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距室内边界距离/m</w:t>
                  </w:r>
                </w:p>
              </w:tc>
              <w:tc>
                <w:tcPr>
                  <w:tcW w:w="946" w:type="dxa"/>
                  <w:vMerge w:val="restart"/>
                  <w:tcBorders>
                    <w:left w:val="single" w:color="auto" w:sz="4" w:space="0"/>
                    <w:right w:val="single" w:color="auto" w:sz="4" w:space="0"/>
                  </w:tcBorders>
                  <w:shd w:val="clear" w:color="auto" w:fill="auto"/>
                  <w:vAlign w:val="center"/>
                </w:tcPr>
                <w:p w14:paraId="1BF385E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室内边界声级dB(A)</w:t>
                  </w:r>
                </w:p>
              </w:tc>
              <w:tc>
                <w:tcPr>
                  <w:tcW w:w="789" w:type="dxa"/>
                  <w:vMerge w:val="restart"/>
                  <w:tcBorders>
                    <w:left w:val="single" w:color="auto" w:sz="4" w:space="0"/>
                    <w:right w:val="single" w:color="auto" w:sz="4" w:space="0"/>
                  </w:tcBorders>
                  <w:vAlign w:val="center"/>
                </w:tcPr>
                <w:p w14:paraId="184C7C6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运行</w:t>
                  </w:r>
                </w:p>
                <w:p w14:paraId="1CE9C66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时段</w:t>
                  </w:r>
                </w:p>
              </w:tc>
              <w:tc>
                <w:tcPr>
                  <w:tcW w:w="933" w:type="dxa"/>
                  <w:vMerge w:val="restart"/>
                  <w:tcBorders>
                    <w:left w:val="single" w:color="auto" w:sz="4" w:space="0"/>
                    <w:right w:val="single" w:color="auto" w:sz="4" w:space="0"/>
                  </w:tcBorders>
                  <w:vAlign w:val="center"/>
                </w:tcPr>
                <w:p w14:paraId="572653D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建筑物插入损失/ dB(A)</w:t>
                  </w:r>
                </w:p>
              </w:tc>
              <w:tc>
                <w:tcPr>
                  <w:tcW w:w="1628" w:type="dxa"/>
                  <w:gridSpan w:val="2"/>
                  <w:tcBorders>
                    <w:left w:val="single" w:color="auto" w:sz="4" w:space="0"/>
                  </w:tcBorders>
                  <w:vAlign w:val="center"/>
                </w:tcPr>
                <w:p w14:paraId="044337F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建筑物外噪声</w:t>
                  </w:r>
                </w:p>
              </w:tc>
            </w:tr>
            <w:tr w14:paraId="3B914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vMerge w:val="continue"/>
                  <w:shd w:val="clear" w:color="auto" w:fill="auto"/>
                  <w:vAlign w:val="center"/>
                </w:tcPr>
                <w:p w14:paraId="14AA942C">
                  <w:pPr>
                    <w:pStyle w:val="86"/>
                    <w:keepNext w:val="0"/>
                    <w:keepLines w:val="0"/>
                    <w:suppressLineNumbers w:val="0"/>
                    <w:bidi w:val="0"/>
                    <w:spacing w:before="0" w:beforeAutospacing="0" w:after="0" w:afterAutospacing="0"/>
                    <w:ind w:left="0" w:right="0"/>
                    <w:rPr>
                      <w:rFonts w:hint="default"/>
                      <w:color w:val="auto"/>
                      <w:highlight w:val="none"/>
                    </w:rPr>
                  </w:pPr>
                </w:p>
              </w:tc>
              <w:tc>
                <w:tcPr>
                  <w:tcW w:w="1104" w:type="dxa"/>
                  <w:vMerge w:val="continue"/>
                  <w:shd w:val="clear" w:color="auto" w:fill="auto"/>
                  <w:vAlign w:val="center"/>
                </w:tcPr>
                <w:p w14:paraId="207D5F16">
                  <w:pPr>
                    <w:pStyle w:val="86"/>
                    <w:keepNext w:val="0"/>
                    <w:keepLines w:val="0"/>
                    <w:suppressLineNumbers w:val="0"/>
                    <w:bidi w:val="0"/>
                    <w:spacing w:before="0" w:beforeAutospacing="0" w:after="0" w:afterAutospacing="0"/>
                    <w:ind w:left="0" w:right="0"/>
                    <w:rPr>
                      <w:rFonts w:hint="default"/>
                      <w:color w:val="auto"/>
                      <w:highlight w:val="none"/>
                    </w:rPr>
                  </w:pPr>
                </w:p>
              </w:tc>
              <w:tc>
                <w:tcPr>
                  <w:tcW w:w="631" w:type="dxa"/>
                  <w:vMerge w:val="continue"/>
                  <w:shd w:val="clear" w:color="auto" w:fill="auto"/>
                  <w:vAlign w:val="center"/>
                </w:tcPr>
                <w:p w14:paraId="715F10DA">
                  <w:pPr>
                    <w:pStyle w:val="86"/>
                    <w:keepNext w:val="0"/>
                    <w:keepLines w:val="0"/>
                    <w:suppressLineNumbers w:val="0"/>
                    <w:bidi w:val="0"/>
                    <w:spacing w:before="0" w:beforeAutospacing="0" w:after="0" w:afterAutospacing="0"/>
                    <w:ind w:left="0" w:right="0"/>
                    <w:rPr>
                      <w:rFonts w:hint="default"/>
                      <w:color w:val="auto"/>
                      <w:highlight w:val="none"/>
                    </w:rPr>
                  </w:pPr>
                </w:p>
              </w:tc>
              <w:tc>
                <w:tcPr>
                  <w:tcW w:w="860" w:type="dxa"/>
                  <w:vMerge w:val="continue"/>
                  <w:shd w:val="clear" w:color="auto" w:fill="auto"/>
                  <w:vAlign w:val="center"/>
                </w:tcPr>
                <w:p w14:paraId="755F60B5">
                  <w:pPr>
                    <w:pStyle w:val="86"/>
                    <w:keepNext w:val="0"/>
                    <w:keepLines w:val="0"/>
                    <w:suppressLineNumbers w:val="0"/>
                    <w:bidi w:val="0"/>
                    <w:spacing w:before="0" w:beforeAutospacing="0" w:after="0" w:afterAutospacing="0"/>
                    <w:ind w:left="0" w:right="0"/>
                    <w:rPr>
                      <w:rFonts w:hint="default"/>
                      <w:color w:val="auto"/>
                      <w:highlight w:val="none"/>
                    </w:rPr>
                  </w:pPr>
                </w:p>
              </w:tc>
              <w:tc>
                <w:tcPr>
                  <w:tcW w:w="1033" w:type="dxa"/>
                  <w:vMerge w:val="continue"/>
                  <w:vAlign w:val="center"/>
                </w:tcPr>
                <w:p w14:paraId="6A466584">
                  <w:pPr>
                    <w:pStyle w:val="86"/>
                    <w:keepNext w:val="0"/>
                    <w:keepLines w:val="0"/>
                    <w:suppressLineNumbers w:val="0"/>
                    <w:bidi w:val="0"/>
                    <w:spacing w:before="0" w:beforeAutospacing="0" w:after="0" w:afterAutospacing="0"/>
                    <w:ind w:left="0" w:right="0"/>
                    <w:rPr>
                      <w:rFonts w:hint="default"/>
                      <w:color w:val="auto"/>
                      <w:highlight w:val="none"/>
                    </w:rPr>
                  </w:pPr>
                </w:p>
              </w:tc>
              <w:tc>
                <w:tcPr>
                  <w:tcW w:w="789" w:type="dxa"/>
                  <w:vMerge w:val="continue"/>
                  <w:tcBorders>
                    <w:right w:val="single" w:color="auto" w:sz="4" w:space="0"/>
                  </w:tcBorders>
                  <w:shd w:val="clear" w:color="auto" w:fill="auto"/>
                  <w:vAlign w:val="center"/>
                </w:tcPr>
                <w:p w14:paraId="1BBC7278">
                  <w:pPr>
                    <w:pStyle w:val="86"/>
                    <w:keepNext w:val="0"/>
                    <w:keepLines w:val="0"/>
                    <w:suppressLineNumbers w:val="0"/>
                    <w:bidi w:val="0"/>
                    <w:spacing w:before="0" w:beforeAutospacing="0" w:after="0" w:afterAutospacing="0"/>
                    <w:ind w:left="0" w:right="0"/>
                    <w:rPr>
                      <w:rFonts w:hint="default"/>
                      <w:color w:val="auto"/>
                      <w:highlight w:val="none"/>
                    </w:rPr>
                  </w:pPr>
                </w:p>
              </w:tc>
              <w:tc>
                <w:tcPr>
                  <w:tcW w:w="946" w:type="dxa"/>
                  <w:vMerge w:val="continue"/>
                  <w:tcBorders>
                    <w:left w:val="single" w:color="auto" w:sz="4" w:space="0"/>
                    <w:right w:val="single" w:color="auto" w:sz="4" w:space="0"/>
                  </w:tcBorders>
                  <w:shd w:val="clear" w:color="auto" w:fill="auto"/>
                  <w:vAlign w:val="center"/>
                </w:tcPr>
                <w:p w14:paraId="20A9BEE0">
                  <w:pPr>
                    <w:pStyle w:val="86"/>
                    <w:keepNext w:val="0"/>
                    <w:keepLines w:val="0"/>
                    <w:suppressLineNumbers w:val="0"/>
                    <w:bidi w:val="0"/>
                    <w:spacing w:before="0" w:beforeAutospacing="0" w:after="0" w:afterAutospacing="0"/>
                    <w:ind w:left="0" w:right="0"/>
                    <w:rPr>
                      <w:rFonts w:hint="default"/>
                      <w:color w:val="auto"/>
                      <w:highlight w:val="none"/>
                    </w:rPr>
                  </w:pPr>
                </w:p>
              </w:tc>
              <w:tc>
                <w:tcPr>
                  <w:tcW w:w="789" w:type="dxa"/>
                  <w:vMerge w:val="continue"/>
                  <w:tcBorders>
                    <w:left w:val="single" w:color="auto" w:sz="4" w:space="0"/>
                    <w:right w:val="single" w:color="auto" w:sz="4" w:space="0"/>
                  </w:tcBorders>
                  <w:vAlign w:val="center"/>
                </w:tcPr>
                <w:p w14:paraId="229073D8">
                  <w:pPr>
                    <w:pStyle w:val="86"/>
                    <w:keepNext w:val="0"/>
                    <w:keepLines w:val="0"/>
                    <w:suppressLineNumbers w:val="0"/>
                    <w:bidi w:val="0"/>
                    <w:spacing w:before="0" w:beforeAutospacing="0" w:after="0" w:afterAutospacing="0"/>
                    <w:ind w:left="0" w:right="0"/>
                    <w:rPr>
                      <w:rFonts w:hint="default"/>
                      <w:color w:val="auto"/>
                      <w:highlight w:val="none"/>
                    </w:rPr>
                  </w:pPr>
                </w:p>
              </w:tc>
              <w:tc>
                <w:tcPr>
                  <w:tcW w:w="933" w:type="dxa"/>
                  <w:vMerge w:val="continue"/>
                  <w:tcBorders>
                    <w:left w:val="single" w:color="auto" w:sz="4" w:space="0"/>
                    <w:right w:val="single" w:color="auto" w:sz="4" w:space="0"/>
                  </w:tcBorders>
                  <w:vAlign w:val="center"/>
                </w:tcPr>
                <w:p w14:paraId="5A8364D4">
                  <w:pPr>
                    <w:pStyle w:val="86"/>
                    <w:keepNext w:val="0"/>
                    <w:keepLines w:val="0"/>
                    <w:suppressLineNumbers w:val="0"/>
                    <w:bidi w:val="0"/>
                    <w:spacing w:before="0" w:beforeAutospacing="0" w:after="0" w:afterAutospacing="0"/>
                    <w:ind w:left="0" w:right="0"/>
                    <w:rPr>
                      <w:rFonts w:hint="default"/>
                      <w:color w:val="auto"/>
                      <w:highlight w:val="none"/>
                    </w:rPr>
                  </w:pPr>
                </w:p>
              </w:tc>
              <w:tc>
                <w:tcPr>
                  <w:tcW w:w="867" w:type="dxa"/>
                  <w:tcBorders>
                    <w:left w:val="single" w:color="auto" w:sz="4" w:space="0"/>
                    <w:right w:val="single" w:color="auto" w:sz="4" w:space="0"/>
                  </w:tcBorders>
                  <w:vAlign w:val="center"/>
                </w:tcPr>
                <w:p w14:paraId="71EC0B9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声压级/ dB(A)</w:t>
                  </w:r>
                </w:p>
              </w:tc>
              <w:tc>
                <w:tcPr>
                  <w:tcW w:w="761" w:type="dxa"/>
                  <w:tcBorders>
                    <w:left w:val="single" w:color="auto" w:sz="4" w:space="0"/>
                  </w:tcBorders>
                  <w:shd w:val="clear" w:color="auto" w:fill="auto"/>
                  <w:vAlign w:val="center"/>
                </w:tcPr>
                <w:p w14:paraId="0C317F4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建筑物外距离/m</w:t>
                  </w:r>
                </w:p>
              </w:tc>
            </w:tr>
            <w:tr w14:paraId="2836E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shd w:val="clear" w:color="auto" w:fill="auto"/>
                  <w:vAlign w:val="center"/>
                </w:tcPr>
                <w:p w14:paraId="4BF6C50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w:t>
                  </w:r>
                </w:p>
              </w:tc>
              <w:tc>
                <w:tcPr>
                  <w:tcW w:w="1104" w:type="dxa"/>
                  <w:shd w:val="clear" w:color="auto" w:fill="auto"/>
                  <w:vAlign w:val="center"/>
                </w:tcPr>
                <w:p w14:paraId="5186B395">
                  <w:pPr>
                    <w:pStyle w:val="86"/>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eastAsia="zh-CN"/>
                    </w:rPr>
                    <w:t>熔铸机</w:t>
                  </w:r>
                </w:p>
              </w:tc>
              <w:tc>
                <w:tcPr>
                  <w:tcW w:w="631" w:type="dxa"/>
                  <w:shd w:val="clear" w:color="auto" w:fill="auto"/>
                  <w:vAlign w:val="center"/>
                </w:tcPr>
                <w:p w14:paraId="242C3611">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14</w:t>
                  </w:r>
                </w:p>
              </w:tc>
              <w:tc>
                <w:tcPr>
                  <w:tcW w:w="860" w:type="dxa"/>
                  <w:shd w:val="clear" w:color="auto" w:fill="auto"/>
                  <w:vAlign w:val="center"/>
                </w:tcPr>
                <w:p w14:paraId="7F11F18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75</w:t>
                  </w:r>
                </w:p>
              </w:tc>
              <w:tc>
                <w:tcPr>
                  <w:tcW w:w="1033" w:type="dxa"/>
                  <w:vMerge w:val="restart"/>
                  <w:vAlign w:val="center"/>
                </w:tcPr>
                <w:p w14:paraId="3A69A44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选用低噪声设备、基础减振、合理布局、距离衰减、建筑物隔声</w:t>
                  </w:r>
                </w:p>
              </w:tc>
              <w:tc>
                <w:tcPr>
                  <w:tcW w:w="789" w:type="dxa"/>
                  <w:tcBorders>
                    <w:right w:val="single" w:color="auto" w:sz="4" w:space="0"/>
                  </w:tcBorders>
                  <w:shd w:val="clear" w:color="auto" w:fill="auto"/>
                  <w:vAlign w:val="center"/>
                </w:tcPr>
                <w:p w14:paraId="61D2812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w:t>
                  </w:r>
                </w:p>
              </w:tc>
              <w:tc>
                <w:tcPr>
                  <w:tcW w:w="946" w:type="dxa"/>
                  <w:tcBorders>
                    <w:left w:val="single" w:color="auto" w:sz="4" w:space="0"/>
                    <w:right w:val="single" w:color="auto" w:sz="4" w:space="0"/>
                  </w:tcBorders>
                  <w:shd w:val="clear" w:color="auto" w:fill="auto"/>
                  <w:vAlign w:val="center"/>
                </w:tcPr>
                <w:p w14:paraId="144446F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56.9</w:t>
                  </w:r>
                </w:p>
              </w:tc>
              <w:tc>
                <w:tcPr>
                  <w:tcW w:w="789" w:type="dxa"/>
                  <w:tcBorders>
                    <w:left w:val="single" w:color="auto" w:sz="4" w:space="0"/>
                    <w:right w:val="single" w:color="auto" w:sz="4" w:space="0"/>
                  </w:tcBorders>
                  <w:vAlign w:val="center"/>
                </w:tcPr>
                <w:p w14:paraId="776B90E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昼夜</w:t>
                  </w:r>
                </w:p>
              </w:tc>
              <w:tc>
                <w:tcPr>
                  <w:tcW w:w="933" w:type="dxa"/>
                  <w:tcBorders>
                    <w:left w:val="single" w:color="auto" w:sz="4" w:space="0"/>
                    <w:right w:val="single" w:color="auto" w:sz="4" w:space="0"/>
                  </w:tcBorders>
                  <w:vAlign w:val="center"/>
                </w:tcPr>
                <w:p w14:paraId="58A7FD4F">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21</w:t>
                  </w:r>
                </w:p>
              </w:tc>
              <w:tc>
                <w:tcPr>
                  <w:tcW w:w="867" w:type="dxa"/>
                  <w:tcBorders>
                    <w:left w:val="single" w:color="auto" w:sz="4" w:space="0"/>
                    <w:right w:val="single" w:color="auto" w:sz="4" w:space="0"/>
                  </w:tcBorders>
                  <w:vAlign w:val="center"/>
                </w:tcPr>
                <w:p w14:paraId="2CE83462">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35.9 </w:t>
                  </w:r>
                </w:p>
              </w:tc>
              <w:tc>
                <w:tcPr>
                  <w:tcW w:w="761" w:type="dxa"/>
                  <w:tcBorders>
                    <w:left w:val="single" w:color="auto" w:sz="4" w:space="0"/>
                  </w:tcBorders>
                  <w:shd w:val="clear" w:color="auto" w:fill="auto"/>
                  <w:vAlign w:val="center"/>
                </w:tcPr>
                <w:p w14:paraId="44515128">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r>
            <w:tr w14:paraId="1FDE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shd w:val="clear" w:color="auto" w:fill="auto"/>
                  <w:vAlign w:val="center"/>
                </w:tcPr>
                <w:p w14:paraId="143A856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w:t>
                  </w:r>
                </w:p>
              </w:tc>
              <w:tc>
                <w:tcPr>
                  <w:tcW w:w="1104" w:type="dxa"/>
                  <w:shd w:val="clear" w:color="auto" w:fill="auto"/>
                  <w:vAlign w:val="center"/>
                </w:tcPr>
                <w:p w14:paraId="77F07C0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冲床</w:t>
                  </w:r>
                </w:p>
              </w:tc>
              <w:tc>
                <w:tcPr>
                  <w:tcW w:w="631" w:type="dxa"/>
                  <w:shd w:val="clear" w:color="auto" w:fill="auto"/>
                  <w:vAlign w:val="center"/>
                </w:tcPr>
                <w:p w14:paraId="1AA60DA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12</w:t>
                  </w:r>
                </w:p>
              </w:tc>
              <w:tc>
                <w:tcPr>
                  <w:tcW w:w="860" w:type="dxa"/>
                  <w:shd w:val="clear" w:color="auto" w:fill="auto"/>
                  <w:vAlign w:val="center"/>
                </w:tcPr>
                <w:p w14:paraId="0D75AA6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80</w:t>
                  </w:r>
                </w:p>
              </w:tc>
              <w:tc>
                <w:tcPr>
                  <w:tcW w:w="1033" w:type="dxa"/>
                  <w:vMerge w:val="continue"/>
                  <w:vAlign w:val="center"/>
                </w:tcPr>
                <w:p w14:paraId="0D38954D">
                  <w:pPr>
                    <w:pStyle w:val="86"/>
                    <w:keepNext w:val="0"/>
                    <w:keepLines w:val="0"/>
                    <w:suppressLineNumbers w:val="0"/>
                    <w:bidi w:val="0"/>
                    <w:spacing w:before="0" w:beforeAutospacing="0" w:after="0" w:afterAutospacing="0"/>
                    <w:ind w:left="0" w:right="0"/>
                    <w:rPr>
                      <w:rFonts w:hint="default"/>
                      <w:color w:val="auto"/>
                      <w:highlight w:val="none"/>
                    </w:rPr>
                  </w:pPr>
                </w:p>
              </w:tc>
              <w:tc>
                <w:tcPr>
                  <w:tcW w:w="789" w:type="dxa"/>
                  <w:tcBorders>
                    <w:right w:val="single" w:color="auto" w:sz="4" w:space="0"/>
                  </w:tcBorders>
                  <w:shd w:val="clear" w:color="auto" w:fill="auto"/>
                  <w:vAlign w:val="center"/>
                </w:tcPr>
                <w:p w14:paraId="19CF559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18</w:t>
                  </w:r>
                </w:p>
              </w:tc>
              <w:tc>
                <w:tcPr>
                  <w:tcW w:w="946" w:type="dxa"/>
                  <w:tcBorders>
                    <w:left w:val="single" w:color="auto" w:sz="4" w:space="0"/>
                    <w:right w:val="single" w:color="auto" w:sz="4" w:space="0"/>
                  </w:tcBorders>
                  <w:shd w:val="clear" w:color="auto" w:fill="auto"/>
                  <w:vAlign w:val="center"/>
                </w:tcPr>
                <w:p w14:paraId="123AFBD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54.8</w:t>
                  </w:r>
                </w:p>
              </w:tc>
              <w:tc>
                <w:tcPr>
                  <w:tcW w:w="789" w:type="dxa"/>
                  <w:tcBorders>
                    <w:left w:val="single" w:color="auto" w:sz="4" w:space="0"/>
                    <w:right w:val="single" w:color="auto" w:sz="4" w:space="0"/>
                  </w:tcBorders>
                  <w:vAlign w:val="center"/>
                </w:tcPr>
                <w:p w14:paraId="3FF85F8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昼间</w:t>
                  </w:r>
                </w:p>
              </w:tc>
              <w:tc>
                <w:tcPr>
                  <w:tcW w:w="933" w:type="dxa"/>
                  <w:tcBorders>
                    <w:left w:val="single" w:color="auto" w:sz="4" w:space="0"/>
                    <w:right w:val="single" w:color="auto" w:sz="4" w:space="0"/>
                  </w:tcBorders>
                  <w:vAlign w:val="center"/>
                </w:tcPr>
                <w:p w14:paraId="22C01BC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21</w:t>
                  </w:r>
                </w:p>
              </w:tc>
              <w:tc>
                <w:tcPr>
                  <w:tcW w:w="867" w:type="dxa"/>
                  <w:tcBorders>
                    <w:left w:val="single" w:color="auto" w:sz="4" w:space="0"/>
                    <w:right w:val="single" w:color="auto" w:sz="4" w:space="0"/>
                  </w:tcBorders>
                  <w:vAlign w:val="center"/>
                </w:tcPr>
                <w:p w14:paraId="61F39B60">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33.9 </w:t>
                  </w:r>
                </w:p>
              </w:tc>
              <w:tc>
                <w:tcPr>
                  <w:tcW w:w="761" w:type="dxa"/>
                  <w:tcBorders>
                    <w:left w:val="single" w:color="auto" w:sz="4" w:space="0"/>
                  </w:tcBorders>
                  <w:shd w:val="clear" w:color="auto" w:fill="auto"/>
                  <w:vAlign w:val="center"/>
                </w:tcPr>
                <w:p w14:paraId="76B16399">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r>
            <w:tr w14:paraId="6EC20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shd w:val="clear" w:color="auto" w:fill="auto"/>
                  <w:vAlign w:val="center"/>
                </w:tcPr>
                <w:p w14:paraId="21133EC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w:t>
                  </w:r>
                </w:p>
              </w:tc>
              <w:tc>
                <w:tcPr>
                  <w:tcW w:w="1104" w:type="dxa"/>
                  <w:shd w:val="clear" w:color="auto" w:fill="auto"/>
                  <w:vAlign w:val="center"/>
                </w:tcPr>
                <w:p w14:paraId="0DBE3BB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抛丸机</w:t>
                  </w:r>
                </w:p>
              </w:tc>
              <w:tc>
                <w:tcPr>
                  <w:tcW w:w="631" w:type="dxa"/>
                  <w:shd w:val="clear" w:color="auto" w:fill="auto"/>
                  <w:vAlign w:val="center"/>
                </w:tcPr>
                <w:p w14:paraId="58974DAD">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5</w:t>
                  </w:r>
                </w:p>
              </w:tc>
              <w:tc>
                <w:tcPr>
                  <w:tcW w:w="860" w:type="dxa"/>
                  <w:shd w:val="clear" w:color="auto" w:fill="auto"/>
                  <w:vAlign w:val="center"/>
                </w:tcPr>
                <w:p w14:paraId="5288157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80</w:t>
                  </w:r>
                </w:p>
              </w:tc>
              <w:tc>
                <w:tcPr>
                  <w:tcW w:w="1033" w:type="dxa"/>
                  <w:vMerge w:val="continue"/>
                  <w:vAlign w:val="center"/>
                </w:tcPr>
                <w:p w14:paraId="0D52A513">
                  <w:pPr>
                    <w:pStyle w:val="86"/>
                    <w:keepNext w:val="0"/>
                    <w:keepLines w:val="0"/>
                    <w:suppressLineNumbers w:val="0"/>
                    <w:bidi w:val="0"/>
                    <w:spacing w:before="0" w:beforeAutospacing="0" w:after="0" w:afterAutospacing="0"/>
                    <w:ind w:left="0" w:right="0"/>
                    <w:rPr>
                      <w:rFonts w:hint="default"/>
                      <w:color w:val="auto"/>
                      <w:highlight w:val="none"/>
                    </w:rPr>
                  </w:pPr>
                </w:p>
              </w:tc>
              <w:tc>
                <w:tcPr>
                  <w:tcW w:w="789" w:type="dxa"/>
                  <w:tcBorders>
                    <w:right w:val="single" w:color="auto" w:sz="4" w:space="0"/>
                  </w:tcBorders>
                  <w:shd w:val="clear" w:color="auto" w:fill="auto"/>
                  <w:vAlign w:val="center"/>
                </w:tcPr>
                <w:p w14:paraId="3E65B50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18</w:t>
                  </w:r>
                </w:p>
              </w:tc>
              <w:tc>
                <w:tcPr>
                  <w:tcW w:w="946" w:type="dxa"/>
                  <w:tcBorders>
                    <w:left w:val="single" w:color="auto" w:sz="4" w:space="0"/>
                    <w:right w:val="single" w:color="auto" w:sz="4" w:space="0"/>
                  </w:tcBorders>
                  <w:shd w:val="clear" w:color="auto" w:fill="auto"/>
                  <w:vAlign w:val="center"/>
                </w:tcPr>
                <w:p w14:paraId="0778DAC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54.8</w:t>
                  </w:r>
                </w:p>
              </w:tc>
              <w:tc>
                <w:tcPr>
                  <w:tcW w:w="789" w:type="dxa"/>
                  <w:tcBorders>
                    <w:left w:val="single" w:color="auto" w:sz="4" w:space="0"/>
                    <w:right w:val="single" w:color="auto" w:sz="4" w:space="0"/>
                  </w:tcBorders>
                  <w:vAlign w:val="center"/>
                </w:tcPr>
                <w:p w14:paraId="120FE68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昼间</w:t>
                  </w:r>
                </w:p>
              </w:tc>
              <w:tc>
                <w:tcPr>
                  <w:tcW w:w="933" w:type="dxa"/>
                  <w:tcBorders>
                    <w:left w:val="single" w:color="auto" w:sz="4" w:space="0"/>
                    <w:right w:val="single" w:color="auto" w:sz="4" w:space="0"/>
                  </w:tcBorders>
                  <w:vAlign w:val="center"/>
                </w:tcPr>
                <w:p w14:paraId="754F7C64">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21</w:t>
                  </w:r>
                </w:p>
              </w:tc>
              <w:tc>
                <w:tcPr>
                  <w:tcW w:w="867" w:type="dxa"/>
                  <w:tcBorders>
                    <w:left w:val="single" w:color="auto" w:sz="4" w:space="0"/>
                    <w:right w:val="single" w:color="auto" w:sz="4" w:space="0"/>
                  </w:tcBorders>
                  <w:vAlign w:val="center"/>
                </w:tcPr>
                <w:p w14:paraId="207E2F87">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33.9 </w:t>
                  </w:r>
                </w:p>
              </w:tc>
              <w:tc>
                <w:tcPr>
                  <w:tcW w:w="761" w:type="dxa"/>
                  <w:tcBorders>
                    <w:left w:val="single" w:color="auto" w:sz="4" w:space="0"/>
                  </w:tcBorders>
                  <w:shd w:val="clear" w:color="auto" w:fill="auto"/>
                  <w:vAlign w:val="center"/>
                </w:tcPr>
                <w:p w14:paraId="3A9E8A0F">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r>
            <w:tr w14:paraId="3F40C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shd w:val="clear" w:color="auto" w:fill="auto"/>
                  <w:vAlign w:val="center"/>
                </w:tcPr>
                <w:p w14:paraId="2ECFCF0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4</w:t>
                  </w:r>
                </w:p>
              </w:tc>
              <w:tc>
                <w:tcPr>
                  <w:tcW w:w="1104" w:type="dxa"/>
                  <w:shd w:val="clear" w:color="auto" w:fill="auto"/>
                  <w:vAlign w:val="center"/>
                </w:tcPr>
                <w:p w14:paraId="035981B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数控车床</w:t>
                  </w:r>
                </w:p>
              </w:tc>
              <w:tc>
                <w:tcPr>
                  <w:tcW w:w="631" w:type="dxa"/>
                  <w:shd w:val="clear" w:color="auto" w:fill="auto"/>
                  <w:vAlign w:val="center"/>
                </w:tcPr>
                <w:p w14:paraId="526B5C0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3</w:t>
                  </w:r>
                </w:p>
              </w:tc>
              <w:tc>
                <w:tcPr>
                  <w:tcW w:w="860" w:type="dxa"/>
                  <w:shd w:val="clear" w:color="auto" w:fill="auto"/>
                  <w:vAlign w:val="center"/>
                </w:tcPr>
                <w:p w14:paraId="2FEA252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75</w:t>
                  </w:r>
                </w:p>
              </w:tc>
              <w:tc>
                <w:tcPr>
                  <w:tcW w:w="1033" w:type="dxa"/>
                  <w:vMerge w:val="continue"/>
                  <w:vAlign w:val="center"/>
                </w:tcPr>
                <w:p w14:paraId="3BE86297">
                  <w:pPr>
                    <w:pStyle w:val="86"/>
                    <w:keepNext w:val="0"/>
                    <w:keepLines w:val="0"/>
                    <w:suppressLineNumbers w:val="0"/>
                    <w:bidi w:val="0"/>
                    <w:spacing w:before="0" w:beforeAutospacing="0" w:after="0" w:afterAutospacing="0"/>
                    <w:ind w:left="0" w:right="0"/>
                    <w:rPr>
                      <w:rFonts w:hint="default"/>
                      <w:color w:val="auto"/>
                      <w:highlight w:val="none"/>
                    </w:rPr>
                  </w:pPr>
                </w:p>
              </w:tc>
              <w:tc>
                <w:tcPr>
                  <w:tcW w:w="789" w:type="dxa"/>
                  <w:tcBorders>
                    <w:right w:val="single" w:color="auto" w:sz="4" w:space="0"/>
                  </w:tcBorders>
                  <w:shd w:val="clear" w:color="auto" w:fill="auto"/>
                  <w:vAlign w:val="center"/>
                </w:tcPr>
                <w:p w14:paraId="3005F8C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w:t>
                  </w:r>
                </w:p>
              </w:tc>
              <w:tc>
                <w:tcPr>
                  <w:tcW w:w="946" w:type="dxa"/>
                  <w:tcBorders>
                    <w:left w:val="single" w:color="auto" w:sz="4" w:space="0"/>
                    <w:right w:val="single" w:color="auto" w:sz="4" w:space="0"/>
                  </w:tcBorders>
                  <w:shd w:val="clear" w:color="auto" w:fill="auto"/>
                  <w:vAlign w:val="center"/>
                </w:tcPr>
                <w:p w14:paraId="57B5CCA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56.9</w:t>
                  </w:r>
                </w:p>
              </w:tc>
              <w:tc>
                <w:tcPr>
                  <w:tcW w:w="789" w:type="dxa"/>
                  <w:tcBorders>
                    <w:left w:val="single" w:color="auto" w:sz="4" w:space="0"/>
                    <w:right w:val="single" w:color="auto" w:sz="4" w:space="0"/>
                  </w:tcBorders>
                  <w:vAlign w:val="center"/>
                </w:tcPr>
                <w:p w14:paraId="578D5BD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昼间</w:t>
                  </w:r>
                </w:p>
              </w:tc>
              <w:tc>
                <w:tcPr>
                  <w:tcW w:w="933" w:type="dxa"/>
                  <w:tcBorders>
                    <w:left w:val="single" w:color="auto" w:sz="4" w:space="0"/>
                    <w:right w:val="single" w:color="auto" w:sz="4" w:space="0"/>
                  </w:tcBorders>
                  <w:vAlign w:val="center"/>
                </w:tcPr>
                <w:p w14:paraId="0F8EBA0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21</w:t>
                  </w:r>
                </w:p>
              </w:tc>
              <w:tc>
                <w:tcPr>
                  <w:tcW w:w="867" w:type="dxa"/>
                  <w:tcBorders>
                    <w:left w:val="single" w:color="auto" w:sz="4" w:space="0"/>
                    <w:right w:val="single" w:color="auto" w:sz="4" w:space="0"/>
                  </w:tcBorders>
                  <w:vAlign w:val="center"/>
                </w:tcPr>
                <w:p w14:paraId="55EEF29E">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35.9 </w:t>
                  </w:r>
                </w:p>
              </w:tc>
              <w:tc>
                <w:tcPr>
                  <w:tcW w:w="761" w:type="dxa"/>
                  <w:tcBorders>
                    <w:left w:val="single" w:color="auto" w:sz="4" w:space="0"/>
                  </w:tcBorders>
                  <w:shd w:val="clear" w:color="auto" w:fill="auto"/>
                  <w:vAlign w:val="center"/>
                </w:tcPr>
                <w:p w14:paraId="513EEBE9">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r>
            <w:tr w14:paraId="761B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5" w:type="dxa"/>
                  <w:shd w:val="clear" w:color="auto" w:fill="auto"/>
                  <w:vAlign w:val="center"/>
                </w:tcPr>
                <w:p w14:paraId="0487328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w:t>
                  </w:r>
                </w:p>
              </w:tc>
              <w:tc>
                <w:tcPr>
                  <w:tcW w:w="1104" w:type="dxa"/>
                  <w:shd w:val="clear" w:color="auto" w:fill="auto"/>
                  <w:vAlign w:val="center"/>
                </w:tcPr>
                <w:p w14:paraId="37C23BF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磨床</w:t>
                  </w:r>
                </w:p>
              </w:tc>
              <w:tc>
                <w:tcPr>
                  <w:tcW w:w="631" w:type="dxa"/>
                  <w:shd w:val="clear" w:color="auto" w:fill="auto"/>
                  <w:vAlign w:val="center"/>
                </w:tcPr>
                <w:p w14:paraId="6D2220AF">
                  <w:pPr>
                    <w:pStyle w:val="86"/>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7</w:t>
                  </w:r>
                </w:p>
              </w:tc>
              <w:tc>
                <w:tcPr>
                  <w:tcW w:w="860" w:type="dxa"/>
                  <w:shd w:val="clear" w:color="auto" w:fill="auto"/>
                  <w:vAlign w:val="center"/>
                </w:tcPr>
                <w:p w14:paraId="0E1F360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75</w:t>
                  </w:r>
                </w:p>
              </w:tc>
              <w:tc>
                <w:tcPr>
                  <w:tcW w:w="1033" w:type="dxa"/>
                  <w:vMerge w:val="continue"/>
                  <w:vAlign w:val="center"/>
                </w:tcPr>
                <w:p w14:paraId="377DFC38">
                  <w:pPr>
                    <w:pStyle w:val="86"/>
                    <w:keepNext w:val="0"/>
                    <w:keepLines w:val="0"/>
                    <w:suppressLineNumbers w:val="0"/>
                    <w:bidi w:val="0"/>
                    <w:spacing w:before="0" w:beforeAutospacing="0" w:after="0" w:afterAutospacing="0"/>
                    <w:ind w:left="0" w:right="0"/>
                    <w:rPr>
                      <w:rFonts w:hint="default"/>
                      <w:color w:val="auto"/>
                      <w:highlight w:val="none"/>
                    </w:rPr>
                  </w:pPr>
                </w:p>
              </w:tc>
              <w:tc>
                <w:tcPr>
                  <w:tcW w:w="789" w:type="dxa"/>
                  <w:tcBorders>
                    <w:right w:val="single" w:color="auto" w:sz="4" w:space="0"/>
                  </w:tcBorders>
                  <w:shd w:val="clear" w:color="auto" w:fill="auto"/>
                  <w:vAlign w:val="center"/>
                </w:tcPr>
                <w:p w14:paraId="6BABC54F">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8</w:t>
                  </w:r>
                </w:p>
              </w:tc>
              <w:tc>
                <w:tcPr>
                  <w:tcW w:w="946" w:type="dxa"/>
                  <w:tcBorders>
                    <w:left w:val="single" w:color="auto" w:sz="4" w:space="0"/>
                    <w:right w:val="single" w:color="auto" w:sz="4" w:space="0"/>
                  </w:tcBorders>
                  <w:shd w:val="clear" w:color="auto" w:fill="auto"/>
                  <w:vAlign w:val="center"/>
                </w:tcPr>
                <w:p w14:paraId="6B1D590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56.9</w:t>
                  </w:r>
                </w:p>
              </w:tc>
              <w:tc>
                <w:tcPr>
                  <w:tcW w:w="789" w:type="dxa"/>
                  <w:tcBorders>
                    <w:left w:val="single" w:color="auto" w:sz="4" w:space="0"/>
                    <w:right w:val="single" w:color="auto" w:sz="4" w:space="0"/>
                  </w:tcBorders>
                  <w:vAlign w:val="center"/>
                </w:tcPr>
                <w:p w14:paraId="1A5C1E3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昼间</w:t>
                  </w:r>
                </w:p>
              </w:tc>
              <w:tc>
                <w:tcPr>
                  <w:tcW w:w="933" w:type="dxa"/>
                  <w:tcBorders>
                    <w:left w:val="single" w:color="auto" w:sz="4" w:space="0"/>
                    <w:right w:val="single" w:color="auto" w:sz="4" w:space="0"/>
                  </w:tcBorders>
                  <w:vAlign w:val="center"/>
                </w:tcPr>
                <w:p w14:paraId="0872CC9D">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21</w:t>
                  </w:r>
                </w:p>
              </w:tc>
              <w:tc>
                <w:tcPr>
                  <w:tcW w:w="867" w:type="dxa"/>
                  <w:tcBorders>
                    <w:left w:val="single" w:color="auto" w:sz="4" w:space="0"/>
                    <w:right w:val="single" w:color="auto" w:sz="4" w:space="0"/>
                  </w:tcBorders>
                  <w:vAlign w:val="center"/>
                </w:tcPr>
                <w:p w14:paraId="05D3A47C">
                  <w:pPr>
                    <w:keepNext w:val="0"/>
                    <w:keepLines w:val="0"/>
                    <w:widowControl/>
                    <w:suppressLineNumbers w:val="0"/>
                    <w:spacing w:before="0" w:beforeAutospacing="0" w:after="0" w:afterAutospacing="0"/>
                    <w:ind w:left="0" w:right="0"/>
                    <w:jc w:val="center"/>
                    <w:textAlignment w:val="center"/>
                    <w:rPr>
                      <w:rFonts w:hint="default"/>
                      <w:color w:val="auto"/>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35.9 </w:t>
                  </w:r>
                </w:p>
              </w:tc>
              <w:tc>
                <w:tcPr>
                  <w:tcW w:w="761" w:type="dxa"/>
                  <w:tcBorders>
                    <w:left w:val="single" w:color="auto" w:sz="4" w:space="0"/>
                  </w:tcBorders>
                  <w:shd w:val="clear" w:color="auto" w:fill="auto"/>
                  <w:vAlign w:val="center"/>
                </w:tcPr>
                <w:p w14:paraId="29F4322B">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r>
          </w:tbl>
          <w:p w14:paraId="6CCC7082">
            <w:pPr>
              <w:keepNext w:val="0"/>
              <w:keepLines w:val="0"/>
              <w:suppressLineNumbers w:val="0"/>
              <w:tabs>
                <w:tab w:val="left" w:pos="1040"/>
              </w:tabs>
              <w:adjustRightInd w:val="0"/>
              <w:snapToGrid w:val="0"/>
              <w:spacing w:before="0" w:beforeAutospacing="0" w:after="0" w:afterAutospacing="0" w:line="400" w:lineRule="exact"/>
              <w:ind w:left="0" w:right="0"/>
              <w:rPr>
                <w:rFonts w:hint="default"/>
                <w:color w:val="auto"/>
                <w:kern w:val="0"/>
                <w:szCs w:val="21"/>
                <w:highlight w:val="none"/>
              </w:rPr>
            </w:pPr>
          </w:p>
          <w:p w14:paraId="444ABD87">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default"/>
                <w:b/>
                <w:color w:val="auto"/>
                <w:sz w:val="26"/>
                <w:highlight w:val="none"/>
              </w:rPr>
              <w:t>4.2.</w:t>
            </w:r>
            <w:r>
              <w:rPr>
                <w:rFonts w:hint="eastAsia"/>
                <w:b/>
                <w:color w:val="auto"/>
                <w:sz w:val="26"/>
                <w:highlight w:val="none"/>
              </w:rPr>
              <w:t>3</w:t>
            </w:r>
            <w:r>
              <w:rPr>
                <w:rFonts w:hint="default"/>
                <w:b/>
                <w:color w:val="auto"/>
                <w:sz w:val="26"/>
                <w:highlight w:val="none"/>
              </w:rPr>
              <w:t xml:space="preserve">.2 </w:t>
            </w:r>
            <w:r>
              <w:rPr>
                <w:rFonts w:hint="eastAsia"/>
                <w:b/>
                <w:color w:val="auto"/>
                <w:sz w:val="26"/>
                <w:highlight w:val="none"/>
              </w:rPr>
              <w:t>厂界、声环境保护目标达标情况</w:t>
            </w:r>
          </w:p>
          <w:p w14:paraId="6884D266">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eastAsia"/>
                <w:b/>
                <w:color w:val="auto"/>
                <w:sz w:val="26"/>
                <w:highlight w:val="none"/>
              </w:rPr>
              <w:t>（1）预测模式</w:t>
            </w:r>
          </w:p>
          <w:p w14:paraId="6C4D8832">
            <w:pPr>
              <w:keepNext w:val="0"/>
              <w:keepLines w:val="0"/>
              <w:suppressLineNumbers w:val="0"/>
              <w:spacing w:before="0" w:beforeAutospacing="0" w:after="0" w:afterAutospacing="0" w:line="400" w:lineRule="exact"/>
              <w:ind w:left="0" w:right="0" w:firstLine="520" w:firstLineChars="200"/>
              <w:rPr>
                <w:rFonts w:hint="default"/>
                <w:color w:val="auto"/>
                <w:sz w:val="26"/>
                <w:szCs w:val="26"/>
                <w:highlight w:val="none"/>
              </w:rPr>
            </w:pPr>
            <w:r>
              <w:rPr>
                <w:rFonts w:hint="default"/>
                <w:color w:val="auto"/>
                <w:sz w:val="26"/>
                <w:szCs w:val="26"/>
                <w:highlight w:val="none"/>
              </w:rPr>
              <w:t>根据《环境影响评价技术导则</w:t>
            </w:r>
            <w:r>
              <w:rPr>
                <w:rFonts w:hint="eastAsia"/>
                <w:color w:val="auto"/>
                <w:sz w:val="26"/>
                <w:szCs w:val="26"/>
                <w:highlight w:val="none"/>
              </w:rPr>
              <w:t xml:space="preserve"> </w:t>
            </w:r>
            <w:r>
              <w:rPr>
                <w:rFonts w:hint="default"/>
                <w:color w:val="auto"/>
                <w:sz w:val="26"/>
                <w:szCs w:val="26"/>
                <w:highlight w:val="none"/>
              </w:rPr>
              <w:t>声环境》（HJ2.4-2021）的技术要求，</w:t>
            </w:r>
            <w:r>
              <w:rPr>
                <w:rFonts w:hint="eastAsia"/>
                <w:color w:val="auto"/>
                <w:sz w:val="26"/>
                <w:szCs w:val="26"/>
                <w:highlight w:val="none"/>
              </w:rPr>
              <w:t>项目噪声源主要为点声源，评价采用室内声源等效室外声源模式，再根据声源分布情况及所在地环境状况，选用点声源距离衰减模式预测各厂界处噪声值。</w:t>
            </w:r>
          </w:p>
          <w:p w14:paraId="29933DCF">
            <w:pPr>
              <w:keepNext w:val="0"/>
              <w:keepLines w:val="0"/>
              <w:suppressLineNumbers w:val="0"/>
              <w:tabs>
                <w:tab w:val="left" w:pos="4544"/>
              </w:tabs>
              <w:spacing w:before="0" w:beforeAutospacing="0" w:after="0" w:afterAutospacing="0" w:line="400" w:lineRule="exact"/>
              <w:ind w:left="0" w:right="0" w:firstLine="522" w:firstLineChars="200"/>
              <w:rPr>
                <w:rFonts w:hint="default"/>
                <w:b/>
                <w:color w:val="auto"/>
                <w:sz w:val="26"/>
                <w:szCs w:val="26"/>
                <w:highlight w:val="none"/>
              </w:rPr>
            </w:pPr>
            <w:r>
              <w:rPr>
                <w:rFonts w:hint="default"/>
                <w:b/>
                <w:color w:val="auto"/>
                <w:sz w:val="26"/>
                <w:szCs w:val="26"/>
                <w:highlight w:val="none"/>
              </w:rPr>
              <w:t>（2）预测结果</w:t>
            </w:r>
            <w:r>
              <w:rPr>
                <w:rFonts w:hint="eastAsia"/>
                <w:b/>
                <w:color w:val="auto"/>
                <w:sz w:val="26"/>
                <w:szCs w:val="26"/>
                <w:highlight w:val="none"/>
              </w:rPr>
              <w:t>及分析</w:t>
            </w:r>
          </w:p>
          <w:p w14:paraId="78D5F015">
            <w:pPr>
              <w:keepNext w:val="0"/>
              <w:keepLines w:val="0"/>
              <w:suppressLineNumbers w:val="0"/>
              <w:tabs>
                <w:tab w:val="left" w:pos="4544"/>
              </w:tabs>
              <w:spacing w:before="0" w:beforeAutospacing="0" w:after="0" w:afterAutospacing="0" w:line="400" w:lineRule="exact"/>
              <w:ind w:left="0" w:right="0" w:firstLine="522"/>
              <w:rPr>
                <w:rFonts w:hint="default"/>
                <w:color w:val="auto"/>
                <w:sz w:val="26"/>
                <w:szCs w:val="26"/>
                <w:highlight w:val="none"/>
              </w:rPr>
            </w:pPr>
            <w:r>
              <w:rPr>
                <w:rFonts w:hint="default"/>
                <w:color w:val="auto"/>
                <w:sz w:val="26"/>
                <w:szCs w:val="26"/>
                <w:highlight w:val="none"/>
              </w:rPr>
              <w:t>评价标准采用《工业企业厂界环境噪声排放标准》（GB12348-2008）3</w:t>
            </w:r>
            <w:r>
              <w:rPr>
                <w:rFonts w:hint="eastAsia"/>
                <w:color w:val="auto"/>
                <w:sz w:val="26"/>
                <w:szCs w:val="26"/>
                <w:highlight w:val="none"/>
                <w:lang w:val="en-US" w:eastAsia="zh-CN"/>
              </w:rPr>
              <w:t>类</w:t>
            </w:r>
            <w:r>
              <w:rPr>
                <w:rFonts w:hint="default"/>
                <w:color w:val="auto"/>
                <w:sz w:val="26"/>
                <w:szCs w:val="26"/>
                <w:highlight w:val="none"/>
              </w:rPr>
              <w:t>区</w:t>
            </w:r>
            <w:r>
              <w:rPr>
                <w:rFonts w:hint="eastAsia"/>
                <w:color w:val="auto"/>
                <w:sz w:val="26"/>
                <w:szCs w:val="26"/>
                <w:highlight w:val="none"/>
              </w:rPr>
              <w:t>标准</w:t>
            </w:r>
            <w:r>
              <w:rPr>
                <w:rFonts w:hint="default"/>
                <w:color w:val="auto"/>
                <w:sz w:val="26"/>
                <w:szCs w:val="26"/>
                <w:highlight w:val="none"/>
              </w:rPr>
              <w:t>对厂区厂界噪声达标进行分析评价。</w:t>
            </w:r>
          </w:p>
          <w:p w14:paraId="0F92E02D">
            <w:pPr>
              <w:keepNext w:val="0"/>
              <w:keepLines w:val="0"/>
              <w:suppressLineNumbers w:val="0"/>
              <w:tabs>
                <w:tab w:val="left" w:pos="4415"/>
              </w:tabs>
              <w:spacing w:before="0" w:beforeAutospacing="0" w:after="0" w:afterAutospacing="0" w:line="400" w:lineRule="exact"/>
              <w:ind w:left="0" w:right="0" w:firstLine="522"/>
              <w:rPr>
                <w:rFonts w:hint="default"/>
                <w:color w:val="auto"/>
                <w:sz w:val="26"/>
                <w:szCs w:val="26"/>
                <w:highlight w:val="none"/>
              </w:rPr>
            </w:pPr>
            <w:r>
              <w:rPr>
                <w:rFonts w:hint="eastAsia"/>
                <w:color w:val="auto"/>
                <w:sz w:val="26"/>
                <w:szCs w:val="26"/>
                <w:highlight w:val="none"/>
              </w:rPr>
              <w:t>厂界噪声预测结果</w:t>
            </w:r>
            <w:r>
              <w:rPr>
                <w:rFonts w:hint="default"/>
                <w:color w:val="auto"/>
                <w:sz w:val="26"/>
                <w:szCs w:val="26"/>
                <w:highlight w:val="none"/>
              </w:rPr>
              <w:t>详见</w:t>
            </w:r>
            <w:r>
              <w:rPr>
                <w:rFonts w:hint="eastAsia"/>
                <w:color w:val="auto"/>
                <w:sz w:val="26"/>
                <w:szCs w:val="26"/>
                <w:highlight w:val="none"/>
              </w:rPr>
              <w:t>下表</w:t>
            </w:r>
            <w:r>
              <w:rPr>
                <w:rFonts w:hint="default"/>
                <w:color w:val="auto"/>
                <w:sz w:val="26"/>
                <w:szCs w:val="26"/>
                <w:highlight w:val="none"/>
              </w:rPr>
              <w:t>。</w:t>
            </w:r>
          </w:p>
          <w:p w14:paraId="1C8FC693">
            <w:pPr>
              <w:pStyle w:val="81"/>
              <w:keepNext w:val="0"/>
              <w:keepLines w:val="0"/>
              <w:suppressLineNumbers w:val="0"/>
              <w:bidi w:val="0"/>
              <w:spacing w:before="0" w:beforeAutospacing="0" w:after="0" w:afterAutospacing="0"/>
              <w:ind w:left="0" w:right="0"/>
              <w:rPr>
                <w:rFonts w:hint="default"/>
                <w:color w:val="auto"/>
                <w:highlight w:val="none"/>
              </w:rPr>
            </w:pPr>
          </w:p>
          <w:p w14:paraId="29C39ECA">
            <w:pPr>
              <w:keepNext w:val="0"/>
              <w:keepLines w:val="0"/>
              <w:suppressLineNumbers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表4.2-1</w:t>
            </w:r>
            <w:r>
              <w:rPr>
                <w:rFonts w:hint="eastAsia"/>
                <w:color w:val="auto"/>
                <w:sz w:val="26"/>
                <w:szCs w:val="26"/>
                <w:highlight w:val="none"/>
                <w:lang w:val="en-US" w:eastAsia="zh-CN"/>
              </w:rPr>
              <w:t>2</w:t>
            </w:r>
            <w:r>
              <w:rPr>
                <w:rFonts w:hint="default"/>
                <w:color w:val="auto"/>
                <w:sz w:val="26"/>
                <w:szCs w:val="26"/>
                <w:highlight w:val="none"/>
              </w:rPr>
              <w:t xml:space="preserve"> 厂界噪声预测结果一览表   单位：dB（A）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1110"/>
              <w:gridCol w:w="1472"/>
              <w:gridCol w:w="1472"/>
              <w:gridCol w:w="1472"/>
              <w:gridCol w:w="1466"/>
            </w:tblGrid>
            <w:tr w14:paraId="34A7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02" w:type="pct"/>
                  <w:gridSpan w:val="2"/>
                  <w:tcBorders>
                    <w:tl2br w:val="single" w:color="auto" w:sz="4" w:space="0"/>
                  </w:tcBorders>
                  <w:vAlign w:val="center"/>
                </w:tcPr>
                <w:p w14:paraId="77B6FEA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 xml:space="preserve"> </w:t>
                  </w:r>
                  <w:r>
                    <w:rPr>
                      <w:rFonts w:hint="default"/>
                      <w:color w:val="auto"/>
                      <w:sz w:val="21"/>
                      <w:szCs w:val="21"/>
                      <w:highlight w:val="none"/>
                    </w:rPr>
                    <w:t xml:space="preserve">           预测值</w:t>
                  </w:r>
                </w:p>
                <w:p w14:paraId="44968AD5">
                  <w:pPr>
                    <w:keepNext w:val="0"/>
                    <w:keepLines w:val="0"/>
                    <w:suppressLineNumbers w:val="0"/>
                    <w:spacing w:before="0" w:beforeAutospacing="0" w:after="0" w:afterAutospacing="0"/>
                    <w:ind w:left="0" w:right="0"/>
                    <w:rPr>
                      <w:rFonts w:hint="default"/>
                      <w:color w:val="auto"/>
                      <w:sz w:val="21"/>
                      <w:szCs w:val="21"/>
                      <w:highlight w:val="none"/>
                    </w:rPr>
                  </w:pPr>
                  <w:r>
                    <w:rPr>
                      <w:rFonts w:hint="default"/>
                      <w:color w:val="auto"/>
                      <w:sz w:val="21"/>
                      <w:szCs w:val="21"/>
                      <w:highlight w:val="none"/>
                    </w:rPr>
                    <w:t>项目</w:t>
                  </w:r>
                </w:p>
              </w:tc>
              <w:tc>
                <w:tcPr>
                  <w:tcW w:w="800" w:type="pct"/>
                  <w:vAlign w:val="center"/>
                </w:tcPr>
                <w:p w14:paraId="3430F22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东厂界</w:t>
                  </w:r>
                </w:p>
              </w:tc>
              <w:tc>
                <w:tcPr>
                  <w:tcW w:w="800" w:type="pct"/>
                  <w:vAlign w:val="center"/>
                </w:tcPr>
                <w:p w14:paraId="3A5E9CF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lang w:val="en-US" w:eastAsia="zh-CN"/>
                    </w:rPr>
                    <w:t>南</w:t>
                  </w:r>
                  <w:r>
                    <w:rPr>
                      <w:rFonts w:hint="default"/>
                      <w:color w:val="auto"/>
                      <w:sz w:val="21"/>
                      <w:szCs w:val="21"/>
                      <w:highlight w:val="none"/>
                    </w:rPr>
                    <w:t>厂界</w:t>
                  </w:r>
                </w:p>
              </w:tc>
              <w:tc>
                <w:tcPr>
                  <w:tcW w:w="800" w:type="pct"/>
                  <w:vAlign w:val="center"/>
                </w:tcPr>
                <w:p w14:paraId="443FE871">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lang w:val="en-US" w:eastAsia="zh-CN"/>
                    </w:rPr>
                    <w:t>西</w:t>
                  </w:r>
                  <w:r>
                    <w:rPr>
                      <w:rFonts w:hint="default"/>
                      <w:color w:val="auto"/>
                      <w:sz w:val="21"/>
                      <w:szCs w:val="21"/>
                      <w:highlight w:val="none"/>
                    </w:rPr>
                    <w:t>厂界</w:t>
                  </w:r>
                </w:p>
              </w:tc>
              <w:tc>
                <w:tcPr>
                  <w:tcW w:w="796" w:type="pct"/>
                  <w:vAlign w:val="center"/>
                </w:tcPr>
                <w:p w14:paraId="65895658">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北厂界</w:t>
                  </w:r>
                </w:p>
              </w:tc>
            </w:tr>
            <w:tr w14:paraId="6C27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pct"/>
                  <w:vMerge w:val="restart"/>
                  <w:vAlign w:val="center"/>
                </w:tcPr>
                <w:p w14:paraId="0563D95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贡献值</w:t>
                  </w:r>
                </w:p>
              </w:tc>
              <w:tc>
                <w:tcPr>
                  <w:tcW w:w="603" w:type="pct"/>
                  <w:vAlign w:val="center"/>
                </w:tcPr>
                <w:p w14:paraId="78D313B5">
                  <w:pPr>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昼间</w:t>
                  </w:r>
                </w:p>
              </w:tc>
              <w:tc>
                <w:tcPr>
                  <w:tcW w:w="1472" w:type="dxa"/>
                  <w:vAlign w:val="center"/>
                </w:tcPr>
                <w:p w14:paraId="5200901D">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49 </w:t>
                  </w:r>
                </w:p>
              </w:tc>
              <w:tc>
                <w:tcPr>
                  <w:tcW w:w="1472" w:type="dxa"/>
                  <w:vAlign w:val="center"/>
                </w:tcPr>
                <w:p w14:paraId="2F350683">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51 </w:t>
                  </w:r>
                </w:p>
              </w:tc>
              <w:tc>
                <w:tcPr>
                  <w:tcW w:w="1472" w:type="dxa"/>
                  <w:vAlign w:val="center"/>
                </w:tcPr>
                <w:p w14:paraId="0D720EC7">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 </w:t>
                  </w:r>
                </w:p>
              </w:tc>
              <w:tc>
                <w:tcPr>
                  <w:tcW w:w="1466" w:type="dxa"/>
                  <w:vAlign w:val="center"/>
                </w:tcPr>
                <w:p w14:paraId="3440BA9A">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 </w:t>
                  </w:r>
                </w:p>
              </w:tc>
            </w:tr>
            <w:tr w14:paraId="1442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199" w:type="pct"/>
                  <w:vMerge w:val="continue"/>
                  <w:vAlign w:val="center"/>
                </w:tcPr>
                <w:p w14:paraId="181BEB9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603" w:type="pct"/>
                  <w:vAlign w:val="center"/>
                </w:tcPr>
                <w:p w14:paraId="0F20CD7A">
                  <w:pPr>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夜间</w:t>
                  </w:r>
                </w:p>
              </w:tc>
              <w:tc>
                <w:tcPr>
                  <w:tcW w:w="1472" w:type="dxa"/>
                  <w:vAlign w:val="center"/>
                </w:tcPr>
                <w:p w14:paraId="23D1F218">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 </w:t>
                  </w:r>
                </w:p>
              </w:tc>
              <w:tc>
                <w:tcPr>
                  <w:tcW w:w="1472" w:type="dxa"/>
                  <w:vAlign w:val="center"/>
                </w:tcPr>
                <w:p w14:paraId="0BEC8322">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47 </w:t>
                  </w:r>
                </w:p>
              </w:tc>
              <w:tc>
                <w:tcPr>
                  <w:tcW w:w="1472" w:type="dxa"/>
                  <w:vAlign w:val="center"/>
                </w:tcPr>
                <w:p w14:paraId="47A51559">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43 </w:t>
                  </w:r>
                </w:p>
              </w:tc>
              <w:tc>
                <w:tcPr>
                  <w:tcW w:w="1466" w:type="dxa"/>
                  <w:vAlign w:val="center"/>
                </w:tcPr>
                <w:p w14:paraId="2D848023">
                  <w:pPr>
                    <w:keepNext w:val="0"/>
                    <w:keepLines w:val="0"/>
                    <w:widowControl/>
                    <w:suppressLineNumbers w:val="0"/>
                    <w:spacing w:before="0" w:beforeAutospacing="0" w:after="0" w:afterAutospacing="0"/>
                    <w:ind w:left="0" w:right="0"/>
                    <w:jc w:val="center"/>
                    <w:textAlignment w:val="center"/>
                    <w:rPr>
                      <w:rFonts w:hint="default"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44 </w:t>
                  </w:r>
                </w:p>
              </w:tc>
            </w:tr>
            <w:tr w14:paraId="595E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99" w:type="pct"/>
                  <w:vMerge w:val="restart"/>
                  <w:vAlign w:val="center"/>
                </w:tcPr>
                <w:p w14:paraId="76715DB8">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标准值</w:t>
                  </w:r>
                </w:p>
              </w:tc>
              <w:tc>
                <w:tcPr>
                  <w:tcW w:w="603" w:type="pct"/>
                  <w:vAlign w:val="center"/>
                </w:tcPr>
                <w:p w14:paraId="05CE3AF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昼间</w:t>
                  </w:r>
                </w:p>
              </w:tc>
              <w:tc>
                <w:tcPr>
                  <w:tcW w:w="3197" w:type="pct"/>
                  <w:gridSpan w:val="4"/>
                  <w:vAlign w:val="center"/>
                </w:tcPr>
                <w:p w14:paraId="6A603788">
                  <w:pPr>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default"/>
                      <w:color w:val="auto"/>
                      <w:sz w:val="21"/>
                      <w:szCs w:val="21"/>
                      <w:highlight w:val="none"/>
                    </w:rPr>
                    <w:t>65</w:t>
                  </w:r>
                </w:p>
              </w:tc>
            </w:tr>
            <w:tr w14:paraId="552F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199" w:type="pct"/>
                  <w:vMerge w:val="continue"/>
                  <w:vAlign w:val="center"/>
                </w:tcPr>
                <w:p w14:paraId="7D4AD5A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603" w:type="pct"/>
                  <w:vAlign w:val="center"/>
                </w:tcPr>
                <w:p w14:paraId="68F7BFC0">
                  <w:pPr>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夜间</w:t>
                  </w:r>
                </w:p>
              </w:tc>
              <w:tc>
                <w:tcPr>
                  <w:tcW w:w="3197" w:type="pct"/>
                  <w:gridSpan w:val="4"/>
                  <w:vAlign w:val="center"/>
                </w:tcPr>
                <w:p w14:paraId="457F37FB">
                  <w:pPr>
                    <w:keepNext w:val="0"/>
                    <w:keepLines w:val="0"/>
                    <w:suppressLineNumbers w:val="0"/>
                    <w:spacing w:before="0" w:beforeAutospacing="0" w:after="0" w:afterAutospacing="0"/>
                    <w:ind w:left="0" w:right="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55</w:t>
                  </w:r>
                </w:p>
              </w:tc>
            </w:tr>
            <w:tr w14:paraId="744E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199" w:type="pct"/>
                  <w:vMerge w:val="restart"/>
                  <w:vAlign w:val="center"/>
                </w:tcPr>
                <w:p w14:paraId="668D37B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达标</w:t>
                  </w:r>
                  <w:r>
                    <w:rPr>
                      <w:rFonts w:hint="default"/>
                      <w:color w:val="auto"/>
                      <w:sz w:val="21"/>
                      <w:szCs w:val="21"/>
                      <w:highlight w:val="none"/>
                    </w:rPr>
                    <w:t>情况</w:t>
                  </w:r>
                </w:p>
              </w:tc>
              <w:tc>
                <w:tcPr>
                  <w:tcW w:w="603" w:type="pct"/>
                  <w:vAlign w:val="center"/>
                </w:tcPr>
                <w:p w14:paraId="6C85E0B8">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昼间</w:t>
                  </w:r>
                </w:p>
              </w:tc>
              <w:tc>
                <w:tcPr>
                  <w:tcW w:w="800" w:type="pct"/>
                  <w:vAlign w:val="center"/>
                </w:tcPr>
                <w:p w14:paraId="603280B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达标</w:t>
                  </w:r>
                </w:p>
              </w:tc>
              <w:tc>
                <w:tcPr>
                  <w:tcW w:w="800" w:type="pct"/>
                  <w:vAlign w:val="center"/>
                </w:tcPr>
                <w:p w14:paraId="2D79221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达标</w:t>
                  </w:r>
                </w:p>
              </w:tc>
              <w:tc>
                <w:tcPr>
                  <w:tcW w:w="800" w:type="pct"/>
                  <w:vAlign w:val="center"/>
                </w:tcPr>
                <w:p w14:paraId="476B50FD">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达标</w:t>
                  </w:r>
                </w:p>
              </w:tc>
              <w:tc>
                <w:tcPr>
                  <w:tcW w:w="796" w:type="pct"/>
                  <w:vAlign w:val="center"/>
                </w:tcPr>
                <w:p w14:paraId="20C919D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eastAsia"/>
                      <w:color w:val="auto"/>
                      <w:sz w:val="21"/>
                      <w:szCs w:val="21"/>
                      <w:highlight w:val="none"/>
                    </w:rPr>
                    <w:t>达标</w:t>
                  </w:r>
                </w:p>
              </w:tc>
            </w:tr>
            <w:tr w14:paraId="6012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199" w:type="pct"/>
                  <w:vMerge w:val="continue"/>
                  <w:vAlign w:val="center"/>
                </w:tcPr>
                <w:p w14:paraId="6CC415E7">
                  <w:pPr>
                    <w:keepNext w:val="0"/>
                    <w:keepLines w:val="0"/>
                    <w:suppressLineNumbers w:val="0"/>
                    <w:spacing w:before="0" w:beforeAutospacing="0" w:after="0" w:afterAutospacing="0"/>
                    <w:ind w:left="0" w:right="0"/>
                    <w:jc w:val="center"/>
                    <w:rPr>
                      <w:rFonts w:hint="eastAsia"/>
                      <w:color w:val="auto"/>
                      <w:sz w:val="21"/>
                      <w:szCs w:val="21"/>
                      <w:highlight w:val="none"/>
                    </w:rPr>
                  </w:pPr>
                </w:p>
              </w:tc>
              <w:tc>
                <w:tcPr>
                  <w:tcW w:w="603" w:type="pct"/>
                  <w:vAlign w:val="center"/>
                </w:tcPr>
                <w:p w14:paraId="5E9940DE">
                  <w:pPr>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夜间</w:t>
                  </w:r>
                </w:p>
              </w:tc>
              <w:tc>
                <w:tcPr>
                  <w:tcW w:w="800" w:type="pct"/>
                  <w:vAlign w:val="center"/>
                </w:tcPr>
                <w:p w14:paraId="0F42D07A">
                  <w:pPr>
                    <w:keepNext w:val="0"/>
                    <w:keepLines w:val="0"/>
                    <w:suppressLineNumbers w:val="0"/>
                    <w:spacing w:before="0" w:beforeAutospacing="0" w:after="0" w:afterAutospacing="0"/>
                    <w:ind w:left="0" w:right="0"/>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达标</w:t>
                  </w:r>
                </w:p>
              </w:tc>
              <w:tc>
                <w:tcPr>
                  <w:tcW w:w="800" w:type="pct"/>
                  <w:vAlign w:val="center"/>
                </w:tcPr>
                <w:p w14:paraId="6F11CA83">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达标</w:t>
                  </w:r>
                </w:p>
              </w:tc>
              <w:tc>
                <w:tcPr>
                  <w:tcW w:w="800" w:type="pct"/>
                  <w:vAlign w:val="center"/>
                </w:tcPr>
                <w:p w14:paraId="6627322E">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达标</w:t>
                  </w:r>
                </w:p>
              </w:tc>
              <w:tc>
                <w:tcPr>
                  <w:tcW w:w="796" w:type="pct"/>
                  <w:vAlign w:val="center"/>
                </w:tcPr>
                <w:p w14:paraId="059703DA">
                  <w:pPr>
                    <w:keepNext w:val="0"/>
                    <w:keepLines w:val="0"/>
                    <w:suppressLineNumbers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达标</w:t>
                  </w:r>
                </w:p>
              </w:tc>
            </w:tr>
          </w:tbl>
          <w:p w14:paraId="2DD90841">
            <w:pPr>
              <w:pStyle w:val="65"/>
              <w:keepNext w:val="0"/>
              <w:keepLines w:val="0"/>
              <w:suppressLineNumbers w:val="0"/>
              <w:spacing w:before="0" w:beforeAutospacing="0" w:after="0" w:afterAutospacing="0"/>
              <w:ind w:left="0" w:right="0"/>
              <w:rPr>
                <w:rFonts w:hint="default"/>
                <w:color w:val="auto"/>
                <w:highlight w:val="none"/>
              </w:rPr>
            </w:pPr>
          </w:p>
          <w:p w14:paraId="2938B44E">
            <w:pPr>
              <w:keepNext w:val="0"/>
              <w:keepLines w:val="0"/>
              <w:suppressLineNumbers w:val="0"/>
              <w:spacing w:before="0" w:beforeAutospacing="0" w:after="0" w:afterAutospacing="0" w:line="400" w:lineRule="exact"/>
              <w:ind w:left="0" w:right="0" w:firstLine="520" w:firstLineChars="200"/>
              <w:rPr>
                <w:rFonts w:hint="default"/>
                <w:color w:val="auto"/>
                <w:sz w:val="26"/>
                <w:szCs w:val="26"/>
                <w:highlight w:val="none"/>
              </w:rPr>
            </w:pPr>
            <w:r>
              <w:rPr>
                <w:rFonts w:hint="default"/>
                <w:color w:val="auto"/>
                <w:sz w:val="26"/>
                <w:szCs w:val="26"/>
                <w:highlight w:val="none"/>
              </w:rPr>
              <w:t>根据预测结果可知，项目正常运行情况下，各厂界昼</w:t>
            </w:r>
            <w:r>
              <w:rPr>
                <w:rFonts w:hint="eastAsia"/>
                <w:color w:val="auto"/>
                <w:sz w:val="26"/>
                <w:szCs w:val="26"/>
                <w:highlight w:val="none"/>
                <w:lang w:val="en-US" w:eastAsia="zh-CN"/>
              </w:rPr>
              <w:t>夜</w:t>
            </w:r>
            <w:r>
              <w:rPr>
                <w:rFonts w:hint="default"/>
                <w:color w:val="auto"/>
                <w:sz w:val="26"/>
                <w:szCs w:val="26"/>
                <w:highlight w:val="none"/>
              </w:rPr>
              <w:t>噪声预测值均可满足《工业企业厂界环境噪声排放标准》（GB12348-2008）中</w:t>
            </w:r>
            <w:r>
              <w:rPr>
                <w:rFonts w:hint="eastAsia"/>
                <w:color w:val="auto"/>
                <w:sz w:val="26"/>
                <w:szCs w:val="26"/>
                <w:highlight w:val="none"/>
                <w:lang w:val="en-US" w:eastAsia="zh-CN"/>
              </w:rPr>
              <w:t>3类标准限值</w:t>
            </w:r>
            <w:r>
              <w:rPr>
                <w:rFonts w:hint="default"/>
                <w:color w:val="auto"/>
                <w:sz w:val="26"/>
                <w:szCs w:val="26"/>
                <w:highlight w:val="none"/>
              </w:rPr>
              <w:t>。</w:t>
            </w:r>
          </w:p>
          <w:p w14:paraId="23DB70FC">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4.2.3.3</w:t>
            </w:r>
            <w:r>
              <w:rPr>
                <w:rFonts w:hint="eastAsia"/>
                <w:b/>
                <w:color w:val="auto"/>
                <w:kern w:val="0"/>
                <w:sz w:val="26"/>
                <w:szCs w:val="26"/>
                <w:highlight w:val="none"/>
              </w:rPr>
              <w:t>厂界噪声监测计划</w:t>
            </w:r>
          </w:p>
          <w:p w14:paraId="1D550879">
            <w:pPr>
              <w:keepNext w:val="0"/>
              <w:keepLines w:val="0"/>
              <w:suppressLineNumbers w:val="0"/>
              <w:tabs>
                <w:tab w:val="left" w:pos="1040"/>
              </w:tabs>
              <w:adjustRightInd w:val="0"/>
              <w:snapToGrid w:val="0"/>
              <w:spacing w:before="0" w:beforeAutospacing="0" w:after="0" w:afterAutospacing="0" w:line="400" w:lineRule="exact"/>
              <w:ind w:left="0" w:right="0" w:firstLine="552" w:firstLineChars="200"/>
              <w:rPr>
                <w:rFonts w:hint="default"/>
                <w:color w:val="auto"/>
                <w:spacing w:val="8"/>
                <w:sz w:val="26"/>
                <w:szCs w:val="26"/>
                <w:highlight w:val="none"/>
              </w:rPr>
            </w:pPr>
            <w:r>
              <w:rPr>
                <w:rFonts w:hint="eastAsia"/>
                <w:color w:val="auto"/>
                <w:spacing w:val="8"/>
                <w:sz w:val="26"/>
                <w:szCs w:val="26"/>
                <w:highlight w:val="none"/>
              </w:rPr>
              <w:t>根据</w:t>
            </w:r>
            <w:r>
              <w:rPr>
                <w:rFonts w:hint="eastAsia"/>
                <w:color w:val="auto"/>
                <w:kern w:val="0"/>
                <w:sz w:val="26"/>
                <w:szCs w:val="26"/>
                <w:highlight w:val="none"/>
              </w:rPr>
              <w:t xml:space="preserve">《排污单位自行监测技术指南 总则》（HJ </w:t>
            </w:r>
            <w:r>
              <w:rPr>
                <w:rFonts w:hint="default"/>
                <w:color w:val="auto"/>
                <w:kern w:val="0"/>
                <w:sz w:val="26"/>
                <w:szCs w:val="26"/>
                <w:highlight w:val="none"/>
              </w:rPr>
              <w:t>819-2017</w:t>
            </w:r>
            <w:r>
              <w:rPr>
                <w:rFonts w:hint="eastAsia"/>
                <w:color w:val="auto"/>
                <w:kern w:val="0"/>
                <w:sz w:val="26"/>
                <w:szCs w:val="26"/>
                <w:highlight w:val="none"/>
              </w:rPr>
              <w:t>）</w:t>
            </w:r>
            <w:r>
              <w:rPr>
                <w:rFonts w:hint="eastAsia"/>
                <w:color w:val="auto"/>
                <w:spacing w:val="8"/>
                <w:sz w:val="26"/>
                <w:szCs w:val="26"/>
                <w:highlight w:val="none"/>
              </w:rPr>
              <w:t>，</w:t>
            </w:r>
            <w:r>
              <w:rPr>
                <w:rFonts w:hint="eastAsia"/>
                <w:color w:val="auto"/>
                <w:spacing w:val="8"/>
                <w:sz w:val="26"/>
                <w:szCs w:val="26"/>
                <w:highlight w:val="none"/>
                <w:lang w:val="en-US" w:eastAsia="zh-CN"/>
              </w:rPr>
              <w:t>并参照《排污许可证申请与核发技术规范 工业噪声》（HJ 1301—2023）的相关要求，</w:t>
            </w:r>
            <w:r>
              <w:rPr>
                <w:rFonts w:hint="eastAsia"/>
                <w:color w:val="auto"/>
                <w:spacing w:val="8"/>
                <w:sz w:val="26"/>
                <w:szCs w:val="26"/>
                <w:highlight w:val="none"/>
              </w:rPr>
              <w:t>本项目噪声监测计划见下表。</w:t>
            </w:r>
          </w:p>
          <w:p w14:paraId="314C142B">
            <w:pPr>
              <w:pStyle w:val="65"/>
              <w:keepNext w:val="0"/>
              <w:keepLines w:val="0"/>
              <w:suppressLineNumbers w:val="0"/>
              <w:spacing w:before="0" w:beforeAutospacing="0" w:after="0" w:afterAutospacing="0"/>
              <w:ind w:left="0" w:right="0"/>
              <w:rPr>
                <w:rFonts w:hint="default"/>
                <w:color w:val="auto"/>
                <w:highlight w:val="none"/>
              </w:rPr>
            </w:pPr>
          </w:p>
          <w:p w14:paraId="117FEE5F">
            <w:pPr>
              <w:keepNext w:val="0"/>
              <w:keepLines w:val="0"/>
              <w:suppressLineNumbers w:val="0"/>
              <w:spacing w:before="0" w:beforeAutospacing="0" w:after="0" w:afterAutospacing="0"/>
              <w:ind w:left="0" w:right="0" w:firstLine="520" w:firstLineChars="200"/>
              <w:jc w:val="center"/>
              <w:rPr>
                <w:rFonts w:hint="default"/>
                <w:color w:val="auto"/>
                <w:sz w:val="26"/>
                <w:szCs w:val="26"/>
                <w:highlight w:val="none"/>
              </w:rPr>
            </w:pPr>
            <w:r>
              <w:rPr>
                <w:rFonts w:hint="eastAsia"/>
                <w:color w:val="auto"/>
                <w:sz w:val="26"/>
                <w:szCs w:val="26"/>
                <w:highlight w:val="none"/>
              </w:rPr>
              <w:t>表</w:t>
            </w:r>
            <w:r>
              <w:rPr>
                <w:rFonts w:hint="default"/>
                <w:color w:val="auto"/>
                <w:sz w:val="26"/>
                <w:szCs w:val="26"/>
                <w:highlight w:val="none"/>
              </w:rPr>
              <w:t>4.2-1</w:t>
            </w:r>
            <w:r>
              <w:rPr>
                <w:rFonts w:hint="eastAsia"/>
                <w:color w:val="auto"/>
                <w:sz w:val="26"/>
                <w:szCs w:val="26"/>
                <w:highlight w:val="none"/>
                <w:lang w:val="en-US" w:eastAsia="zh-CN"/>
              </w:rPr>
              <w:t>3</w:t>
            </w:r>
            <w:r>
              <w:rPr>
                <w:rFonts w:hint="default"/>
                <w:color w:val="auto"/>
                <w:sz w:val="26"/>
                <w:szCs w:val="26"/>
                <w:highlight w:val="none"/>
              </w:rPr>
              <w:t xml:space="preserve"> </w:t>
            </w:r>
            <w:r>
              <w:rPr>
                <w:rFonts w:hint="eastAsia"/>
                <w:color w:val="auto"/>
                <w:sz w:val="26"/>
                <w:szCs w:val="26"/>
                <w:highlight w:val="none"/>
                <w:lang w:val="en-US" w:eastAsia="zh-CN"/>
              </w:rPr>
              <w:t xml:space="preserve">  </w:t>
            </w:r>
            <w:r>
              <w:rPr>
                <w:rFonts w:hint="eastAsia"/>
                <w:color w:val="auto"/>
                <w:sz w:val="26"/>
                <w:szCs w:val="26"/>
                <w:highlight w:val="none"/>
              </w:rPr>
              <w:t>营运期厂界噪声自行监测计划</w:t>
            </w:r>
          </w:p>
          <w:tbl>
            <w:tblPr>
              <w:tblStyle w:val="25"/>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301"/>
              <w:gridCol w:w="3940"/>
              <w:gridCol w:w="1932"/>
            </w:tblGrid>
            <w:tr w14:paraId="3523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D3D7D52">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类别</w:t>
                  </w:r>
                </w:p>
              </w:tc>
              <w:tc>
                <w:tcPr>
                  <w:tcW w:w="1276" w:type="pct"/>
                  <w:tcBorders>
                    <w:top w:val="single" w:color="auto" w:sz="4" w:space="0"/>
                    <w:left w:val="single" w:color="auto" w:sz="4" w:space="0"/>
                    <w:bottom w:val="single" w:color="auto" w:sz="4" w:space="0"/>
                    <w:right w:val="single" w:color="auto" w:sz="4" w:space="0"/>
                  </w:tcBorders>
                  <w:vAlign w:val="center"/>
                </w:tcPr>
                <w:p w14:paraId="21EB616F">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监测位置</w:t>
                  </w:r>
                </w:p>
              </w:tc>
              <w:tc>
                <w:tcPr>
                  <w:tcW w:w="2185" w:type="pct"/>
                  <w:tcBorders>
                    <w:top w:val="single" w:color="auto" w:sz="4" w:space="0"/>
                    <w:left w:val="single" w:color="auto" w:sz="4" w:space="0"/>
                    <w:bottom w:val="single" w:color="auto" w:sz="4" w:space="0"/>
                    <w:right w:val="single" w:color="auto" w:sz="4" w:space="0"/>
                  </w:tcBorders>
                  <w:vAlign w:val="center"/>
                </w:tcPr>
                <w:p w14:paraId="50323548">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监测项目</w:t>
                  </w:r>
                </w:p>
              </w:tc>
              <w:tc>
                <w:tcPr>
                  <w:tcW w:w="1071" w:type="pct"/>
                  <w:tcBorders>
                    <w:top w:val="single" w:color="auto" w:sz="4" w:space="0"/>
                    <w:left w:val="single" w:color="auto" w:sz="4" w:space="0"/>
                    <w:bottom w:val="single" w:color="auto" w:sz="4" w:space="0"/>
                    <w:right w:val="single" w:color="auto" w:sz="4" w:space="0"/>
                  </w:tcBorders>
                  <w:vAlign w:val="center"/>
                </w:tcPr>
                <w:p w14:paraId="42CB4DFD">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监测频率</w:t>
                  </w:r>
                </w:p>
              </w:tc>
            </w:tr>
            <w:tr w14:paraId="1961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77F8C1B9">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噪声</w:t>
                  </w:r>
                </w:p>
              </w:tc>
              <w:tc>
                <w:tcPr>
                  <w:tcW w:w="1276" w:type="pct"/>
                  <w:tcBorders>
                    <w:top w:val="single" w:color="auto" w:sz="4" w:space="0"/>
                    <w:left w:val="single" w:color="auto" w:sz="4" w:space="0"/>
                    <w:bottom w:val="single" w:color="auto" w:sz="4" w:space="0"/>
                    <w:right w:val="single" w:color="auto" w:sz="4" w:space="0"/>
                  </w:tcBorders>
                  <w:vAlign w:val="center"/>
                </w:tcPr>
                <w:p w14:paraId="57B85641">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lang w:val="en-US" w:eastAsia="zh-CN"/>
                    </w:rPr>
                    <w:t>四周</w:t>
                  </w:r>
                  <w:r>
                    <w:rPr>
                      <w:rFonts w:hint="eastAsia"/>
                      <w:bCs/>
                      <w:color w:val="auto"/>
                      <w:sz w:val="21"/>
                      <w:szCs w:val="21"/>
                      <w:highlight w:val="none"/>
                    </w:rPr>
                    <w:t>厂界外</w:t>
                  </w:r>
                  <w:r>
                    <w:rPr>
                      <w:rFonts w:hint="default"/>
                      <w:bCs/>
                      <w:color w:val="auto"/>
                      <w:sz w:val="21"/>
                      <w:szCs w:val="21"/>
                      <w:highlight w:val="none"/>
                    </w:rPr>
                    <w:t>1m</w:t>
                  </w:r>
                </w:p>
              </w:tc>
              <w:tc>
                <w:tcPr>
                  <w:tcW w:w="2185" w:type="pct"/>
                  <w:tcBorders>
                    <w:top w:val="single" w:color="auto" w:sz="4" w:space="0"/>
                    <w:left w:val="single" w:color="auto" w:sz="4" w:space="0"/>
                    <w:bottom w:val="single" w:color="auto" w:sz="4" w:space="0"/>
                    <w:right w:val="single" w:color="auto" w:sz="4" w:space="0"/>
                  </w:tcBorders>
                  <w:vAlign w:val="center"/>
                </w:tcPr>
                <w:p w14:paraId="52B4E591">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昼</w:t>
                  </w:r>
                  <w:r>
                    <w:rPr>
                      <w:rFonts w:hint="eastAsia"/>
                      <w:bCs/>
                      <w:color w:val="auto"/>
                      <w:sz w:val="21"/>
                      <w:szCs w:val="21"/>
                      <w:highlight w:val="none"/>
                      <w:lang w:eastAsia="zh-CN"/>
                    </w:rPr>
                    <w:t>、</w:t>
                  </w:r>
                  <w:r>
                    <w:rPr>
                      <w:rFonts w:hint="eastAsia"/>
                      <w:bCs/>
                      <w:color w:val="auto"/>
                      <w:sz w:val="21"/>
                      <w:szCs w:val="21"/>
                      <w:highlight w:val="none"/>
                      <w:lang w:val="en-US" w:eastAsia="zh-CN"/>
                    </w:rPr>
                    <w:t>夜</w:t>
                  </w:r>
                  <w:r>
                    <w:rPr>
                      <w:rFonts w:hint="eastAsia"/>
                      <w:bCs/>
                      <w:color w:val="auto"/>
                      <w:sz w:val="21"/>
                      <w:szCs w:val="21"/>
                      <w:highlight w:val="none"/>
                    </w:rPr>
                    <w:t>等效连续</w:t>
                  </w:r>
                  <w:r>
                    <w:rPr>
                      <w:rFonts w:hint="default"/>
                      <w:bCs/>
                      <w:color w:val="auto"/>
                      <w:sz w:val="21"/>
                      <w:szCs w:val="21"/>
                      <w:highlight w:val="none"/>
                    </w:rPr>
                    <w:t>A</w:t>
                  </w:r>
                  <w:r>
                    <w:rPr>
                      <w:rFonts w:hint="eastAsia"/>
                      <w:bCs/>
                      <w:color w:val="auto"/>
                      <w:sz w:val="21"/>
                      <w:szCs w:val="21"/>
                      <w:highlight w:val="none"/>
                    </w:rPr>
                    <w:t>声级</w:t>
                  </w:r>
                </w:p>
              </w:tc>
              <w:tc>
                <w:tcPr>
                  <w:tcW w:w="1071" w:type="pct"/>
                  <w:tcBorders>
                    <w:top w:val="single" w:color="auto" w:sz="4" w:space="0"/>
                    <w:left w:val="single" w:color="auto" w:sz="4" w:space="0"/>
                    <w:bottom w:val="single" w:color="auto" w:sz="4" w:space="0"/>
                    <w:right w:val="single" w:color="auto" w:sz="4" w:space="0"/>
                  </w:tcBorders>
                  <w:vAlign w:val="center"/>
                </w:tcPr>
                <w:p w14:paraId="0F0EC4CF">
                  <w:pPr>
                    <w:keepNext w:val="0"/>
                    <w:keepLines w:val="0"/>
                    <w:suppressLineNumbers w:val="0"/>
                    <w:spacing w:before="0" w:beforeAutospacing="0" w:after="0" w:afterAutospacing="0"/>
                    <w:ind w:left="0" w:right="0"/>
                    <w:jc w:val="center"/>
                    <w:rPr>
                      <w:rFonts w:hint="default"/>
                      <w:bCs/>
                      <w:color w:val="auto"/>
                      <w:sz w:val="21"/>
                      <w:szCs w:val="21"/>
                      <w:highlight w:val="none"/>
                    </w:rPr>
                  </w:pPr>
                  <w:r>
                    <w:rPr>
                      <w:rFonts w:hint="eastAsia"/>
                      <w:bCs/>
                      <w:color w:val="auto"/>
                      <w:sz w:val="21"/>
                      <w:szCs w:val="21"/>
                      <w:highlight w:val="none"/>
                    </w:rPr>
                    <w:t>验收时1次，以后</w:t>
                  </w:r>
                  <w:r>
                    <w:rPr>
                      <w:rFonts w:hint="default"/>
                      <w:bCs/>
                      <w:color w:val="auto"/>
                      <w:sz w:val="21"/>
                      <w:szCs w:val="21"/>
                      <w:highlight w:val="none"/>
                    </w:rPr>
                    <w:t>1</w:t>
                  </w:r>
                  <w:r>
                    <w:rPr>
                      <w:rFonts w:hint="eastAsia"/>
                      <w:bCs/>
                      <w:color w:val="auto"/>
                      <w:sz w:val="21"/>
                      <w:szCs w:val="21"/>
                      <w:highlight w:val="none"/>
                    </w:rPr>
                    <w:t>次</w:t>
                  </w:r>
                  <w:r>
                    <w:rPr>
                      <w:rFonts w:hint="default"/>
                      <w:bCs/>
                      <w:color w:val="auto"/>
                      <w:sz w:val="21"/>
                      <w:szCs w:val="21"/>
                      <w:highlight w:val="none"/>
                    </w:rPr>
                    <w:t>/</w:t>
                  </w:r>
                  <w:r>
                    <w:rPr>
                      <w:rFonts w:hint="eastAsia"/>
                      <w:bCs/>
                      <w:color w:val="auto"/>
                      <w:sz w:val="21"/>
                      <w:szCs w:val="21"/>
                      <w:highlight w:val="none"/>
                    </w:rPr>
                    <w:t>季度</w:t>
                  </w:r>
                </w:p>
              </w:tc>
            </w:tr>
          </w:tbl>
          <w:p w14:paraId="454AD597">
            <w:pPr>
              <w:keepNext w:val="0"/>
              <w:keepLines w:val="0"/>
              <w:suppressLineNumbers w:val="0"/>
              <w:tabs>
                <w:tab w:val="left" w:pos="1040"/>
              </w:tabs>
              <w:adjustRightInd w:val="0"/>
              <w:snapToGrid w:val="0"/>
              <w:spacing w:before="0" w:beforeAutospacing="0" w:after="0" w:afterAutospacing="0" w:line="400" w:lineRule="exact"/>
              <w:ind w:left="0" w:right="0"/>
              <w:rPr>
                <w:rFonts w:hint="default"/>
                <w:color w:val="auto"/>
                <w:kern w:val="0"/>
                <w:szCs w:val="21"/>
                <w:highlight w:val="none"/>
              </w:rPr>
            </w:pPr>
          </w:p>
          <w:p w14:paraId="2E801F90">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default"/>
                <w:b/>
                <w:color w:val="auto"/>
                <w:sz w:val="26"/>
                <w:highlight w:val="none"/>
              </w:rPr>
              <w:t>4.2.4</w:t>
            </w:r>
            <w:r>
              <w:rPr>
                <w:rFonts w:hint="eastAsia"/>
                <w:b/>
                <w:color w:val="auto"/>
                <w:sz w:val="26"/>
                <w:highlight w:val="none"/>
              </w:rPr>
              <w:t>固废</w:t>
            </w:r>
          </w:p>
          <w:p w14:paraId="7133E9F0">
            <w:pPr>
              <w:pStyle w:val="71"/>
              <w:keepNext w:val="0"/>
              <w:keepLines w:val="0"/>
              <w:suppressLineNumbers w:val="0"/>
              <w:snapToGrid w:val="0"/>
              <w:spacing w:before="0" w:beforeAutospacing="0" w:after="0" w:afterAutospacing="0" w:line="400" w:lineRule="exact"/>
              <w:ind w:left="0" w:right="0" w:firstLine="522" w:firstLineChars="200"/>
              <w:jc w:val="both"/>
              <w:rPr>
                <w:rFonts w:hint="default"/>
                <w:b/>
                <w:color w:val="auto"/>
                <w:sz w:val="26"/>
                <w:highlight w:val="none"/>
              </w:rPr>
            </w:pPr>
            <w:r>
              <w:rPr>
                <w:rFonts w:hint="eastAsia"/>
                <w:b/>
                <w:color w:val="auto"/>
                <w:sz w:val="26"/>
                <w:highlight w:val="none"/>
              </w:rPr>
              <w:t>4</w:t>
            </w:r>
            <w:r>
              <w:rPr>
                <w:rFonts w:hint="default"/>
                <w:b/>
                <w:color w:val="auto"/>
                <w:sz w:val="26"/>
                <w:highlight w:val="none"/>
              </w:rPr>
              <w:t>.2.4.1</w:t>
            </w:r>
            <w:r>
              <w:rPr>
                <w:rFonts w:hint="eastAsia"/>
                <w:b/>
                <w:color w:val="auto"/>
                <w:sz w:val="26"/>
                <w:highlight w:val="none"/>
              </w:rPr>
              <w:t>固废产生情况</w:t>
            </w:r>
          </w:p>
          <w:p w14:paraId="281BFC43">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项目固体废物主要为一般工业固废、危险废物、生活垃圾和餐厨垃圾。</w:t>
            </w:r>
          </w:p>
          <w:p w14:paraId="09447A8A">
            <w:pPr>
              <w:pStyle w:val="71"/>
              <w:keepNext w:val="0"/>
              <w:keepLines w:val="0"/>
              <w:suppressLineNumbers w:val="0"/>
              <w:snapToGrid w:val="0"/>
              <w:spacing w:before="0" w:beforeAutospacing="0" w:after="0" w:afterAutospacing="0" w:line="400" w:lineRule="exact"/>
              <w:ind w:left="0" w:right="0" w:firstLine="522" w:firstLineChars="200"/>
              <w:jc w:val="both"/>
              <w:rPr>
                <w:rFonts w:hint="eastAsia"/>
                <w:b/>
                <w:bCs w:val="0"/>
                <w:color w:val="auto"/>
                <w:sz w:val="26"/>
                <w:highlight w:val="none"/>
                <w:lang w:eastAsia="zh-CN"/>
              </w:rPr>
            </w:pPr>
            <w:r>
              <w:rPr>
                <w:rFonts w:hint="eastAsia"/>
                <w:b/>
                <w:bCs w:val="0"/>
                <w:color w:val="auto"/>
                <w:sz w:val="26"/>
                <w:highlight w:val="none"/>
                <w:lang w:eastAsia="zh-CN"/>
              </w:rPr>
              <w:t>（1）生活垃圾</w:t>
            </w:r>
          </w:p>
          <w:p w14:paraId="7F4A3E2E">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劳动定员</w:t>
            </w:r>
            <w:r>
              <w:rPr>
                <w:rFonts w:hint="eastAsia"/>
                <w:b w:val="0"/>
                <w:bCs/>
                <w:color w:val="auto"/>
                <w:sz w:val="26"/>
                <w:highlight w:val="none"/>
                <w:lang w:val="en-US" w:eastAsia="zh-CN"/>
              </w:rPr>
              <w:t>170</w:t>
            </w:r>
            <w:r>
              <w:rPr>
                <w:rFonts w:hint="eastAsia"/>
                <w:b w:val="0"/>
                <w:bCs/>
                <w:color w:val="auto"/>
                <w:sz w:val="26"/>
                <w:highlight w:val="none"/>
                <w:lang w:eastAsia="zh-CN"/>
              </w:rPr>
              <w:t>人，生活垃圾按0.5kg/人•天计，则生活垃圾产生量为</w:t>
            </w:r>
            <w:r>
              <w:rPr>
                <w:rFonts w:hint="eastAsia"/>
                <w:b w:val="0"/>
                <w:bCs/>
                <w:color w:val="auto"/>
                <w:sz w:val="26"/>
                <w:highlight w:val="none"/>
                <w:lang w:val="en-US" w:eastAsia="zh-CN"/>
              </w:rPr>
              <w:t>21.25</w:t>
            </w:r>
            <w:r>
              <w:rPr>
                <w:rFonts w:hint="eastAsia"/>
                <w:b w:val="0"/>
                <w:bCs/>
                <w:color w:val="auto"/>
                <w:sz w:val="26"/>
                <w:highlight w:val="none"/>
                <w:lang w:eastAsia="zh-CN"/>
              </w:rPr>
              <w:t>t/a。</w:t>
            </w:r>
          </w:p>
          <w:p w14:paraId="5942E914">
            <w:pPr>
              <w:pStyle w:val="71"/>
              <w:keepNext w:val="0"/>
              <w:keepLines w:val="0"/>
              <w:suppressLineNumbers w:val="0"/>
              <w:snapToGrid w:val="0"/>
              <w:spacing w:before="0" w:beforeAutospacing="0" w:after="0" w:afterAutospacing="0" w:line="400" w:lineRule="exact"/>
              <w:ind w:left="0" w:right="0" w:firstLine="522" w:firstLineChars="200"/>
              <w:jc w:val="both"/>
              <w:rPr>
                <w:rFonts w:hint="eastAsia"/>
                <w:b/>
                <w:bCs w:val="0"/>
                <w:color w:val="auto"/>
                <w:sz w:val="26"/>
                <w:highlight w:val="none"/>
                <w:lang w:eastAsia="zh-CN"/>
              </w:rPr>
            </w:pPr>
            <w:r>
              <w:rPr>
                <w:rFonts w:hint="eastAsia"/>
                <w:b/>
                <w:bCs w:val="0"/>
                <w:color w:val="auto"/>
                <w:sz w:val="26"/>
                <w:highlight w:val="none"/>
                <w:lang w:eastAsia="zh-CN"/>
              </w:rPr>
              <w:t>（2）一般固体废物</w:t>
            </w:r>
          </w:p>
          <w:p w14:paraId="22711B29">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项目产生的一般固体废物主要为废边角料、不合格产品、除尘器收集粉尘、废钢珠、废包装材料等。</w:t>
            </w:r>
          </w:p>
          <w:p w14:paraId="459D98F8">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废包装材料：原料拆卸、成品打包过程中会产生废包装材料，产量约为0.</w:t>
            </w:r>
            <w:r>
              <w:rPr>
                <w:rFonts w:hint="eastAsia"/>
                <w:b w:val="0"/>
                <w:bCs/>
                <w:color w:val="auto"/>
                <w:sz w:val="26"/>
                <w:highlight w:val="none"/>
                <w:lang w:val="en-US" w:eastAsia="zh-CN"/>
              </w:rPr>
              <w:t>5</w:t>
            </w:r>
            <w:r>
              <w:rPr>
                <w:rFonts w:hint="eastAsia"/>
                <w:b w:val="0"/>
                <w:bCs/>
                <w:color w:val="auto"/>
                <w:sz w:val="26"/>
                <w:highlight w:val="none"/>
                <w:lang w:eastAsia="zh-CN"/>
              </w:rPr>
              <w:t>t/a，经收集后外售废品回收站处理。</w:t>
            </w:r>
          </w:p>
          <w:p w14:paraId="6A6FD358">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废边角料：离合器摩擦片在冲裁工序产生一定量的各类边角料，</w:t>
            </w:r>
            <w:r>
              <w:rPr>
                <w:rFonts w:hint="eastAsia"/>
                <w:b w:val="0"/>
                <w:bCs/>
                <w:color w:val="auto"/>
                <w:sz w:val="26"/>
                <w:highlight w:val="none"/>
                <w:lang w:val="en-US" w:eastAsia="zh-CN"/>
              </w:rPr>
              <w:t>边角料产生量约为冲裁工序物料量的10%，</w:t>
            </w:r>
            <w:r>
              <w:rPr>
                <w:rFonts w:hint="eastAsia"/>
                <w:b w:val="0"/>
                <w:bCs/>
                <w:color w:val="auto"/>
                <w:sz w:val="26"/>
                <w:highlight w:val="none"/>
                <w:lang w:eastAsia="zh-CN"/>
              </w:rPr>
              <w:t>则废边角料产生量约为</w:t>
            </w:r>
            <w:r>
              <w:rPr>
                <w:rFonts w:hint="eastAsia"/>
                <w:b w:val="0"/>
                <w:bCs/>
                <w:color w:val="auto"/>
                <w:sz w:val="26"/>
                <w:highlight w:val="none"/>
                <w:lang w:val="en-US" w:eastAsia="zh-CN"/>
              </w:rPr>
              <w:t>121.502</w:t>
            </w:r>
            <w:r>
              <w:rPr>
                <w:rFonts w:hint="eastAsia"/>
                <w:b w:val="0"/>
                <w:bCs/>
                <w:color w:val="auto"/>
                <w:sz w:val="26"/>
                <w:highlight w:val="none"/>
                <w:lang w:eastAsia="zh-CN"/>
              </w:rPr>
              <w:t>t/a，收集后回用于生产。</w:t>
            </w:r>
          </w:p>
          <w:p w14:paraId="5AC1E4B9">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废钢珠：根据抛丸使用钢珠量和耗损估算，废钢珠约为2</w:t>
            </w:r>
            <w:r>
              <w:rPr>
                <w:rFonts w:hint="eastAsia"/>
                <w:b w:val="0"/>
                <w:bCs/>
                <w:color w:val="auto"/>
                <w:sz w:val="26"/>
                <w:highlight w:val="none"/>
                <w:lang w:val="en-US" w:eastAsia="zh-CN"/>
              </w:rPr>
              <w:t>.5</w:t>
            </w:r>
            <w:r>
              <w:rPr>
                <w:rFonts w:hint="eastAsia"/>
                <w:b w:val="0"/>
                <w:bCs/>
                <w:color w:val="auto"/>
                <w:sz w:val="26"/>
                <w:highlight w:val="none"/>
                <w:lang w:eastAsia="zh-CN"/>
              </w:rPr>
              <w:t>t/a，经收集后外售废品回收站处理。</w:t>
            </w:r>
          </w:p>
          <w:p w14:paraId="4A0C57F7">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不合格离合器摩擦片：检验得到的不合格离合器摩擦片，</w:t>
            </w:r>
            <w:r>
              <w:rPr>
                <w:rFonts w:hint="eastAsia"/>
                <w:b w:val="0"/>
                <w:bCs/>
                <w:color w:val="auto"/>
                <w:sz w:val="26"/>
                <w:highlight w:val="none"/>
                <w:lang w:val="en-US" w:eastAsia="zh-CN"/>
              </w:rPr>
              <w:t>根据物料平衡</w:t>
            </w:r>
            <w:r>
              <w:rPr>
                <w:rFonts w:hint="eastAsia"/>
                <w:b w:val="0"/>
                <w:bCs/>
                <w:color w:val="auto"/>
                <w:sz w:val="26"/>
                <w:highlight w:val="none"/>
                <w:lang w:eastAsia="zh-CN"/>
              </w:rPr>
              <w:t>，则不合格离合器摩擦片产生量约为</w:t>
            </w:r>
            <w:r>
              <w:rPr>
                <w:rFonts w:hint="eastAsia"/>
                <w:b w:val="0"/>
                <w:bCs/>
                <w:color w:val="auto"/>
                <w:sz w:val="26"/>
                <w:highlight w:val="none"/>
                <w:lang w:val="en-US" w:eastAsia="zh-CN"/>
              </w:rPr>
              <w:t>22.288</w:t>
            </w:r>
            <w:r>
              <w:rPr>
                <w:rFonts w:hint="eastAsia"/>
                <w:b w:val="0"/>
                <w:bCs/>
                <w:color w:val="auto"/>
                <w:sz w:val="26"/>
                <w:highlight w:val="none"/>
                <w:lang w:eastAsia="zh-CN"/>
              </w:rPr>
              <w:t>t/a，收集后</w:t>
            </w:r>
            <w:r>
              <w:rPr>
                <w:rFonts w:hint="eastAsia"/>
                <w:b w:val="0"/>
                <w:bCs/>
                <w:color w:val="auto"/>
                <w:sz w:val="26"/>
                <w:highlight w:val="none"/>
                <w:lang w:val="en-US" w:eastAsia="zh-CN"/>
              </w:rPr>
              <w:t>将橡胶片部分、金属部分离开分别</w:t>
            </w:r>
            <w:r>
              <w:rPr>
                <w:rFonts w:hint="eastAsia"/>
                <w:b w:val="0"/>
                <w:bCs/>
                <w:color w:val="auto"/>
                <w:sz w:val="26"/>
                <w:highlight w:val="none"/>
                <w:lang w:eastAsia="zh-CN"/>
              </w:rPr>
              <w:t>回用于生产。</w:t>
            </w:r>
          </w:p>
          <w:p w14:paraId="2248F557">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不合格摩托车、电动车离合器总成部件和产品：检验得到的不合格摩托车、电动车离合器总成部件和产品，约为1.0t/a，定期外售废品回收单位。</w:t>
            </w:r>
          </w:p>
          <w:p w14:paraId="12573D7D">
            <w:pPr>
              <w:pStyle w:val="71"/>
              <w:keepNext w:val="0"/>
              <w:keepLines w:val="0"/>
              <w:suppressLineNumbers w:val="0"/>
              <w:snapToGrid w:val="0"/>
              <w:spacing w:before="0" w:beforeAutospacing="0" w:after="0" w:afterAutospacing="0" w:line="400" w:lineRule="exact"/>
              <w:ind w:left="0" w:right="0" w:firstLine="520" w:firstLineChars="200"/>
              <w:jc w:val="both"/>
              <w:rPr>
                <w:rFonts w:hint="default"/>
                <w:b w:val="0"/>
                <w:bCs/>
                <w:color w:val="auto"/>
                <w:sz w:val="26"/>
                <w:highlight w:val="none"/>
                <w:lang w:val="en-US" w:eastAsia="zh-CN"/>
              </w:rPr>
            </w:pPr>
            <w:r>
              <w:rPr>
                <w:rFonts w:hint="eastAsia"/>
                <w:b w:val="0"/>
                <w:bCs/>
                <w:color w:val="auto"/>
                <w:sz w:val="26"/>
                <w:highlight w:val="none"/>
                <w:lang w:eastAsia="zh-CN"/>
              </w:rPr>
              <w:t>除尘器收集粉尘：经废气源强计算：</w:t>
            </w:r>
            <w:r>
              <w:rPr>
                <w:rFonts w:hint="eastAsia"/>
                <w:b w:val="0"/>
                <w:bCs/>
                <w:color w:val="auto"/>
                <w:sz w:val="26"/>
                <w:highlight w:val="none"/>
                <w:lang w:val="en-US" w:eastAsia="zh-CN"/>
              </w:rPr>
              <w:t>其中橡胶</w:t>
            </w:r>
            <w:r>
              <w:rPr>
                <w:rFonts w:hint="eastAsia"/>
                <w:b w:val="0"/>
                <w:bCs/>
                <w:color w:val="auto"/>
                <w:sz w:val="26"/>
                <w:highlight w:val="none"/>
                <w:lang w:eastAsia="zh-CN"/>
              </w:rPr>
              <w:t>粉尘经收集约为</w:t>
            </w:r>
            <w:r>
              <w:rPr>
                <w:rFonts w:hint="eastAsia"/>
                <w:b w:val="0"/>
                <w:bCs/>
                <w:color w:val="auto"/>
                <w:sz w:val="26"/>
                <w:highlight w:val="none"/>
                <w:lang w:val="en-US" w:eastAsia="zh-CN"/>
              </w:rPr>
              <w:t>0.040</w:t>
            </w:r>
            <w:r>
              <w:rPr>
                <w:rFonts w:hint="eastAsia"/>
                <w:b w:val="0"/>
                <w:bCs/>
                <w:color w:val="auto"/>
                <w:sz w:val="26"/>
                <w:highlight w:val="none"/>
                <w:lang w:eastAsia="zh-CN"/>
              </w:rPr>
              <w:t>t/a，收集后回用于生产。</w:t>
            </w:r>
          </w:p>
          <w:p w14:paraId="4F817B54">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b w:val="0"/>
                <w:bCs/>
                <w:color w:val="auto"/>
                <w:sz w:val="26"/>
                <w:highlight w:val="none"/>
                <w:lang w:eastAsia="zh-CN"/>
              </w:rPr>
            </w:pPr>
            <w:r>
              <w:rPr>
                <w:rFonts w:hint="eastAsia"/>
                <w:b w:val="0"/>
                <w:bCs/>
                <w:color w:val="auto"/>
                <w:sz w:val="26"/>
                <w:highlight w:val="none"/>
                <w:lang w:eastAsia="zh-CN"/>
              </w:rPr>
              <w:t>项目产生的一般固废分类收集后暂存于一般废物暂存间，定期分类处理。</w:t>
            </w:r>
          </w:p>
          <w:p w14:paraId="438FF622">
            <w:pPr>
              <w:pStyle w:val="71"/>
              <w:keepNext w:val="0"/>
              <w:keepLines w:val="0"/>
              <w:suppressLineNumbers w:val="0"/>
              <w:snapToGrid w:val="0"/>
              <w:spacing w:before="0" w:beforeAutospacing="0" w:after="0" w:afterAutospacing="0" w:line="400" w:lineRule="exact"/>
              <w:ind w:left="0" w:right="0" w:firstLine="522" w:firstLineChars="200"/>
              <w:jc w:val="both"/>
              <w:rPr>
                <w:rFonts w:hint="eastAsia"/>
                <w:b/>
                <w:bCs w:val="0"/>
                <w:color w:val="auto"/>
                <w:sz w:val="26"/>
                <w:highlight w:val="none"/>
                <w:lang w:eastAsia="zh-CN"/>
              </w:rPr>
            </w:pPr>
            <w:r>
              <w:rPr>
                <w:rFonts w:hint="eastAsia"/>
                <w:b/>
                <w:bCs w:val="0"/>
                <w:color w:val="auto"/>
                <w:sz w:val="26"/>
                <w:highlight w:val="none"/>
                <w:lang w:eastAsia="zh-CN"/>
              </w:rPr>
              <w:t>（3）危险废物</w:t>
            </w:r>
          </w:p>
          <w:p w14:paraId="16607DCB">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项目产生的危险废物主要废过滤棉</w:t>
            </w:r>
            <w:r>
              <w:rPr>
                <w:rFonts w:hint="eastAsia"/>
                <w:b w:val="0"/>
                <w:bCs/>
                <w:color w:val="auto"/>
                <w:sz w:val="26"/>
                <w:highlight w:val="none"/>
                <w:lang w:val="en-US" w:eastAsia="zh-CN"/>
              </w:rPr>
              <w:t>/废过滤材料</w:t>
            </w:r>
            <w:r>
              <w:rPr>
                <w:rFonts w:hint="eastAsia"/>
                <w:b w:val="0"/>
                <w:bCs/>
                <w:color w:val="auto"/>
                <w:sz w:val="26"/>
                <w:highlight w:val="none"/>
                <w:lang w:eastAsia="zh-CN"/>
              </w:rPr>
              <w:t>、废活性炭、废机油、废液压油、废油桶、废油棉纱手套、</w:t>
            </w:r>
            <w:r>
              <w:rPr>
                <w:rFonts w:hint="eastAsia"/>
                <w:b w:val="0"/>
                <w:bCs/>
                <w:color w:val="auto"/>
                <w:sz w:val="26"/>
                <w:highlight w:val="none"/>
                <w:lang w:val="en-US" w:eastAsia="zh-CN"/>
              </w:rPr>
              <w:t>浮渣（铝灰渣）、铝灰</w:t>
            </w:r>
            <w:r>
              <w:rPr>
                <w:rFonts w:hint="eastAsia"/>
                <w:b w:val="0"/>
                <w:bCs/>
                <w:color w:val="auto"/>
                <w:sz w:val="26"/>
                <w:highlight w:val="none"/>
                <w:lang w:eastAsia="zh-CN"/>
              </w:rPr>
              <w:t>等。</w:t>
            </w:r>
          </w:p>
          <w:p w14:paraId="7D92E0A0">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废过滤棉、</w:t>
            </w:r>
            <w:r>
              <w:rPr>
                <w:rFonts w:hint="eastAsia"/>
                <w:b w:val="0"/>
                <w:bCs/>
                <w:color w:val="auto"/>
                <w:sz w:val="26"/>
                <w:highlight w:val="none"/>
                <w:lang w:val="en-US" w:eastAsia="zh-CN"/>
              </w:rPr>
              <w:t>废过滤材料</w:t>
            </w:r>
            <w:r>
              <w:rPr>
                <w:rFonts w:hint="eastAsia"/>
                <w:b w:val="0"/>
                <w:bCs/>
                <w:color w:val="auto"/>
                <w:sz w:val="26"/>
                <w:highlight w:val="none"/>
                <w:lang w:eastAsia="zh-CN"/>
              </w:rPr>
              <w:t>：由于本项目产生有机废气量较少，类比同类型项目，产生的废过滤棉为0.</w:t>
            </w:r>
            <w:r>
              <w:rPr>
                <w:rFonts w:hint="eastAsia"/>
                <w:b w:val="0"/>
                <w:bCs/>
                <w:color w:val="auto"/>
                <w:sz w:val="26"/>
                <w:highlight w:val="none"/>
                <w:lang w:val="en-US" w:eastAsia="zh-CN"/>
              </w:rPr>
              <w:t>1</w:t>
            </w:r>
            <w:r>
              <w:rPr>
                <w:rFonts w:hint="eastAsia"/>
                <w:b w:val="0"/>
                <w:bCs/>
                <w:color w:val="auto"/>
                <w:sz w:val="26"/>
                <w:highlight w:val="none"/>
                <w:lang w:eastAsia="zh-CN"/>
              </w:rPr>
              <w:t>t/a，每15天更换一次，更换下来的废过滤棉</w:t>
            </w:r>
            <w:r>
              <w:rPr>
                <w:rFonts w:hint="eastAsia"/>
                <w:b w:val="0"/>
                <w:bCs/>
                <w:color w:val="auto"/>
                <w:sz w:val="26"/>
                <w:highlight w:val="none"/>
                <w:lang w:val="en-US" w:eastAsia="zh-CN"/>
              </w:rPr>
              <w:t>/过滤材料</w:t>
            </w:r>
            <w:r>
              <w:rPr>
                <w:rFonts w:hint="eastAsia"/>
                <w:b w:val="0"/>
                <w:bCs/>
                <w:color w:val="auto"/>
                <w:sz w:val="26"/>
                <w:highlight w:val="none"/>
                <w:lang w:eastAsia="zh-CN"/>
              </w:rPr>
              <w:t>，收集后交由有资质单位处理。</w:t>
            </w:r>
          </w:p>
          <w:p w14:paraId="4F99A0F7">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废活性炭：有机废气处理产生废活性炭，属于《国家危险废物名录》（202</w:t>
            </w:r>
            <w:r>
              <w:rPr>
                <w:rFonts w:hint="eastAsia"/>
                <w:b w:val="0"/>
                <w:bCs/>
                <w:color w:val="auto"/>
                <w:sz w:val="26"/>
                <w:highlight w:val="none"/>
                <w:lang w:val="en-US" w:eastAsia="zh-CN"/>
              </w:rPr>
              <w:t>5</w:t>
            </w:r>
            <w:r>
              <w:rPr>
                <w:rFonts w:hint="eastAsia"/>
                <w:b w:val="0"/>
                <w:bCs/>
                <w:color w:val="auto"/>
                <w:sz w:val="26"/>
                <w:highlight w:val="none"/>
                <w:lang w:eastAsia="zh-CN"/>
              </w:rPr>
              <w:t>年版）中HW49（900-039-49）危险废物，</w:t>
            </w:r>
            <w:r>
              <w:rPr>
                <w:rFonts w:hint="eastAsia"/>
                <w:b w:val="0"/>
                <w:bCs/>
                <w:color w:val="auto"/>
                <w:sz w:val="26"/>
                <w:highlight w:val="none"/>
                <w:lang w:val="en-US" w:eastAsia="zh-CN"/>
              </w:rPr>
              <w:t>根据</w:t>
            </w:r>
            <w:r>
              <w:rPr>
                <w:rFonts w:hint="eastAsia"/>
                <w:b w:val="0"/>
                <w:bCs/>
                <w:color w:val="auto"/>
                <w:sz w:val="26"/>
                <w:highlight w:val="none"/>
                <w:lang w:eastAsia="zh-CN"/>
              </w:rPr>
              <w:t>《2025 年重庆市夏季空气质量提升工作方案》“年活性炭使用量宜不应低于VOCs产生量的5倍，即1吨VOCs产生量，需5吨活性炭用于吸附”，根据项目有机废气产生量估算，废活性炭产生量约为</w:t>
            </w:r>
            <w:r>
              <w:rPr>
                <w:rFonts w:hint="eastAsia"/>
                <w:b w:val="0"/>
                <w:bCs/>
                <w:color w:val="auto"/>
                <w:sz w:val="26"/>
                <w:highlight w:val="none"/>
                <w:lang w:val="en-US" w:eastAsia="zh-CN"/>
              </w:rPr>
              <w:t>2.28</w:t>
            </w:r>
            <w:r>
              <w:rPr>
                <w:rFonts w:hint="eastAsia"/>
                <w:b w:val="0"/>
                <w:bCs/>
                <w:color w:val="auto"/>
                <w:sz w:val="26"/>
                <w:highlight w:val="none"/>
                <w:lang w:eastAsia="zh-CN"/>
              </w:rPr>
              <w:t>t/a，为保障废气吸附效率，需定期更换活性炭，更换下来的废活性炭经专用收集袋收集后暂存于危废</w:t>
            </w:r>
            <w:r>
              <w:rPr>
                <w:rFonts w:hint="eastAsia"/>
                <w:b w:val="0"/>
                <w:bCs/>
                <w:color w:val="auto"/>
                <w:sz w:val="26"/>
                <w:highlight w:val="none"/>
                <w:lang w:val="en-US" w:eastAsia="zh-CN"/>
              </w:rPr>
              <w:t>贮存库</w:t>
            </w:r>
            <w:r>
              <w:rPr>
                <w:rFonts w:hint="eastAsia"/>
                <w:b w:val="0"/>
                <w:bCs/>
                <w:color w:val="auto"/>
                <w:sz w:val="26"/>
                <w:highlight w:val="none"/>
                <w:lang w:eastAsia="zh-CN"/>
              </w:rPr>
              <w:t>，交由有危废资质的单位处置。</w:t>
            </w:r>
          </w:p>
          <w:p w14:paraId="1C349E7F">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废液压油：项目使用的熔铸机等设备需要用到液压油，液压油需要定期更换，废液压油产生量约为</w:t>
            </w:r>
            <w:r>
              <w:rPr>
                <w:rFonts w:hint="eastAsia"/>
                <w:b w:val="0"/>
                <w:bCs/>
                <w:color w:val="auto"/>
                <w:sz w:val="26"/>
                <w:highlight w:val="none"/>
                <w:lang w:val="en-US" w:eastAsia="zh-CN"/>
              </w:rPr>
              <w:t>0.7</w:t>
            </w:r>
            <w:r>
              <w:rPr>
                <w:rFonts w:hint="eastAsia"/>
                <w:b w:val="0"/>
                <w:bCs/>
                <w:color w:val="auto"/>
                <w:sz w:val="26"/>
                <w:highlight w:val="none"/>
                <w:lang w:eastAsia="zh-CN"/>
              </w:rPr>
              <w:t>t/a。</w:t>
            </w:r>
          </w:p>
          <w:p w14:paraId="76D5425E">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废机油：设备维护、</w:t>
            </w:r>
            <w:r>
              <w:rPr>
                <w:rFonts w:hint="eastAsia"/>
                <w:b w:val="0"/>
                <w:bCs/>
                <w:color w:val="auto"/>
                <w:sz w:val="26"/>
                <w:highlight w:val="none"/>
                <w:lang w:val="en-US" w:eastAsia="zh-CN"/>
              </w:rPr>
              <w:t>空压机均</w:t>
            </w:r>
            <w:r>
              <w:rPr>
                <w:rFonts w:hint="eastAsia"/>
                <w:b w:val="0"/>
                <w:bCs/>
                <w:color w:val="auto"/>
                <w:sz w:val="26"/>
                <w:highlight w:val="none"/>
                <w:lang w:eastAsia="zh-CN"/>
              </w:rPr>
              <w:t>需要用到机油，废</w:t>
            </w:r>
            <w:r>
              <w:rPr>
                <w:rFonts w:hint="eastAsia"/>
                <w:b w:val="0"/>
                <w:bCs/>
                <w:color w:val="auto"/>
                <w:sz w:val="26"/>
                <w:highlight w:val="none"/>
                <w:lang w:val="en-US" w:eastAsia="zh-CN"/>
              </w:rPr>
              <w:t>机油</w:t>
            </w:r>
            <w:r>
              <w:rPr>
                <w:rFonts w:hint="eastAsia"/>
                <w:b w:val="0"/>
                <w:bCs/>
                <w:color w:val="auto"/>
                <w:sz w:val="26"/>
                <w:highlight w:val="none"/>
                <w:lang w:eastAsia="zh-CN"/>
              </w:rPr>
              <w:t>产生量约为</w:t>
            </w:r>
            <w:r>
              <w:rPr>
                <w:rFonts w:hint="eastAsia"/>
                <w:b w:val="0"/>
                <w:bCs/>
                <w:color w:val="auto"/>
                <w:sz w:val="26"/>
                <w:highlight w:val="none"/>
                <w:lang w:val="en-US" w:eastAsia="zh-CN"/>
              </w:rPr>
              <w:t>0.7</w:t>
            </w:r>
            <w:r>
              <w:rPr>
                <w:rFonts w:hint="eastAsia"/>
                <w:b w:val="0"/>
                <w:bCs/>
                <w:color w:val="auto"/>
                <w:sz w:val="26"/>
                <w:highlight w:val="none"/>
                <w:lang w:eastAsia="zh-CN"/>
              </w:rPr>
              <w:t>t/a。</w:t>
            </w:r>
          </w:p>
          <w:p w14:paraId="08A9AA54">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废油桶：设备检修时会产生少量废油桶，按照大桶5kg/个、小桶1kg/个计算，产生量约0.</w:t>
            </w:r>
            <w:r>
              <w:rPr>
                <w:rFonts w:hint="eastAsia"/>
                <w:b w:val="0"/>
                <w:bCs/>
                <w:color w:val="auto"/>
                <w:sz w:val="26"/>
                <w:highlight w:val="none"/>
                <w:lang w:val="en-US" w:eastAsia="zh-CN"/>
              </w:rPr>
              <w:t>1</w:t>
            </w:r>
            <w:r>
              <w:rPr>
                <w:rFonts w:hint="eastAsia"/>
                <w:b w:val="0"/>
                <w:bCs/>
                <w:color w:val="auto"/>
                <w:sz w:val="26"/>
                <w:highlight w:val="none"/>
                <w:lang w:eastAsia="zh-CN"/>
              </w:rPr>
              <w:t>t/a。</w:t>
            </w:r>
          </w:p>
          <w:p w14:paraId="243FAD1B">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含油棉纱手套：机械设备检维修时会产生少量的含油棉纱及手套，产生量约0.05t/a。</w:t>
            </w:r>
          </w:p>
          <w:p w14:paraId="105B52D4">
            <w:pPr>
              <w:pStyle w:val="71"/>
              <w:keepNext w:val="0"/>
              <w:keepLines w:val="0"/>
              <w:suppressLineNumbers w:val="0"/>
              <w:snapToGrid w:val="0"/>
              <w:spacing w:before="0" w:beforeAutospacing="0" w:after="0" w:afterAutospacing="0" w:line="400" w:lineRule="exact"/>
              <w:ind w:left="0" w:right="0" w:firstLine="520" w:firstLineChars="200"/>
              <w:jc w:val="both"/>
              <w:rPr>
                <w:rFonts w:hint="default"/>
                <w:b w:val="0"/>
                <w:bCs/>
                <w:color w:val="auto"/>
                <w:sz w:val="26"/>
                <w:highlight w:val="none"/>
                <w:lang w:val="en-US" w:eastAsia="zh-CN"/>
              </w:rPr>
            </w:pPr>
            <w:r>
              <w:rPr>
                <w:rFonts w:hint="eastAsia"/>
                <w:b w:val="0"/>
                <w:bCs/>
                <w:color w:val="auto"/>
                <w:sz w:val="26"/>
                <w:highlight w:val="none"/>
                <w:lang w:val="en-US" w:eastAsia="zh-CN"/>
              </w:rPr>
              <w:t>浮渣（铝灰渣）：预计铝灰渣产生量=（铝合金锭投料量×经验产渣率K）+进入浮渣中的除渣剂的量（根据前文废气核算，进入浮渣的除渣剂的量=除渣剂年用量-进入废气的量），根据行业经验，使用铝合金锭的经验产渣率 (K) 一般为1%～3%，K取3%。因此，可计算得到浮渣（铝灰渣）产生量为得到铝灰渣的产生量为40.541t/a。</w:t>
            </w:r>
          </w:p>
          <w:p w14:paraId="5F17B1A4">
            <w:pPr>
              <w:pStyle w:val="71"/>
              <w:keepNext w:val="0"/>
              <w:keepLines w:val="0"/>
              <w:suppressLineNumbers w:val="0"/>
              <w:snapToGrid w:val="0"/>
              <w:spacing w:before="0" w:beforeAutospacing="0" w:after="0" w:afterAutospacing="0" w:line="400" w:lineRule="exact"/>
              <w:ind w:left="0" w:right="0" w:firstLine="520" w:firstLineChars="200"/>
              <w:jc w:val="both"/>
              <w:rPr>
                <w:rFonts w:hint="default"/>
                <w:b w:val="0"/>
                <w:bCs/>
                <w:color w:val="auto"/>
                <w:sz w:val="26"/>
                <w:highlight w:val="none"/>
                <w:lang w:val="en-US" w:eastAsia="zh-CN"/>
              </w:rPr>
            </w:pPr>
            <w:r>
              <w:rPr>
                <w:rFonts w:hint="eastAsia"/>
                <w:b w:val="0"/>
                <w:bCs/>
                <w:color w:val="auto"/>
                <w:sz w:val="26"/>
                <w:highlight w:val="none"/>
                <w:lang w:eastAsia="zh-CN"/>
              </w:rPr>
              <w:t>除尘器收集粉尘：经废气源强计算：</w:t>
            </w:r>
            <w:r>
              <w:rPr>
                <w:rFonts w:hint="eastAsia"/>
                <w:b w:val="0"/>
                <w:bCs/>
                <w:color w:val="auto"/>
                <w:sz w:val="26"/>
                <w:highlight w:val="none"/>
                <w:lang w:val="en-US" w:eastAsia="zh-CN"/>
              </w:rPr>
              <w:t>其中热熔、抛丸、磨加工等工序收集的除尘灰（铝灰）约为4.655t/a，属于危险废物（HW48，321-034-48）。</w:t>
            </w:r>
          </w:p>
          <w:p w14:paraId="469DC5D2">
            <w:pPr>
              <w:pStyle w:val="71"/>
              <w:keepNext w:val="0"/>
              <w:keepLines w:val="0"/>
              <w:suppressLineNumbers w:val="0"/>
              <w:snapToGrid w:val="0"/>
              <w:spacing w:before="0" w:beforeAutospacing="0" w:after="0" w:afterAutospacing="0" w:line="400" w:lineRule="exact"/>
              <w:ind w:left="0" w:right="0" w:firstLine="520" w:firstLineChars="200"/>
              <w:jc w:val="both"/>
              <w:rPr>
                <w:rFonts w:hint="default"/>
                <w:b w:val="0"/>
                <w:bCs/>
                <w:color w:val="auto"/>
                <w:sz w:val="26"/>
                <w:highlight w:val="none"/>
                <w:lang w:val="en-US" w:eastAsia="zh-CN"/>
              </w:rPr>
            </w:pPr>
            <w:r>
              <w:rPr>
                <w:rFonts w:hint="eastAsia"/>
                <w:b w:val="0"/>
                <w:bCs/>
                <w:color w:val="auto"/>
                <w:sz w:val="26"/>
                <w:highlight w:val="none"/>
                <w:lang w:val="en-US" w:eastAsia="zh-CN"/>
              </w:rPr>
              <w:t>废紫外灯管：生产废水预处理设施定期更换会产生少量废紫外灯管，产生量约为0.01t/a。</w:t>
            </w:r>
          </w:p>
        </w:tc>
      </w:tr>
    </w:tbl>
    <w:p w14:paraId="625F8AD3">
      <w:pPr>
        <w:tabs>
          <w:tab w:val="left" w:pos="2317"/>
        </w:tabs>
        <w:rPr>
          <w:color w:val="auto"/>
          <w:szCs w:val="21"/>
          <w:highlight w:val="none"/>
        </w:rPr>
        <w:sectPr>
          <w:pgSz w:w="11907" w:h="16840"/>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
        <w:gridCol w:w="9569"/>
      </w:tblGrid>
      <w:tr w14:paraId="1C7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9" w:type="dxa"/>
            <w:vAlign w:val="top"/>
          </w:tcPr>
          <w:p w14:paraId="2F49AA1C">
            <w:pPr>
              <w:keepNext w:val="0"/>
              <w:keepLines w:val="0"/>
              <w:suppressLineNumbers w:val="0"/>
              <w:tabs>
                <w:tab w:val="left" w:pos="752"/>
              </w:tabs>
              <w:spacing w:before="0" w:beforeAutospacing="0" w:after="0" w:afterAutospacing="0"/>
              <w:ind w:left="0" w:right="0"/>
              <w:rPr>
                <w:rFonts w:hint="default"/>
                <w:color w:val="auto"/>
                <w:szCs w:val="21"/>
                <w:highlight w:val="none"/>
              </w:rPr>
            </w:pPr>
            <w:r>
              <w:rPr>
                <w:rFonts w:hint="default"/>
                <w:color w:val="auto"/>
                <w:szCs w:val="21"/>
                <w:highlight w:val="none"/>
              </w:rPr>
              <w:tab/>
            </w:r>
          </w:p>
        </w:tc>
        <w:tc>
          <w:tcPr>
            <w:tcW w:w="9350" w:type="dxa"/>
            <w:vAlign w:val="top"/>
          </w:tcPr>
          <w:p w14:paraId="3CF2795C">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项目产生的危险废物分类收集后暂存于危险废物</w:t>
            </w:r>
            <w:r>
              <w:rPr>
                <w:rFonts w:hint="eastAsia"/>
                <w:b w:val="0"/>
                <w:bCs/>
                <w:color w:val="auto"/>
                <w:sz w:val="26"/>
                <w:highlight w:val="none"/>
                <w:lang w:val="en-US" w:eastAsia="zh-CN"/>
              </w:rPr>
              <w:t>贮存库</w:t>
            </w:r>
            <w:r>
              <w:rPr>
                <w:rFonts w:hint="eastAsia"/>
                <w:b w:val="0"/>
                <w:bCs/>
                <w:color w:val="auto"/>
                <w:sz w:val="26"/>
                <w:highlight w:val="none"/>
                <w:lang w:eastAsia="zh-CN"/>
              </w:rPr>
              <w:t>，定期交有资质的单位处理。</w:t>
            </w:r>
          </w:p>
          <w:p w14:paraId="5624B59A">
            <w:pPr>
              <w:pStyle w:val="71"/>
              <w:keepNext w:val="0"/>
              <w:keepLines w:val="0"/>
              <w:suppressLineNumbers w:val="0"/>
              <w:snapToGrid w:val="0"/>
              <w:spacing w:before="0" w:beforeAutospacing="0" w:after="0" w:afterAutospacing="0" w:line="400" w:lineRule="exact"/>
              <w:ind w:left="0" w:right="0" w:firstLine="522" w:firstLineChars="200"/>
              <w:jc w:val="both"/>
              <w:rPr>
                <w:rFonts w:hint="eastAsia"/>
                <w:b/>
                <w:bCs w:val="0"/>
                <w:color w:val="auto"/>
                <w:sz w:val="26"/>
                <w:highlight w:val="none"/>
                <w:lang w:eastAsia="zh-CN"/>
              </w:rPr>
            </w:pPr>
            <w:r>
              <w:rPr>
                <w:rFonts w:hint="eastAsia"/>
                <w:b/>
                <w:bCs w:val="0"/>
                <w:color w:val="auto"/>
                <w:sz w:val="26"/>
                <w:highlight w:val="none"/>
                <w:lang w:eastAsia="zh-CN"/>
              </w:rPr>
              <w:t>（4）餐厨垃圾</w:t>
            </w:r>
          </w:p>
          <w:p w14:paraId="11544D33">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员工食堂产生的餐厨垃圾产生量按0.1kg/人•d计，则餐厨垃圾产生量约为</w:t>
            </w:r>
            <w:r>
              <w:rPr>
                <w:rFonts w:hint="eastAsia"/>
                <w:b w:val="0"/>
                <w:bCs/>
                <w:color w:val="auto"/>
                <w:sz w:val="26"/>
                <w:highlight w:val="none"/>
                <w:lang w:val="en-US" w:eastAsia="zh-CN"/>
              </w:rPr>
              <w:t>4.25</w:t>
            </w:r>
            <w:r>
              <w:rPr>
                <w:rFonts w:hint="eastAsia"/>
                <w:b w:val="0"/>
                <w:bCs/>
                <w:color w:val="auto"/>
                <w:sz w:val="26"/>
                <w:highlight w:val="none"/>
                <w:lang w:eastAsia="zh-CN"/>
              </w:rPr>
              <w:t>t/a，餐厨垃圾按《重庆市餐厨垃圾管理办法》（重庆市人民政府令第226号）要求，交有城市生活垃圾经营许可证的单位处理。</w:t>
            </w:r>
          </w:p>
          <w:p w14:paraId="0FCFDEF9">
            <w:pPr>
              <w:pStyle w:val="71"/>
              <w:keepNext w:val="0"/>
              <w:keepLines w:val="0"/>
              <w:suppressLineNumbers w:val="0"/>
              <w:snapToGrid w:val="0"/>
              <w:spacing w:before="0" w:beforeAutospacing="0" w:after="0" w:afterAutospacing="0" w:line="400" w:lineRule="exact"/>
              <w:ind w:left="0" w:right="0" w:firstLine="522" w:firstLineChars="200"/>
              <w:jc w:val="both"/>
              <w:rPr>
                <w:rFonts w:hint="eastAsia"/>
                <w:b/>
                <w:bCs w:val="0"/>
                <w:color w:val="auto"/>
                <w:sz w:val="26"/>
                <w:highlight w:val="none"/>
                <w:lang w:eastAsia="zh-CN"/>
              </w:rPr>
            </w:pPr>
            <w:r>
              <w:rPr>
                <w:rFonts w:hint="eastAsia"/>
                <w:b/>
                <w:bCs w:val="0"/>
                <w:color w:val="auto"/>
                <w:sz w:val="26"/>
                <w:highlight w:val="none"/>
                <w:lang w:eastAsia="zh-CN"/>
              </w:rPr>
              <w:t>（5）生化池污泥</w:t>
            </w:r>
          </w:p>
          <w:p w14:paraId="0E455EEA">
            <w:pPr>
              <w:pStyle w:val="71"/>
              <w:keepNext w:val="0"/>
              <w:keepLines w:val="0"/>
              <w:suppressLineNumbers w:val="0"/>
              <w:snapToGrid w:val="0"/>
              <w:spacing w:before="0" w:beforeAutospacing="0" w:after="0" w:afterAutospacing="0" w:line="400" w:lineRule="exact"/>
              <w:ind w:left="0" w:right="0" w:firstLine="520" w:firstLineChars="200"/>
              <w:jc w:val="both"/>
              <w:rPr>
                <w:rFonts w:hint="eastAsia"/>
                <w:b w:val="0"/>
                <w:bCs/>
                <w:color w:val="auto"/>
                <w:sz w:val="26"/>
                <w:highlight w:val="none"/>
                <w:lang w:eastAsia="zh-CN"/>
              </w:rPr>
            </w:pPr>
            <w:r>
              <w:rPr>
                <w:rFonts w:hint="eastAsia"/>
                <w:b w:val="0"/>
                <w:bCs/>
                <w:color w:val="auto"/>
                <w:sz w:val="26"/>
                <w:highlight w:val="none"/>
                <w:lang w:eastAsia="zh-CN"/>
              </w:rPr>
              <w:t>生化池污泥（含水率80%）产生量约为</w:t>
            </w:r>
            <w:r>
              <w:rPr>
                <w:rFonts w:hint="eastAsia"/>
                <w:b w:val="0"/>
                <w:bCs/>
                <w:color w:val="auto"/>
                <w:sz w:val="26"/>
                <w:highlight w:val="none"/>
                <w:lang w:val="en-US" w:eastAsia="zh-CN"/>
              </w:rPr>
              <w:t>2.5</w:t>
            </w:r>
            <w:r>
              <w:rPr>
                <w:rFonts w:hint="eastAsia"/>
                <w:b w:val="0"/>
                <w:bCs/>
                <w:color w:val="auto"/>
                <w:sz w:val="26"/>
                <w:highlight w:val="none"/>
                <w:lang w:eastAsia="zh-CN"/>
              </w:rPr>
              <w:t>t/a，做好消毒处理，定期由环卫吸粪车定期清运。</w:t>
            </w:r>
          </w:p>
          <w:p w14:paraId="1DC87D51">
            <w:pPr>
              <w:pStyle w:val="74"/>
              <w:keepNext w:val="0"/>
              <w:keepLines w:val="0"/>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固体废物源强核算结果详见表4.2</w:t>
            </w:r>
            <w:r>
              <w:rPr>
                <w:rFonts w:hint="eastAsia"/>
                <w:color w:val="auto"/>
                <w:highlight w:val="none"/>
                <w:lang w:val="en-US" w:eastAsia="zh-CN"/>
              </w:rPr>
              <w:t>-14</w:t>
            </w:r>
            <w:r>
              <w:rPr>
                <w:rFonts w:hint="eastAsia"/>
                <w:color w:val="auto"/>
                <w:highlight w:val="none"/>
                <w:lang w:eastAsia="zh-CN"/>
              </w:rPr>
              <w:t>。</w:t>
            </w:r>
          </w:p>
          <w:p w14:paraId="1A65B41A">
            <w:pPr>
              <w:pStyle w:val="65"/>
              <w:keepNext w:val="0"/>
              <w:keepLines w:val="0"/>
              <w:suppressLineNumbers w:val="0"/>
              <w:spacing w:before="0" w:beforeAutospacing="0" w:after="0" w:afterAutospacing="0"/>
              <w:ind w:left="0" w:right="0"/>
              <w:rPr>
                <w:rFonts w:hint="default"/>
                <w:color w:val="auto"/>
                <w:highlight w:val="none"/>
              </w:rPr>
            </w:pPr>
          </w:p>
          <w:p w14:paraId="4A7055D3">
            <w:pPr>
              <w:pStyle w:val="22"/>
              <w:keepNext w:val="0"/>
              <w:keepLines w:val="0"/>
              <w:widowControl w:val="0"/>
              <w:suppressLineNumbers w:val="0"/>
              <w:adjustRightInd w:val="0"/>
              <w:snapToGrid w:val="0"/>
              <w:spacing w:before="72" w:beforeLines="30" w:beforeAutospacing="0" w:after="0" w:afterAutospacing="0"/>
              <w:ind w:left="0" w:right="0"/>
              <w:jc w:val="center"/>
              <w:rPr>
                <w:rFonts w:hint="default"/>
                <w:bCs/>
                <w:color w:val="auto"/>
                <w:sz w:val="26"/>
                <w:szCs w:val="26"/>
                <w:highlight w:val="none"/>
              </w:rPr>
            </w:pPr>
            <w:r>
              <w:rPr>
                <w:rFonts w:hint="eastAsia" w:ascii="Times New Roman" w:hAnsi="Times New Roman"/>
                <w:bCs/>
                <w:color w:val="auto"/>
                <w:kern w:val="2"/>
                <w:sz w:val="26"/>
                <w:szCs w:val="26"/>
                <w:highlight w:val="none"/>
                <w:lang w:bidi="ar"/>
              </w:rPr>
              <w:t>表</w:t>
            </w:r>
            <w:r>
              <w:rPr>
                <w:rFonts w:hint="default" w:ascii="Times New Roman" w:hAnsi="Times New Roman"/>
                <w:bCs/>
                <w:color w:val="auto"/>
                <w:kern w:val="2"/>
                <w:sz w:val="26"/>
                <w:szCs w:val="26"/>
                <w:highlight w:val="none"/>
                <w:lang w:bidi="ar"/>
              </w:rPr>
              <w:t>4.2-1</w:t>
            </w:r>
            <w:r>
              <w:rPr>
                <w:rFonts w:hint="eastAsia" w:ascii="Times New Roman" w:hAnsi="Times New Roman"/>
                <w:bCs/>
                <w:color w:val="auto"/>
                <w:kern w:val="2"/>
                <w:sz w:val="26"/>
                <w:szCs w:val="26"/>
                <w:highlight w:val="none"/>
                <w:lang w:val="en-US" w:eastAsia="zh-CN" w:bidi="ar"/>
              </w:rPr>
              <w:t xml:space="preserve">4  </w:t>
            </w:r>
            <w:r>
              <w:rPr>
                <w:rFonts w:hint="eastAsia" w:ascii="Times New Roman" w:hAnsi="Times New Roman" w:cs="宋体"/>
                <w:bCs/>
                <w:color w:val="auto"/>
                <w:sz w:val="26"/>
                <w:szCs w:val="26"/>
                <w:highlight w:val="none"/>
                <w:lang w:bidi="ar"/>
              </w:rPr>
              <w:t>各类固体废物产生量、削减量及排放量汇总</w:t>
            </w:r>
            <w:r>
              <w:rPr>
                <w:rFonts w:hint="default" w:ascii="Times New Roman" w:hAnsi="Times New Roman"/>
                <w:bCs/>
                <w:color w:val="auto"/>
                <w:sz w:val="26"/>
                <w:szCs w:val="26"/>
                <w:highlight w:val="none"/>
                <w:lang w:bidi="ar"/>
              </w:rPr>
              <w:t xml:space="preserve">   </w:t>
            </w:r>
            <w:r>
              <w:rPr>
                <w:rFonts w:hint="eastAsia" w:ascii="Times New Roman" w:hAnsi="Times New Roman" w:cs="宋体"/>
                <w:bCs/>
                <w:color w:val="auto"/>
                <w:sz w:val="26"/>
                <w:szCs w:val="26"/>
                <w:highlight w:val="none"/>
                <w:lang w:bidi="ar"/>
              </w:rPr>
              <w:t>单位：</w:t>
            </w:r>
            <w:r>
              <w:rPr>
                <w:rFonts w:hint="default" w:ascii="Times New Roman" w:hAnsi="Times New Roman"/>
                <w:bCs/>
                <w:color w:val="auto"/>
                <w:sz w:val="26"/>
                <w:szCs w:val="26"/>
                <w:highlight w:val="none"/>
                <w:lang w:bidi="ar"/>
              </w:rPr>
              <w:t>t/a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823"/>
              <w:gridCol w:w="1033"/>
              <w:gridCol w:w="823"/>
              <w:gridCol w:w="881"/>
              <w:gridCol w:w="921"/>
              <w:gridCol w:w="988"/>
              <w:gridCol w:w="1410"/>
            </w:tblGrid>
            <w:tr w14:paraId="0C3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152852C3">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产生环节</w:t>
                  </w:r>
                </w:p>
              </w:tc>
              <w:tc>
                <w:tcPr>
                  <w:tcW w:w="1823" w:type="dxa"/>
                  <w:vAlign w:val="center"/>
                </w:tcPr>
                <w:p w14:paraId="7207243E">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固废名称</w:t>
                  </w:r>
                </w:p>
              </w:tc>
              <w:tc>
                <w:tcPr>
                  <w:tcW w:w="1033" w:type="dxa"/>
                  <w:vAlign w:val="center"/>
                </w:tcPr>
                <w:p w14:paraId="47B45395">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固废属性</w:t>
                  </w:r>
                </w:p>
              </w:tc>
              <w:tc>
                <w:tcPr>
                  <w:tcW w:w="823" w:type="dxa"/>
                  <w:vAlign w:val="center"/>
                </w:tcPr>
                <w:p w14:paraId="6873E3B1">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主要有毒有害物质</w:t>
                  </w:r>
                </w:p>
              </w:tc>
              <w:tc>
                <w:tcPr>
                  <w:tcW w:w="881" w:type="dxa"/>
                  <w:vAlign w:val="center"/>
                </w:tcPr>
                <w:p w14:paraId="7929DC6F">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物理</w:t>
                  </w:r>
                </w:p>
                <w:p w14:paraId="5993FA63">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性状</w:t>
                  </w:r>
                </w:p>
              </w:tc>
              <w:tc>
                <w:tcPr>
                  <w:tcW w:w="921" w:type="dxa"/>
                  <w:vAlign w:val="center"/>
                </w:tcPr>
                <w:p w14:paraId="7C8CF262">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贮存方式</w:t>
                  </w:r>
                </w:p>
              </w:tc>
              <w:tc>
                <w:tcPr>
                  <w:tcW w:w="988" w:type="dxa"/>
                  <w:vAlign w:val="center"/>
                </w:tcPr>
                <w:p w14:paraId="1F7681E6">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处置/利用量t/a</w:t>
                  </w:r>
                </w:p>
              </w:tc>
              <w:tc>
                <w:tcPr>
                  <w:tcW w:w="1410" w:type="dxa"/>
                  <w:vAlign w:val="center"/>
                </w:tcPr>
                <w:p w14:paraId="20C4B0A7">
                  <w:pPr>
                    <w:keepNext w:val="0"/>
                    <w:keepLines w:val="0"/>
                    <w:suppressLineNumbers w:val="0"/>
                    <w:adjustRightInd w:val="0"/>
                    <w:snapToGrid w:val="0"/>
                    <w:spacing w:before="0" w:beforeAutospacing="0" w:after="0" w:afterAutospacing="0"/>
                    <w:ind w:left="0" w:right="0"/>
                    <w:jc w:val="center"/>
                    <w:rPr>
                      <w:rFonts w:hint="default"/>
                      <w:b/>
                      <w:bCs/>
                      <w:color w:val="auto"/>
                      <w:sz w:val="20"/>
                      <w:szCs w:val="20"/>
                      <w:highlight w:val="none"/>
                    </w:rPr>
                  </w:pPr>
                  <w:r>
                    <w:rPr>
                      <w:rFonts w:hint="default"/>
                      <w:b/>
                      <w:bCs/>
                      <w:color w:val="auto"/>
                      <w:sz w:val="20"/>
                      <w:szCs w:val="20"/>
                      <w:highlight w:val="none"/>
                    </w:rPr>
                    <w:t>最终去向</w:t>
                  </w:r>
                </w:p>
              </w:tc>
            </w:tr>
            <w:tr w14:paraId="6E2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1993375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冲裁</w:t>
                  </w:r>
                </w:p>
              </w:tc>
              <w:tc>
                <w:tcPr>
                  <w:tcW w:w="1823" w:type="dxa"/>
                  <w:vAlign w:val="center"/>
                </w:tcPr>
                <w:p w14:paraId="2487139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废边角料</w:t>
                  </w:r>
                </w:p>
                <w:p w14:paraId="6CC799A0">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eastAsia"/>
                      <w:bCs/>
                      <w:color w:val="auto"/>
                      <w:sz w:val="20"/>
                      <w:szCs w:val="20"/>
                      <w:highlight w:val="none"/>
                      <w:lang w:eastAsia="zh-CN"/>
                    </w:rPr>
                    <w:t>(900-002-S17)</w:t>
                  </w:r>
                </w:p>
              </w:tc>
              <w:tc>
                <w:tcPr>
                  <w:tcW w:w="1033" w:type="dxa"/>
                  <w:vMerge w:val="restart"/>
                  <w:vAlign w:val="center"/>
                </w:tcPr>
                <w:p w14:paraId="34495B75">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一般固废</w:t>
                  </w:r>
                  <w:r>
                    <w:rPr>
                      <w:rFonts w:hint="eastAsia"/>
                      <w:bCs/>
                      <w:color w:val="auto"/>
                      <w:sz w:val="20"/>
                      <w:szCs w:val="20"/>
                      <w:highlight w:val="none"/>
                      <w:lang w:eastAsia="zh-CN"/>
                    </w:rPr>
                    <w:t>（</w:t>
                  </w:r>
                  <w:r>
                    <w:rPr>
                      <w:rFonts w:hint="eastAsia"/>
                      <w:bCs/>
                      <w:color w:val="auto"/>
                      <w:sz w:val="20"/>
                      <w:szCs w:val="20"/>
                      <w:highlight w:val="none"/>
                      <w:lang w:val="en-US" w:eastAsia="zh-CN"/>
                    </w:rPr>
                    <w:t>SW17可再生类废物</w:t>
                  </w:r>
                  <w:r>
                    <w:rPr>
                      <w:rFonts w:hint="eastAsia"/>
                      <w:bCs/>
                      <w:color w:val="auto"/>
                      <w:sz w:val="20"/>
                      <w:szCs w:val="20"/>
                      <w:highlight w:val="none"/>
                      <w:lang w:eastAsia="zh-CN"/>
                    </w:rPr>
                    <w:t>）</w:t>
                  </w:r>
                </w:p>
              </w:tc>
              <w:tc>
                <w:tcPr>
                  <w:tcW w:w="823" w:type="dxa"/>
                  <w:vAlign w:val="center"/>
                </w:tcPr>
                <w:p w14:paraId="7EC9FF1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498CA5DB">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01EAA266">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袋装</w:t>
                  </w:r>
                </w:p>
              </w:tc>
              <w:tc>
                <w:tcPr>
                  <w:tcW w:w="988" w:type="dxa"/>
                  <w:vAlign w:val="center"/>
                </w:tcPr>
                <w:p w14:paraId="531CD15D">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121.502</w:t>
                  </w:r>
                </w:p>
              </w:tc>
              <w:tc>
                <w:tcPr>
                  <w:tcW w:w="1410" w:type="dxa"/>
                  <w:vMerge w:val="restart"/>
                  <w:vAlign w:val="center"/>
                </w:tcPr>
                <w:p w14:paraId="0AEB19A8">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返回生产线利用</w:t>
                  </w:r>
                </w:p>
              </w:tc>
            </w:tr>
            <w:tr w14:paraId="20A7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5D4C724A">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离合器摩擦片检验</w:t>
                  </w:r>
                </w:p>
              </w:tc>
              <w:tc>
                <w:tcPr>
                  <w:tcW w:w="1823" w:type="dxa"/>
                  <w:vAlign w:val="center"/>
                </w:tcPr>
                <w:p w14:paraId="20F479DA">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不合格品</w:t>
                  </w:r>
                </w:p>
                <w:p w14:paraId="20FEB65C">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eastAsia"/>
                      <w:bCs/>
                      <w:color w:val="auto"/>
                      <w:sz w:val="20"/>
                      <w:szCs w:val="20"/>
                      <w:highlight w:val="none"/>
                      <w:lang w:eastAsia="zh-CN"/>
                    </w:rPr>
                    <w:t>(900-002-S17、900-006-S17)</w:t>
                  </w:r>
                </w:p>
              </w:tc>
              <w:tc>
                <w:tcPr>
                  <w:tcW w:w="1033" w:type="dxa"/>
                  <w:vMerge w:val="continue"/>
                  <w:vAlign w:val="center"/>
                </w:tcPr>
                <w:p w14:paraId="5582B283">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823" w:type="dxa"/>
                  <w:vAlign w:val="center"/>
                </w:tcPr>
                <w:p w14:paraId="7DDF7A5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12A6E72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36EE057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袋装</w:t>
                  </w:r>
                </w:p>
              </w:tc>
              <w:tc>
                <w:tcPr>
                  <w:tcW w:w="988" w:type="dxa"/>
                  <w:vAlign w:val="center"/>
                </w:tcPr>
                <w:p w14:paraId="5B60D63F">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22.288</w:t>
                  </w:r>
                </w:p>
              </w:tc>
              <w:tc>
                <w:tcPr>
                  <w:tcW w:w="1410" w:type="dxa"/>
                  <w:vMerge w:val="continue"/>
                  <w:vAlign w:val="center"/>
                </w:tcPr>
                <w:p w14:paraId="402589A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495D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14:paraId="6606D0E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除尘器除尘</w:t>
                  </w:r>
                </w:p>
              </w:tc>
              <w:tc>
                <w:tcPr>
                  <w:tcW w:w="1823" w:type="dxa"/>
                  <w:vAlign w:val="center"/>
                </w:tcPr>
                <w:p w14:paraId="4762D5BC">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eastAsia"/>
                      <w:bCs/>
                      <w:color w:val="auto"/>
                      <w:sz w:val="20"/>
                      <w:szCs w:val="20"/>
                      <w:highlight w:val="none"/>
                      <w:lang w:val="en-US" w:eastAsia="zh-CN"/>
                    </w:rPr>
                    <w:t>橡胶</w:t>
                  </w:r>
                  <w:r>
                    <w:rPr>
                      <w:rFonts w:hint="default"/>
                      <w:bCs/>
                      <w:color w:val="auto"/>
                      <w:sz w:val="20"/>
                      <w:szCs w:val="20"/>
                      <w:highlight w:val="none"/>
                    </w:rPr>
                    <w:t>粉尘（900-006-S17）</w:t>
                  </w:r>
                </w:p>
              </w:tc>
              <w:tc>
                <w:tcPr>
                  <w:tcW w:w="1033" w:type="dxa"/>
                  <w:vMerge w:val="continue"/>
                  <w:vAlign w:val="center"/>
                </w:tcPr>
                <w:p w14:paraId="3F6B948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823" w:type="dxa"/>
                  <w:vAlign w:val="center"/>
                </w:tcPr>
                <w:p w14:paraId="5697AB0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7A76458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1AB12B6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袋装</w:t>
                  </w:r>
                </w:p>
              </w:tc>
              <w:tc>
                <w:tcPr>
                  <w:tcW w:w="988" w:type="dxa"/>
                  <w:vAlign w:val="center"/>
                </w:tcPr>
                <w:p w14:paraId="0D2E6E60">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0.040</w:t>
                  </w:r>
                </w:p>
              </w:tc>
              <w:tc>
                <w:tcPr>
                  <w:tcW w:w="1410" w:type="dxa"/>
                  <w:vMerge w:val="continue"/>
                  <w:vAlign w:val="center"/>
                </w:tcPr>
                <w:p w14:paraId="326C6C7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70C9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307B4DB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离合器总成检验</w:t>
                  </w:r>
                </w:p>
              </w:tc>
              <w:tc>
                <w:tcPr>
                  <w:tcW w:w="1823" w:type="dxa"/>
                  <w:vAlign w:val="center"/>
                </w:tcPr>
                <w:p w14:paraId="7D1E220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不合格品（900-002-S17、900-006-S17）</w:t>
                  </w:r>
                </w:p>
              </w:tc>
              <w:tc>
                <w:tcPr>
                  <w:tcW w:w="1033" w:type="dxa"/>
                  <w:vAlign w:val="center"/>
                </w:tcPr>
                <w:p w14:paraId="19AD1CC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一般固废</w:t>
                  </w:r>
                  <w:r>
                    <w:rPr>
                      <w:rFonts w:hint="eastAsia"/>
                      <w:bCs/>
                      <w:color w:val="auto"/>
                      <w:sz w:val="20"/>
                      <w:szCs w:val="20"/>
                      <w:highlight w:val="none"/>
                      <w:lang w:eastAsia="zh-CN"/>
                    </w:rPr>
                    <w:t>（</w:t>
                  </w:r>
                  <w:r>
                    <w:rPr>
                      <w:rFonts w:hint="eastAsia"/>
                      <w:bCs/>
                      <w:color w:val="auto"/>
                      <w:sz w:val="20"/>
                      <w:szCs w:val="20"/>
                      <w:highlight w:val="none"/>
                      <w:lang w:val="en-US" w:eastAsia="zh-CN"/>
                    </w:rPr>
                    <w:t>SW17可再生类废物</w:t>
                  </w:r>
                  <w:r>
                    <w:rPr>
                      <w:rFonts w:hint="eastAsia"/>
                      <w:bCs/>
                      <w:color w:val="auto"/>
                      <w:sz w:val="20"/>
                      <w:szCs w:val="20"/>
                      <w:highlight w:val="none"/>
                      <w:lang w:eastAsia="zh-CN"/>
                    </w:rPr>
                    <w:t>）</w:t>
                  </w:r>
                </w:p>
              </w:tc>
              <w:tc>
                <w:tcPr>
                  <w:tcW w:w="823" w:type="dxa"/>
                  <w:vAlign w:val="center"/>
                </w:tcPr>
                <w:p w14:paraId="6D6CD05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09F2187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375CBDA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袋装</w:t>
                  </w:r>
                </w:p>
              </w:tc>
              <w:tc>
                <w:tcPr>
                  <w:tcW w:w="988" w:type="dxa"/>
                  <w:vAlign w:val="center"/>
                </w:tcPr>
                <w:p w14:paraId="51455CA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1.0</w:t>
                  </w:r>
                </w:p>
              </w:tc>
              <w:tc>
                <w:tcPr>
                  <w:tcW w:w="1410" w:type="dxa"/>
                  <w:vMerge w:val="restart"/>
                  <w:vAlign w:val="center"/>
                </w:tcPr>
                <w:p w14:paraId="4172F0D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color w:val="auto"/>
                      <w:kern w:val="0"/>
                      <w:sz w:val="20"/>
                      <w:szCs w:val="20"/>
                      <w:highlight w:val="none"/>
                    </w:rPr>
                    <w:t>外售废品回收单位</w:t>
                  </w:r>
                </w:p>
              </w:tc>
            </w:tr>
            <w:tr w14:paraId="21EC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3DB4F23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拆卸、成品打包</w:t>
                  </w:r>
                </w:p>
              </w:tc>
              <w:tc>
                <w:tcPr>
                  <w:tcW w:w="1823" w:type="dxa"/>
                  <w:vAlign w:val="center"/>
                </w:tcPr>
                <w:p w14:paraId="5157D174">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废包装材料</w:t>
                  </w:r>
                  <w:r>
                    <w:rPr>
                      <w:rFonts w:hint="eastAsia"/>
                      <w:bCs/>
                      <w:color w:val="auto"/>
                      <w:sz w:val="20"/>
                      <w:szCs w:val="20"/>
                      <w:highlight w:val="none"/>
                      <w:lang w:eastAsia="zh-CN"/>
                    </w:rPr>
                    <w:t>（900-005-S17、900-003-S17）</w:t>
                  </w:r>
                </w:p>
              </w:tc>
              <w:tc>
                <w:tcPr>
                  <w:tcW w:w="1033" w:type="dxa"/>
                  <w:vAlign w:val="center"/>
                </w:tcPr>
                <w:p w14:paraId="543C216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一般固废</w:t>
                  </w:r>
                  <w:r>
                    <w:rPr>
                      <w:rFonts w:hint="eastAsia"/>
                      <w:bCs/>
                      <w:color w:val="auto"/>
                      <w:sz w:val="20"/>
                      <w:szCs w:val="20"/>
                      <w:highlight w:val="none"/>
                      <w:lang w:eastAsia="zh-CN"/>
                    </w:rPr>
                    <w:t>（</w:t>
                  </w:r>
                  <w:r>
                    <w:rPr>
                      <w:rFonts w:hint="eastAsia"/>
                      <w:bCs/>
                      <w:color w:val="auto"/>
                      <w:sz w:val="20"/>
                      <w:szCs w:val="20"/>
                      <w:highlight w:val="none"/>
                      <w:lang w:val="en-US" w:eastAsia="zh-CN"/>
                    </w:rPr>
                    <w:t>SW17可再生类废物</w:t>
                  </w:r>
                  <w:r>
                    <w:rPr>
                      <w:rFonts w:hint="eastAsia"/>
                      <w:bCs/>
                      <w:color w:val="auto"/>
                      <w:sz w:val="20"/>
                      <w:szCs w:val="20"/>
                      <w:highlight w:val="none"/>
                      <w:lang w:eastAsia="zh-CN"/>
                    </w:rPr>
                    <w:t>）</w:t>
                  </w:r>
                </w:p>
              </w:tc>
              <w:tc>
                <w:tcPr>
                  <w:tcW w:w="823" w:type="dxa"/>
                  <w:vAlign w:val="center"/>
                </w:tcPr>
                <w:p w14:paraId="1BA5622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45259C7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5187467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袋装</w:t>
                  </w:r>
                </w:p>
              </w:tc>
              <w:tc>
                <w:tcPr>
                  <w:tcW w:w="988" w:type="dxa"/>
                  <w:vAlign w:val="center"/>
                </w:tcPr>
                <w:p w14:paraId="70618005">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default"/>
                      <w:bCs/>
                      <w:color w:val="auto"/>
                      <w:sz w:val="20"/>
                      <w:szCs w:val="20"/>
                      <w:highlight w:val="none"/>
                    </w:rPr>
                    <w:t>0.</w:t>
                  </w:r>
                  <w:r>
                    <w:rPr>
                      <w:rFonts w:hint="eastAsia"/>
                      <w:bCs/>
                      <w:color w:val="auto"/>
                      <w:sz w:val="20"/>
                      <w:szCs w:val="20"/>
                      <w:highlight w:val="none"/>
                      <w:lang w:val="en-US" w:eastAsia="zh-CN"/>
                    </w:rPr>
                    <w:t>5</w:t>
                  </w:r>
                </w:p>
              </w:tc>
              <w:tc>
                <w:tcPr>
                  <w:tcW w:w="1410" w:type="dxa"/>
                  <w:vMerge w:val="continue"/>
                  <w:vAlign w:val="center"/>
                </w:tcPr>
                <w:p w14:paraId="5A1BFA4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6658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38BC121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抛丸</w:t>
                  </w:r>
                </w:p>
              </w:tc>
              <w:tc>
                <w:tcPr>
                  <w:tcW w:w="1823" w:type="dxa"/>
                  <w:vAlign w:val="center"/>
                </w:tcPr>
                <w:p w14:paraId="654D3F71">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废钢珠</w:t>
                  </w:r>
                  <w:r>
                    <w:rPr>
                      <w:rFonts w:hint="eastAsia"/>
                      <w:bCs/>
                      <w:color w:val="auto"/>
                      <w:sz w:val="20"/>
                      <w:szCs w:val="20"/>
                      <w:highlight w:val="none"/>
                      <w:lang w:eastAsia="zh-CN"/>
                    </w:rPr>
                    <w:t>（900-001-S17）</w:t>
                  </w:r>
                </w:p>
              </w:tc>
              <w:tc>
                <w:tcPr>
                  <w:tcW w:w="1033" w:type="dxa"/>
                  <w:vAlign w:val="center"/>
                </w:tcPr>
                <w:p w14:paraId="225E711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一般固废</w:t>
                  </w:r>
                  <w:r>
                    <w:rPr>
                      <w:rFonts w:hint="eastAsia"/>
                      <w:bCs/>
                      <w:color w:val="auto"/>
                      <w:sz w:val="20"/>
                      <w:szCs w:val="20"/>
                      <w:highlight w:val="none"/>
                      <w:lang w:eastAsia="zh-CN"/>
                    </w:rPr>
                    <w:t>（</w:t>
                  </w:r>
                  <w:r>
                    <w:rPr>
                      <w:rFonts w:hint="eastAsia"/>
                      <w:bCs/>
                      <w:color w:val="auto"/>
                      <w:sz w:val="20"/>
                      <w:szCs w:val="20"/>
                      <w:highlight w:val="none"/>
                      <w:lang w:val="en-US" w:eastAsia="zh-CN"/>
                    </w:rPr>
                    <w:t>SW17可再生类废物</w:t>
                  </w:r>
                  <w:r>
                    <w:rPr>
                      <w:rFonts w:hint="eastAsia"/>
                      <w:bCs/>
                      <w:color w:val="auto"/>
                      <w:sz w:val="20"/>
                      <w:szCs w:val="20"/>
                      <w:highlight w:val="none"/>
                      <w:lang w:eastAsia="zh-CN"/>
                    </w:rPr>
                    <w:t>）</w:t>
                  </w:r>
                </w:p>
              </w:tc>
              <w:tc>
                <w:tcPr>
                  <w:tcW w:w="823" w:type="dxa"/>
                  <w:vAlign w:val="center"/>
                </w:tcPr>
                <w:p w14:paraId="296A497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19ADC12A">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36500013">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袋装</w:t>
                  </w:r>
                </w:p>
              </w:tc>
              <w:tc>
                <w:tcPr>
                  <w:tcW w:w="988" w:type="dxa"/>
                  <w:vAlign w:val="center"/>
                </w:tcPr>
                <w:p w14:paraId="4C0DF5C5">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default"/>
                      <w:bCs/>
                      <w:color w:val="auto"/>
                      <w:sz w:val="20"/>
                      <w:szCs w:val="20"/>
                      <w:highlight w:val="none"/>
                    </w:rPr>
                    <w:t>2.</w:t>
                  </w:r>
                  <w:r>
                    <w:rPr>
                      <w:rFonts w:hint="eastAsia"/>
                      <w:bCs/>
                      <w:color w:val="auto"/>
                      <w:sz w:val="20"/>
                      <w:szCs w:val="20"/>
                      <w:highlight w:val="none"/>
                      <w:lang w:val="en-US" w:eastAsia="zh-CN"/>
                    </w:rPr>
                    <w:t>5</w:t>
                  </w:r>
                </w:p>
              </w:tc>
              <w:tc>
                <w:tcPr>
                  <w:tcW w:w="1410" w:type="dxa"/>
                  <w:vMerge w:val="continue"/>
                  <w:vAlign w:val="center"/>
                </w:tcPr>
                <w:p w14:paraId="64845E6A">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100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Align w:val="center"/>
                </w:tcPr>
                <w:p w14:paraId="045DC097">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生产废水预处理-消毒</w:t>
                  </w:r>
                </w:p>
              </w:tc>
              <w:tc>
                <w:tcPr>
                  <w:tcW w:w="1823" w:type="dxa"/>
                  <w:vAlign w:val="center"/>
                </w:tcPr>
                <w:p w14:paraId="35741C15">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eastAsia"/>
                      <w:bCs/>
                      <w:color w:val="auto"/>
                      <w:sz w:val="20"/>
                      <w:szCs w:val="20"/>
                      <w:highlight w:val="none"/>
                      <w:lang w:val="en-US" w:eastAsia="zh-CN"/>
                    </w:rPr>
                    <w:t>废紫外灯管（HW29、900-023-29）</w:t>
                  </w:r>
                </w:p>
              </w:tc>
              <w:tc>
                <w:tcPr>
                  <w:tcW w:w="1033" w:type="dxa"/>
                  <w:shd w:val="clear" w:color="auto" w:fill="auto"/>
                  <w:vAlign w:val="center"/>
                </w:tcPr>
                <w:p w14:paraId="37096471">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0"/>
                      <w:szCs w:val="20"/>
                      <w:highlight w:val="none"/>
                      <w:lang w:val="en-US" w:eastAsia="zh-CN" w:bidi="ar-SA"/>
                    </w:rPr>
                  </w:pPr>
                  <w:r>
                    <w:rPr>
                      <w:rFonts w:hint="default"/>
                      <w:bCs/>
                      <w:color w:val="auto"/>
                      <w:sz w:val="20"/>
                      <w:szCs w:val="20"/>
                      <w:highlight w:val="none"/>
                    </w:rPr>
                    <w:t>危险废物</w:t>
                  </w:r>
                </w:p>
              </w:tc>
              <w:tc>
                <w:tcPr>
                  <w:tcW w:w="823" w:type="dxa"/>
                  <w:vAlign w:val="center"/>
                </w:tcPr>
                <w:p w14:paraId="4EBCD741">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汞</w:t>
                  </w:r>
                </w:p>
              </w:tc>
              <w:tc>
                <w:tcPr>
                  <w:tcW w:w="881" w:type="dxa"/>
                  <w:vAlign w:val="center"/>
                </w:tcPr>
                <w:p w14:paraId="26B68D8C">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default"/>
                      <w:bCs/>
                      <w:color w:val="auto"/>
                      <w:sz w:val="20"/>
                      <w:szCs w:val="20"/>
                      <w:highlight w:val="none"/>
                    </w:rPr>
                    <w:t>固态</w:t>
                  </w:r>
                </w:p>
              </w:tc>
              <w:tc>
                <w:tcPr>
                  <w:tcW w:w="921" w:type="dxa"/>
                  <w:vAlign w:val="center"/>
                </w:tcPr>
                <w:p w14:paraId="2826418E">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专用容器</w:t>
                  </w:r>
                </w:p>
              </w:tc>
              <w:tc>
                <w:tcPr>
                  <w:tcW w:w="988" w:type="dxa"/>
                  <w:vAlign w:val="center"/>
                </w:tcPr>
                <w:p w14:paraId="6278CF0C">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lang w:val="en-US" w:eastAsia="zh-CN"/>
                    </w:rPr>
                  </w:pPr>
                  <w:r>
                    <w:rPr>
                      <w:rFonts w:hint="eastAsia"/>
                      <w:bCs/>
                      <w:color w:val="auto"/>
                      <w:sz w:val="20"/>
                      <w:szCs w:val="20"/>
                      <w:highlight w:val="none"/>
                      <w:lang w:val="en-US" w:eastAsia="zh-CN"/>
                    </w:rPr>
                    <w:t>0.01</w:t>
                  </w:r>
                </w:p>
              </w:tc>
              <w:tc>
                <w:tcPr>
                  <w:tcW w:w="1410" w:type="dxa"/>
                  <w:vAlign w:val="center"/>
                </w:tcPr>
                <w:p w14:paraId="1B82977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危废处置单位</w:t>
                  </w:r>
                </w:p>
              </w:tc>
            </w:tr>
            <w:tr w14:paraId="384D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Merge w:val="restart"/>
                  <w:vAlign w:val="center"/>
                </w:tcPr>
                <w:p w14:paraId="1784795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废气处理</w:t>
                  </w:r>
                </w:p>
              </w:tc>
              <w:tc>
                <w:tcPr>
                  <w:tcW w:w="1823" w:type="dxa"/>
                  <w:vAlign w:val="center"/>
                </w:tcPr>
                <w:p w14:paraId="603AEEC9">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default"/>
                      <w:bCs/>
                      <w:color w:val="auto"/>
                      <w:sz w:val="20"/>
                      <w:szCs w:val="20"/>
                      <w:highlight w:val="none"/>
                    </w:rPr>
                    <w:t>废过滤棉</w:t>
                  </w:r>
                  <w:r>
                    <w:rPr>
                      <w:rFonts w:hint="eastAsia"/>
                      <w:bCs/>
                      <w:color w:val="auto"/>
                      <w:sz w:val="20"/>
                      <w:szCs w:val="20"/>
                      <w:highlight w:val="none"/>
                      <w:lang w:eastAsia="zh-CN"/>
                    </w:rPr>
                    <w:t>、</w:t>
                  </w:r>
                  <w:r>
                    <w:rPr>
                      <w:rFonts w:hint="eastAsia"/>
                      <w:bCs/>
                      <w:color w:val="auto"/>
                      <w:sz w:val="20"/>
                      <w:szCs w:val="20"/>
                      <w:highlight w:val="none"/>
                      <w:lang w:val="en-US" w:eastAsia="zh-CN"/>
                    </w:rPr>
                    <w:t>过滤材料（HW49、900-041-49）</w:t>
                  </w:r>
                </w:p>
              </w:tc>
              <w:tc>
                <w:tcPr>
                  <w:tcW w:w="1033" w:type="dxa"/>
                  <w:vMerge w:val="restart"/>
                  <w:vAlign w:val="center"/>
                </w:tcPr>
                <w:p w14:paraId="7D1943B4">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危险废物</w:t>
                  </w:r>
                </w:p>
              </w:tc>
              <w:tc>
                <w:tcPr>
                  <w:tcW w:w="823" w:type="dxa"/>
                  <w:vAlign w:val="center"/>
                </w:tcPr>
                <w:p w14:paraId="1901F283">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有机物</w:t>
                  </w:r>
                </w:p>
              </w:tc>
              <w:tc>
                <w:tcPr>
                  <w:tcW w:w="881" w:type="dxa"/>
                  <w:vAlign w:val="center"/>
                </w:tcPr>
                <w:p w14:paraId="7F5D368C">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58B5E85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2E1336BB">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0.1</w:t>
                  </w:r>
                </w:p>
              </w:tc>
              <w:tc>
                <w:tcPr>
                  <w:tcW w:w="1410" w:type="dxa"/>
                  <w:vMerge w:val="restart"/>
                  <w:vAlign w:val="center"/>
                </w:tcPr>
                <w:p w14:paraId="197A1D5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危废处置单位</w:t>
                  </w:r>
                </w:p>
              </w:tc>
            </w:tr>
            <w:tr w14:paraId="44E0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Merge w:val="continue"/>
                  <w:vAlign w:val="center"/>
                </w:tcPr>
                <w:p w14:paraId="45A64063">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1823" w:type="dxa"/>
                  <w:vAlign w:val="center"/>
                </w:tcPr>
                <w:p w14:paraId="03F641D9">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废活性炭</w:t>
                  </w:r>
                  <w:r>
                    <w:rPr>
                      <w:rFonts w:hint="eastAsia"/>
                      <w:bCs/>
                      <w:color w:val="auto"/>
                      <w:sz w:val="20"/>
                      <w:szCs w:val="20"/>
                      <w:highlight w:val="none"/>
                      <w:lang w:eastAsia="zh-CN"/>
                    </w:rPr>
                    <w:t>（HW49、900-039-49）</w:t>
                  </w:r>
                </w:p>
              </w:tc>
              <w:tc>
                <w:tcPr>
                  <w:tcW w:w="1033" w:type="dxa"/>
                  <w:vMerge w:val="continue"/>
                  <w:vAlign w:val="center"/>
                </w:tcPr>
                <w:p w14:paraId="363C16B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823" w:type="dxa"/>
                  <w:vAlign w:val="center"/>
                </w:tcPr>
                <w:p w14:paraId="6342B5D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有机物</w:t>
                  </w:r>
                </w:p>
              </w:tc>
              <w:tc>
                <w:tcPr>
                  <w:tcW w:w="881" w:type="dxa"/>
                  <w:vAlign w:val="center"/>
                </w:tcPr>
                <w:p w14:paraId="727D306C">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38583F6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549017D6">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2.28</w:t>
                  </w:r>
                </w:p>
              </w:tc>
              <w:tc>
                <w:tcPr>
                  <w:tcW w:w="1410" w:type="dxa"/>
                  <w:vMerge w:val="continue"/>
                  <w:vAlign w:val="center"/>
                </w:tcPr>
                <w:p w14:paraId="4116109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4FAF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Merge w:val="restart"/>
                  <w:vAlign w:val="center"/>
                </w:tcPr>
                <w:p w14:paraId="3B8160A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color w:val="auto"/>
                      <w:sz w:val="20"/>
                      <w:szCs w:val="20"/>
                      <w:highlight w:val="none"/>
                    </w:rPr>
                    <w:t>设备维护</w:t>
                  </w:r>
                </w:p>
              </w:tc>
              <w:tc>
                <w:tcPr>
                  <w:tcW w:w="1823" w:type="dxa"/>
                  <w:vAlign w:val="center"/>
                </w:tcPr>
                <w:p w14:paraId="278F8132">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color w:val="auto"/>
                      <w:sz w:val="20"/>
                      <w:szCs w:val="20"/>
                      <w:highlight w:val="none"/>
                    </w:rPr>
                    <w:t>废液压油</w:t>
                  </w:r>
                  <w:r>
                    <w:rPr>
                      <w:rFonts w:hint="eastAsia"/>
                      <w:color w:val="auto"/>
                      <w:sz w:val="20"/>
                      <w:szCs w:val="20"/>
                      <w:highlight w:val="none"/>
                      <w:lang w:eastAsia="zh-CN"/>
                    </w:rPr>
                    <w:t>（HW08、900-218-08）</w:t>
                  </w:r>
                </w:p>
              </w:tc>
              <w:tc>
                <w:tcPr>
                  <w:tcW w:w="1033" w:type="dxa"/>
                  <w:vMerge w:val="restart"/>
                  <w:vAlign w:val="center"/>
                </w:tcPr>
                <w:p w14:paraId="0AE1AEFB">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危险废物</w:t>
                  </w:r>
                </w:p>
              </w:tc>
              <w:tc>
                <w:tcPr>
                  <w:tcW w:w="823" w:type="dxa"/>
                  <w:vAlign w:val="center"/>
                </w:tcPr>
                <w:p w14:paraId="1B2BD09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油类</w:t>
                  </w:r>
                </w:p>
              </w:tc>
              <w:tc>
                <w:tcPr>
                  <w:tcW w:w="881" w:type="dxa"/>
                  <w:vAlign w:val="center"/>
                </w:tcPr>
                <w:p w14:paraId="09C3D05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液体</w:t>
                  </w:r>
                </w:p>
              </w:tc>
              <w:tc>
                <w:tcPr>
                  <w:tcW w:w="921" w:type="dxa"/>
                  <w:vAlign w:val="center"/>
                </w:tcPr>
                <w:p w14:paraId="25F6BF3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273A2B7A">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default"/>
                      <w:bCs/>
                      <w:color w:val="auto"/>
                      <w:sz w:val="20"/>
                      <w:szCs w:val="20"/>
                      <w:highlight w:val="none"/>
                    </w:rPr>
                    <w:t>0.</w:t>
                  </w:r>
                  <w:r>
                    <w:rPr>
                      <w:rFonts w:hint="eastAsia"/>
                      <w:bCs/>
                      <w:color w:val="auto"/>
                      <w:sz w:val="20"/>
                      <w:szCs w:val="20"/>
                      <w:highlight w:val="none"/>
                      <w:lang w:val="en-US" w:eastAsia="zh-CN"/>
                    </w:rPr>
                    <w:t>7</w:t>
                  </w:r>
                </w:p>
              </w:tc>
              <w:tc>
                <w:tcPr>
                  <w:tcW w:w="1410" w:type="dxa"/>
                  <w:vMerge w:val="restart"/>
                  <w:vAlign w:val="center"/>
                </w:tcPr>
                <w:p w14:paraId="0E21D3E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危废处置单位</w:t>
                  </w:r>
                </w:p>
              </w:tc>
            </w:tr>
            <w:tr w14:paraId="4EE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vMerge w:val="continue"/>
                  <w:vAlign w:val="center"/>
                </w:tcPr>
                <w:p w14:paraId="68BD74C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1823" w:type="dxa"/>
                  <w:vAlign w:val="center"/>
                </w:tcPr>
                <w:p w14:paraId="5EEB44F7">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废机油</w:t>
                  </w:r>
                  <w:r>
                    <w:rPr>
                      <w:rFonts w:hint="eastAsia"/>
                      <w:bCs/>
                      <w:color w:val="auto"/>
                      <w:sz w:val="20"/>
                      <w:szCs w:val="20"/>
                      <w:highlight w:val="none"/>
                      <w:lang w:eastAsia="zh-CN"/>
                    </w:rPr>
                    <w:t>（HW08、900-217-08）</w:t>
                  </w:r>
                </w:p>
              </w:tc>
              <w:tc>
                <w:tcPr>
                  <w:tcW w:w="1033" w:type="dxa"/>
                  <w:vMerge w:val="continue"/>
                  <w:vAlign w:val="center"/>
                </w:tcPr>
                <w:p w14:paraId="4645DCE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823" w:type="dxa"/>
                  <w:vAlign w:val="center"/>
                </w:tcPr>
                <w:p w14:paraId="5066919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油类</w:t>
                  </w:r>
                </w:p>
              </w:tc>
              <w:tc>
                <w:tcPr>
                  <w:tcW w:w="881" w:type="dxa"/>
                  <w:vAlign w:val="center"/>
                </w:tcPr>
                <w:p w14:paraId="4C17A4C3">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液体</w:t>
                  </w:r>
                </w:p>
              </w:tc>
              <w:tc>
                <w:tcPr>
                  <w:tcW w:w="921" w:type="dxa"/>
                  <w:vAlign w:val="center"/>
                </w:tcPr>
                <w:p w14:paraId="4C4B15C4">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210EF73B">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default"/>
                      <w:bCs/>
                      <w:color w:val="auto"/>
                      <w:sz w:val="20"/>
                      <w:szCs w:val="20"/>
                      <w:highlight w:val="none"/>
                    </w:rPr>
                    <w:t>0.</w:t>
                  </w:r>
                  <w:r>
                    <w:rPr>
                      <w:rFonts w:hint="eastAsia"/>
                      <w:bCs/>
                      <w:color w:val="auto"/>
                      <w:sz w:val="20"/>
                      <w:szCs w:val="20"/>
                      <w:highlight w:val="none"/>
                      <w:lang w:val="en-US" w:eastAsia="zh-CN"/>
                    </w:rPr>
                    <w:t>7</w:t>
                  </w:r>
                </w:p>
              </w:tc>
              <w:tc>
                <w:tcPr>
                  <w:tcW w:w="1410" w:type="dxa"/>
                  <w:vMerge w:val="continue"/>
                  <w:vAlign w:val="center"/>
                </w:tcPr>
                <w:p w14:paraId="64BCA7F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721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64" w:type="dxa"/>
                  <w:vMerge w:val="continue"/>
                  <w:vAlign w:val="center"/>
                </w:tcPr>
                <w:p w14:paraId="1EEA8C0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1823" w:type="dxa"/>
                  <w:vAlign w:val="center"/>
                </w:tcPr>
                <w:p w14:paraId="6C5ABA47">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废弃含油抹布、劳保用品</w:t>
                  </w:r>
                  <w:r>
                    <w:rPr>
                      <w:rFonts w:hint="eastAsia"/>
                      <w:bCs/>
                      <w:color w:val="auto"/>
                      <w:sz w:val="20"/>
                      <w:szCs w:val="20"/>
                      <w:highlight w:val="none"/>
                      <w:lang w:eastAsia="zh-CN"/>
                    </w:rPr>
                    <w:t>（HW49、900-041-49）</w:t>
                  </w:r>
                </w:p>
              </w:tc>
              <w:tc>
                <w:tcPr>
                  <w:tcW w:w="1033" w:type="dxa"/>
                  <w:vMerge w:val="continue"/>
                  <w:vAlign w:val="center"/>
                </w:tcPr>
                <w:p w14:paraId="180D7E7C">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c>
                <w:tcPr>
                  <w:tcW w:w="823" w:type="dxa"/>
                  <w:vAlign w:val="center"/>
                </w:tcPr>
                <w:p w14:paraId="24A204B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油类</w:t>
                  </w:r>
                </w:p>
              </w:tc>
              <w:tc>
                <w:tcPr>
                  <w:tcW w:w="881" w:type="dxa"/>
                  <w:vAlign w:val="center"/>
                </w:tcPr>
                <w:p w14:paraId="335445B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2CD9D36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78593A09">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0.05</w:t>
                  </w:r>
                </w:p>
              </w:tc>
              <w:tc>
                <w:tcPr>
                  <w:tcW w:w="1410" w:type="dxa"/>
                  <w:vMerge w:val="continue"/>
                  <w:vAlign w:val="center"/>
                </w:tcPr>
                <w:p w14:paraId="4562094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75A9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64" w:type="dxa"/>
                  <w:vAlign w:val="center"/>
                </w:tcPr>
                <w:p w14:paraId="0C03830B">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lang w:val="en-US" w:eastAsia="zh-CN"/>
                    </w:rPr>
                  </w:pPr>
                  <w:r>
                    <w:rPr>
                      <w:rFonts w:hint="eastAsia"/>
                      <w:bCs/>
                      <w:color w:val="auto"/>
                      <w:sz w:val="20"/>
                      <w:szCs w:val="20"/>
                      <w:highlight w:val="none"/>
                      <w:lang w:val="en-US" w:eastAsia="zh-CN"/>
                    </w:rPr>
                    <w:t>除渣</w:t>
                  </w:r>
                </w:p>
              </w:tc>
              <w:tc>
                <w:tcPr>
                  <w:tcW w:w="1823" w:type="dxa"/>
                  <w:vAlign w:val="center"/>
                </w:tcPr>
                <w:p w14:paraId="4035F32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lang w:val="en-US" w:eastAsia="zh-CN"/>
                    </w:rPr>
                  </w:pPr>
                  <w:r>
                    <w:rPr>
                      <w:rFonts w:hint="eastAsia"/>
                      <w:bCs/>
                      <w:color w:val="auto"/>
                      <w:sz w:val="20"/>
                      <w:szCs w:val="20"/>
                      <w:highlight w:val="none"/>
                      <w:lang w:val="en-US" w:eastAsia="zh-CN"/>
                    </w:rPr>
                    <w:t>铝灰渣（HW48 321-034-48）</w:t>
                  </w:r>
                </w:p>
              </w:tc>
              <w:tc>
                <w:tcPr>
                  <w:tcW w:w="1033" w:type="dxa"/>
                  <w:vAlign w:val="center"/>
                </w:tcPr>
                <w:p w14:paraId="4AC83EE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lang w:val="en-US" w:eastAsia="zh-CN"/>
                    </w:rPr>
                  </w:pPr>
                  <w:r>
                    <w:rPr>
                      <w:rFonts w:hint="eastAsia"/>
                      <w:bCs/>
                      <w:color w:val="auto"/>
                      <w:sz w:val="20"/>
                      <w:szCs w:val="20"/>
                      <w:highlight w:val="none"/>
                      <w:lang w:val="en-US" w:eastAsia="zh-CN"/>
                    </w:rPr>
                    <w:t>危险废物</w:t>
                  </w:r>
                </w:p>
              </w:tc>
              <w:tc>
                <w:tcPr>
                  <w:tcW w:w="823" w:type="dxa"/>
                  <w:vAlign w:val="center"/>
                </w:tcPr>
                <w:p w14:paraId="4059B728">
                  <w:pPr>
                    <w:keepNext w:val="0"/>
                    <w:keepLines w:val="0"/>
                    <w:suppressLineNumbers w:val="0"/>
                    <w:adjustRightInd w:val="0"/>
                    <w:snapToGrid w:val="0"/>
                    <w:spacing w:before="0" w:beforeAutospacing="0" w:after="0" w:afterAutospacing="0"/>
                    <w:ind w:left="0" w:leftChars="0" w:right="0" w:rightChars="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铝灰渣</w:t>
                  </w:r>
                </w:p>
              </w:tc>
              <w:tc>
                <w:tcPr>
                  <w:tcW w:w="881" w:type="dxa"/>
                  <w:vAlign w:val="center"/>
                </w:tcPr>
                <w:p w14:paraId="4DC9EA45">
                  <w:pPr>
                    <w:keepNext w:val="0"/>
                    <w:keepLines w:val="0"/>
                    <w:suppressLineNumbers w:val="0"/>
                    <w:adjustRightInd w:val="0"/>
                    <w:snapToGrid w:val="0"/>
                    <w:spacing w:before="0" w:beforeAutospacing="0" w:after="0" w:afterAutospacing="0"/>
                    <w:ind w:left="0" w:leftChars="0" w:right="0" w:rightChars="0"/>
                    <w:jc w:val="center"/>
                    <w:rPr>
                      <w:rFonts w:hint="eastAsia" w:eastAsia="宋体"/>
                      <w:bCs/>
                      <w:color w:val="auto"/>
                      <w:sz w:val="20"/>
                      <w:szCs w:val="20"/>
                      <w:highlight w:val="none"/>
                      <w:lang w:val="en-US" w:eastAsia="zh-CN"/>
                    </w:rPr>
                  </w:pPr>
                  <w:r>
                    <w:rPr>
                      <w:rFonts w:hint="eastAsia"/>
                      <w:bCs/>
                      <w:color w:val="auto"/>
                      <w:sz w:val="20"/>
                      <w:szCs w:val="20"/>
                      <w:highlight w:val="none"/>
                      <w:lang w:val="en-US" w:eastAsia="zh-CN"/>
                    </w:rPr>
                    <w:t>固体</w:t>
                  </w:r>
                </w:p>
              </w:tc>
              <w:tc>
                <w:tcPr>
                  <w:tcW w:w="921" w:type="dxa"/>
                  <w:vAlign w:val="center"/>
                </w:tcPr>
                <w:p w14:paraId="6CD31B20">
                  <w:pPr>
                    <w:keepNext w:val="0"/>
                    <w:keepLines w:val="0"/>
                    <w:suppressLineNumbers w:val="0"/>
                    <w:adjustRightInd w:val="0"/>
                    <w:snapToGrid w:val="0"/>
                    <w:spacing w:before="0" w:beforeAutospacing="0" w:after="0" w:afterAutospacing="0"/>
                    <w:ind w:left="0" w:leftChars="0" w:right="0" w:rightChars="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专用容器</w:t>
                  </w:r>
                </w:p>
              </w:tc>
              <w:tc>
                <w:tcPr>
                  <w:tcW w:w="988" w:type="dxa"/>
                  <w:vAlign w:val="center"/>
                </w:tcPr>
                <w:p w14:paraId="46A593E2">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color w:val="auto"/>
                      <w:sz w:val="20"/>
                      <w:szCs w:val="20"/>
                      <w:lang w:val="en-US" w:eastAsia="zh-CN"/>
                    </w:rPr>
                    <w:t>40.541</w:t>
                  </w:r>
                </w:p>
              </w:tc>
              <w:tc>
                <w:tcPr>
                  <w:tcW w:w="1410" w:type="dxa"/>
                  <w:vMerge w:val="continue"/>
                  <w:vAlign w:val="center"/>
                </w:tcPr>
                <w:p w14:paraId="12D63C13">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1D929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464" w:type="dxa"/>
                  <w:vAlign w:val="center"/>
                </w:tcPr>
                <w:p w14:paraId="1439083B">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0"/>
                      <w:szCs w:val="20"/>
                      <w:highlight w:val="none"/>
                      <w:lang w:val="en-US" w:eastAsia="zh-CN"/>
                    </w:rPr>
                  </w:pPr>
                  <w:r>
                    <w:rPr>
                      <w:rFonts w:hint="eastAsia"/>
                      <w:bCs/>
                      <w:color w:val="auto"/>
                      <w:sz w:val="20"/>
                      <w:szCs w:val="20"/>
                      <w:highlight w:val="none"/>
                      <w:lang w:val="en-US" w:eastAsia="zh-CN"/>
                    </w:rPr>
                    <w:t>除尘器除尘</w:t>
                  </w:r>
                </w:p>
              </w:tc>
              <w:tc>
                <w:tcPr>
                  <w:tcW w:w="1823" w:type="dxa"/>
                  <w:vAlign w:val="center"/>
                </w:tcPr>
                <w:p w14:paraId="01239DE9">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0"/>
                      <w:szCs w:val="20"/>
                      <w:highlight w:val="none"/>
                      <w:lang w:val="en-US" w:eastAsia="zh-CN"/>
                    </w:rPr>
                  </w:pPr>
                  <w:r>
                    <w:rPr>
                      <w:rFonts w:hint="eastAsia" w:eastAsia="宋体"/>
                      <w:bCs/>
                      <w:color w:val="auto"/>
                      <w:sz w:val="20"/>
                      <w:szCs w:val="20"/>
                      <w:highlight w:val="none"/>
                      <w:lang w:val="en-US" w:eastAsia="zh-CN"/>
                    </w:rPr>
                    <w:t>热熔、抛丸、磨加工等工序收集的除尘灰（铝灰）</w:t>
                  </w:r>
                </w:p>
              </w:tc>
              <w:tc>
                <w:tcPr>
                  <w:tcW w:w="1033" w:type="dxa"/>
                  <w:vAlign w:val="center"/>
                </w:tcPr>
                <w:p w14:paraId="1733A2C2">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0"/>
                      <w:szCs w:val="20"/>
                      <w:highlight w:val="none"/>
                      <w:lang w:val="en-US" w:eastAsia="zh-CN"/>
                    </w:rPr>
                  </w:pPr>
                  <w:r>
                    <w:rPr>
                      <w:rFonts w:hint="default"/>
                      <w:bCs/>
                      <w:color w:val="auto"/>
                      <w:sz w:val="20"/>
                      <w:szCs w:val="20"/>
                      <w:highlight w:val="none"/>
                    </w:rPr>
                    <w:t>危险废物</w:t>
                  </w:r>
                </w:p>
              </w:tc>
              <w:tc>
                <w:tcPr>
                  <w:tcW w:w="823" w:type="dxa"/>
                  <w:vAlign w:val="center"/>
                </w:tcPr>
                <w:p w14:paraId="1F677BCF">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0"/>
                      <w:szCs w:val="20"/>
                      <w:highlight w:val="none"/>
                      <w:lang w:val="en-US" w:eastAsia="zh-CN"/>
                    </w:rPr>
                  </w:pPr>
                  <w:r>
                    <w:rPr>
                      <w:rFonts w:hint="eastAsia"/>
                      <w:bCs/>
                      <w:color w:val="auto"/>
                      <w:sz w:val="20"/>
                      <w:szCs w:val="20"/>
                      <w:highlight w:val="none"/>
                      <w:lang w:val="en-US" w:eastAsia="zh-CN"/>
                    </w:rPr>
                    <w:t>铝灰</w:t>
                  </w:r>
                </w:p>
              </w:tc>
              <w:tc>
                <w:tcPr>
                  <w:tcW w:w="881" w:type="dxa"/>
                  <w:vAlign w:val="center"/>
                </w:tcPr>
                <w:p w14:paraId="51837C19">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0"/>
                      <w:szCs w:val="20"/>
                      <w:highlight w:val="none"/>
                      <w:lang w:val="en-US" w:eastAsia="zh-CN"/>
                    </w:rPr>
                  </w:pPr>
                  <w:r>
                    <w:rPr>
                      <w:rFonts w:hint="eastAsia"/>
                      <w:bCs/>
                      <w:color w:val="auto"/>
                      <w:sz w:val="20"/>
                      <w:szCs w:val="20"/>
                      <w:highlight w:val="none"/>
                      <w:lang w:val="en-US" w:eastAsia="zh-CN"/>
                    </w:rPr>
                    <w:t>固态</w:t>
                  </w:r>
                </w:p>
              </w:tc>
              <w:tc>
                <w:tcPr>
                  <w:tcW w:w="921" w:type="dxa"/>
                  <w:vAlign w:val="center"/>
                </w:tcPr>
                <w:p w14:paraId="13DAFE4E">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z w:val="20"/>
                      <w:szCs w:val="20"/>
                      <w:highlight w:val="none"/>
                    </w:rPr>
                  </w:pPr>
                  <w:r>
                    <w:rPr>
                      <w:rFonts w:hint="eastAsia"/>
                      <w:bCs/>
                      <w:color w:val="auto"/>
                      <w:sz w:val="20"/>
                      <w:szCs w:val="20"/>
                      <w:highlight w:val="none"/>
                      <w:lang w:val="en-US" w:eastAsia="zh-CN"/>
                    </w:rPr>
                    <w:t>专用容器</w:t>
                  </w:r>
                </w:p>
              </w:tc>
              <w:tc>
                <w:tcPr>
                  <w:tcW w:w="988" w:type="dxa"/>
                  <w:vAlign w:val="center"/>
                </w:tcPr>
                <w:p w14:paraId="61B8967A">
                  <w:pPr>
                    <w:keepNext w:val="0"/>
                    <w:keepLines w:val="0"/>
                    <w:suppressLineNumbers w:val="0"/>
                    <w:adjustRightInd w:val="0"/>
                    <w:snapToGrid w:val="0"/>
                    <w:spacing w:before="0" w:beforeAutospacing="0" w:after="0" w:afterAutospacing="0"/>
                    <w:ind w:left="0" w:leftChars="0" w:right="0" w:rightChars="0"/>
                    <w:jc w:val="center"/>
                    <w:rPr>
                      <w:rFonts w:hint="eastAsia"/>
                      <w:color w:val="auto"/>
                      <w:sz w:val="20"/>
                      <w:szCs w:val="20"/>
                      <w:lang w:val="en-US" w:eastAsia="zh-CN"/>
                    </w:rPr>
                  </w:pPr>
                  <w:r>
                    <w:rPr>
                      <w:rFonts w:hint="eastAsia"/>
                      <w:bCs/>
                      <w:color w:val="auto"/>
                      <w:sz w:val="20"/>
                      <w:szCs w:val="20"/>
                      <w:highlight w:val="none"/>
                      <w:lang w:val="en-US" w:eastAsia="zh-CN"/>
                    </w:rPr>
                    <w:t>4.655</w:t>
                  </w:r>
                </w:p>
              </w:tc>
              <w:tc>
                <w:tcPr>
                  <w:tcW w:w="1410" w:type="dxa"/>
                  <w:vMerge w:val="continue"/>
                  <w:vAlign w:val="center"/>
                </w:tcPr>
                <w:p w14:paraId="6DEEABB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p>
              </w:tc>
            </w:tr>
            <w:tr w14:paraId="37E8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7EABB3AB">
                  <w:pPr>
                    <w:keepNext w:val="0"/>
                    <w:keepLines w:val="0"/>
                    <w:suppressLineNumbers w:val="0"/>
                    <w:adjustRightInd w:val="0"/>
                    <w:snapToGrid w:val="0"/>
                    <w:spacing w:before="0" w:beforeAutospacing="0" w:after="0" w:afterAutospacing="0"/>
                    <w:ind w:left="0" w:right="0"/>
                    <w:jc w:val="center"/>
                    <w:rPr>
                      <w:rFonts w:hint="default"/>
                      <w:color w:val="auto"/>
                      <w:sz w:val="20"/>
                      <w:szCs w:val="20"/>
                      <w:highlight w:val="none"/>
                    </w:rPr>
                  </w:pPr>
                  <w:r>
                    <w:rPr>
                      <w:rFonts w:hint="default"/>
                      <w:color w:val="auto"/>
                      <w:sz w:val="20"/>
                      <w:szCs w:val="20"/>
                      <w:highlight w:val="none"/>
                    </w:rPr>
                    <w:t>机油、液压油</w:t>
                  </w:r>
                </w:p>
              </w:tc>
              <w:tc>
                <w:tcPr>
                  <w:tcW w:w="1823" w:type="dxa"/>
                  <w:vAlign w:val="center"/>
                </w:tcPr>
                <w:p w14:paraId="2982EABF">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废油桶</w:t>
                  </w:r>
                  <w:r>
                    <w:rPr>
                      <w:rFonts w:hint="eastAsia"/>
                      <w:bCs/>
                      <w:color w:val="auto"/>
                      <w:sz w:val="20"/>
                      <w:szCs w:val="20"/>
                      <w:highlight w:val="none"/>
                      <w:lang w:eastAsia="zh-CN"/>
                    </w:rPr>
                    <w:t>（HW08、900-249-08）</w:t>
                  </w:r>
                </w:p>
              </w:tc>
              <w:tc>
                <w:tcPr>
                  <w:tcW w:w="1033" w:type="dxa"/>
                  <w:vAlign w:val="center"/>
                </w:tcPr>
                <w:p w14:paraId="3B17C98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危险废物</w:t>
                  </w:r>
                </w:p>
              </w:tc>
              <w:tc>
                <w:tcPr>
                  <w:tcW w:w="823" w:type="dxa"/>
                  <w:vAlign w:val="center"/>
                </w:tcPr>
                <w:p w14:paraId="689CC3F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油类</w:t>
                  </w:r>
                </w:p>
              </w:tc>
              <w:tc>
                <w:tcPr>
                  <w:tcW w:w="881" w:type="dxa"/>
                  <w:vAlign w:val="center"/>
                </w:tcPr>
                <w:p w14:paraId="5CF82DE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6677712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988" w:type="dxa"/>
                  <w:vAlign w:val="center"/>
                </w:tcPr>
                <w:p w14:paraId="56B62631">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val="en-US" w:eastAsia="zh-CN"/>
                    </w:rPr>
                  </w:pPr>
                  <w:r>
                    <w:rPr>
                      <w:rFonts w:hint="default"/>
                      <w:bCs/>
                      <w:color w:val="auto"/>
                      <w:sz w:val="20"/>
                      <w:szCs w:val="20"/>
                      <w:highlight w:val="none"/>
                    </w:rPr>
                    <w:t>0.</w:t>
                  </w:r>
                  <w:r>
                    <w:rPr>
                      <w:rFonts w:hint="eastAsia"/>
                      <w:bCs/>
                      <w:color w:val="auto"/>
                      <w:sz w:val="20"/>
                      <w:szCs w:val="20"/>
                      <w:highlight w:val="none"/>
                      <w:lang w:val="en-US" w:eastAsia="zh-CN"/>
                    </w:rPr>
                    <w:t>1</w:t>
                  </w:r>
                </w:p>
              </w:tc>
              <w:tc>
                <w:tcPr>
                  <w:tcW w:w="1410" w:type="dxa"/>
                  <w:vAlign w:val="center"/>
                </w:tcPr>
                <w:p w14:paraId="61980C2B">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危废处置单位</w:t>
                  </w:r>
                </w:p>
              </w:tc>
            </w:tr>
            <w:tr w14:paraId="5BE1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6F523B54">
                  <w:pPr>
                    <w:keepNext w:val="0"/>
                    <w:keepLines w:val="0"/>
                    <w:suppressLineNumbers w:val="0"/>
                    <w:adjustRightInd w:val="0"/>
                    <w:snapToGrid w:val="0"/>
                    <w:spacing w:before="0" w:beforeAutospacing="0" w:after="0" w:afterAutospacing="0"/>
                    <w:ind w:left="0" w:right="0"/>
                    <w:jc w:val="center"/>
                    <w:rPr>
                      <w:rFonts w:hint="default"/>
                      <w:color w:val="auto"/>
                      <w:sz w:val="20"/>
                      <w:szCs w:val="20"/>
                      <w:highlight w:val="none"/>
                    </w:rPr>
                  </w:pPr>
                  <w:r>
                    <w:rPr>
                      <w:rFonts w:hint="default"/>
                      <w:color w:val="auto"/>
                      <w:sz w:val="20"/>
                      <w:szCs w:val="20"/>
                      <w:highlight w:val="none"/>
                    </w:rPr>
                    <w:t>办公生活</w:t>
                  </w:r>
                </w:p>
              </w:tc>
              <w:tc>
                <w:tcPr>
                  <w:tcW w:w="1823" w:type="dxa"/>
                  <w:vAlign w:val="center"/>
                </w:tcPr>
                <w:p w14:paraId="2D2D00B6">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生活垃圾</w:t>
                  </w:r>
                </w:p>
              </w:tc>
              <w:tc>
                <w:tcPr>
                  <w:tcW w:w="1033" w:type="dxa"/>
                  <w:vAlign w:val="center"/>
                </w:tcPr>
                <w:p w14:paraId="69D0FD55">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生活垃圾</w:t>
                  </w:r>
                </w:p>
              </w:tc>
              <w:tc>
                <w:tcPr>
                  <w:tcW w:w="823" w:type="dxa"/>
                  <w:vAlign w:val="center"/>
                </w:tcPr>
                <w:p w14:paraId="47896D54">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3EA88372">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68BE98AD">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181FA711">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21.25</w:t>
                  </w:r>
                </w:p>
              </w:tc>
              <w:tc>
                <w:tcPr>
                  <w:tcW w:w="1410" w:type="dxa"/>
                  <w:vAlign w:val="center"/>
                </w:tcPr>
                <w:p w14:paraId="54338118">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环卫部门收集</w:t>
                  </w:r>
                </w:p>
              </w:tc>
            </w:tr>
            <w:tr w14:paraId="52F1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5FE2A455">
                  <w:pPr>
                    <w:keepNext w:val="0"/>
                    <w:keepLines w:val="0"/>
                    <w:suppressLineNumbers w:val="0"/>
                    <w:adjustRightInd w:val="0"/>
                    <w:snapToGrid w:val="0"/>
                    <w:spacing w:before="0" w:beforeAutospacing="0" w:after="0" w:afterAutospacing="0"/>
                    <w:ind w:left="0" w:right="0"/>
                    <w:jc w:val="center"/>
                    <w:rPr>
                      <w:rFonts w:hint="default"/>
                      <w:color w:val="auto"/>
                      <w:sz w:val="20"/>
                      <w:szCs w:val="20"/>
                      <w:highlight w:val="none"/>
                    </w:rPr>
                  </w:pPr>
                  <w:r>
                    <w:rPr>
                      <w:rFonts w:hint="default"/>
                      <w:color w:val="auto"/>
                      <w:sz w:val="20"/>
                      <w:szCs w:val="20"/>
                      <w:highlight w:val="none"/>
                    </w:rPr>
                    <w:t>餐饮</w:t>
                  </w:r>
                </w:p>
              </w:tc>
              <w:tc>
                <w:tcPr>
                  <w:tcW w:w="1823" w:type="dxa"/>
                  <w:vAlign w:val="center"/>
                </w:tcPr>
                <w:p w14:paraId="73382A1F">
                  <w:pPr>
                    <w:keepNext w:val="0"/>
                    <w:keepLines w:val="0"/>
                    <w:suppressLineNumbers w:val="0"/>
                    <w:adjustRightInd w:val="0"/>
                    <w:snapToGrid w:val="0"/>
                    <w:spacing w:before="0" w:beforeAutospacing="0" w:after="0" w:afterAutospacing="0"/>
                    <w:ind w:left="0" w:right="0"/>
                    <w:jc w:val="center"/>
                    <w:rPr>
                      <w:rFonts w:hint="eastAsia" w:eastAsia="宋体"/>
                      <w:bCs/>
                      <w:color w:val="auto"/>
                      <w:sz w:val="20"/>
                      <w:szCs w:val="20"/>
                      <w:highlight w:val="none"/>
                      <w:lang w:eastAsia="zh-CN"/>
                    </w:rPr>
                  </w:pPr>
                  <w:r>
                    <w:rPr>
                      <w:rFonts w:hint="default"/>
                      <w:bCs/>
                      <w:color w:val="auto"/>
                      <w:sz w:val="20"/>
                      <w:szCs w:val="20"/>
                      <w:highlight w:val="none"/>
                    </w:rPr>
                    <w:t>餐厨垃圾</w:t>
                  </w:r>
                  <w:r>
                    <w:rPr>
                      <w:rFonts w:hint="eastAsia"/>
                      <w:bCs/>
                      <w:color w:val="auto"/>
                      <w:sz w:val="20"/>
                      <w:szCs w:val="20"/>
                      <w:highlight w:val="none"/>
                      <w:lang w:eastAsia="zh-CN"/>
                    </w:rPr>
                    <w:t>（900-002-S61）</w:t>
                  </w:r>
                </w:p>
              </w:tc>
              <w:tc>
                <w:tcPr>
                  <w:tcW w:w="1033" w:type="dxa"/>
                  <w:vAlign w:val="center"/>
                </w:tcPr>
                <w:p w14:paraId="62DD0487">
                  <w:pPr>
                    <w:keepNext w:val="0"/>
                    <w:keepLines w:val="0"/>
                    <w:suppressLineNumbers w:val="0"/>
                    <w:adjustRightInd w:val="0"/>
                    <w:snapToGrid w:val="0"/>
                    <w:spacing w:before="0" w:beforeAutospacing="0" w:after="0" w:afterAutospacing="0"/>
                    <w:ind w:left="0" w:right="0"/>
                    <w:jc w:val="center"/>
                    <w:rPr>
                      <w:rFonts w:hint="eastAsia"/>
                      <w:bCs/>
                      <w:color w:val="auto"/>
                      <w:sz w:val="20"/>
                      <w:szCs w:val="20"/>
                      <w:highlight w:val="none"/>
                      <w:lang w:val="en-US" w:eastAsia="zh-CN"/>
                    </w:rPr>
                  </w:pPr>
                  <w:r>
                    <w:rPr>
                      <w:rFonts w:hint="eastAsia"/>
                      <w:bCs/>
                      <w:color w:val="auto"/>
                      <w:sz w:val="20"/>
                      <w:szCs w:val="20"/>
                      <w:highlight w:val="none"/>
                      <w:lang w:val="en-US" w:eastAsia="zh-CN"/>
                    </w:rPr>
                    <w:t>生活垃圾-SW61</w:t>
                  </w:r>
                </w:p>
                <w:p w14:paraId="3F957527">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厨余垃圾</w:t>
                  </w:r>
                </w:p>
              </w:tc>
              <w:tc>
                <w:tcPr>
                  <w:tcW w:w="823" w:type="dxa"/>
                  <w:vAlign w:val="center"/>
                </w:tcPr>
                <w:p w14:paraId="79CFDB1E">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43E9DD0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18CBD39F">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桶装</w:t>
                  </w:r>
                </w:p>
              </w:tc>
              <w:tc>
                <w:tcPr>
                  <w:tcW w:w="988" w:type="dxa"/>
                  <w:vAlign w:val="center"/>
                </w:tcPr>
                <w:p w14:paraId="171FAAEC">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4.25</w:t>
                  </w:r>
                </w:p>
              </w:tc>
              <w:tc>
                <w:tcPr>
                  <w:tcW w:w="1410" w:type="dxa"/>
                  <w:vAlign w:val="center"/>
                </w:tcPr>
                <w:p w14:paraId="06D5090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有资质单位回收处置</w:t>
                  </w:r>
                </w:p>
              </w:tc>
            </w:tr>
            <w:tr w14:paraId="7A3B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vAlign w:val="center"/>
                </w:tcPr>
                <w:p w14:paraId="43016747">
                  <w:pPr>
                    <w:keepNext w:val="0"/>
                    <w:keepLines w:val="0"/>
                    <w:suppressLineNumbers w:val="0"/>
                    <w:adjustRightInd w:val="0"/>
                    <w:snapToGrid w:val="0"/>
                    <w:spacing w:before="0" w:beforeAutospacing="0" w:after="0" w:afterAutospacing="0"/>
                    <w:ind w:left="0" w:right="0"/>
                    <w:jc w:val="center"/>
                    <w:rPr>
                      <w:rFonts w:hint="default"/>
                      <w:color w:val="auto"/>
                      <w:sz w:val="20"/>
                      <w:szCs w:val="20"/>
                      <w:highlight w:val="none"/>
                    </w:rPr>
                  </w:pPr>
                  <w:r>
                    <w:rPr>
                      <w:rFonts w:hint="default"/>
                      <w:color w:val="auto"/>
                      <w:sz w:val="20"/>
                      <w:szCs w:val="20"/>
                      <w:highlight w:val="none"/>
                    </w:rPr>
                    <w:t>生化池</w:t>
                  </w:r>
                </w:p>
              </w:tc>
              <w:tc>
                <w:tcPr>
                  <w:tcW w:w="1823" w:type="dxa"/>
                  <w:vAlign w:val="center"/>
                </w:tcPr>
                <w:p w14:paraId="32CAC171">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污泥</w:t>
                  </w:r>
                </w:p>
              </w:tc>
              <w:tc>
                <w:tcPr>
                  <w:tcW w:w="1033" w:type="dxa"/>
                  <w:vAlign w:val="center"/>
                </w:tcPr>
                <w:p w14:paraId="4C59CCF7">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一般固废</w:t>
                  </w:r>
                </w:p>
              </w:tc>
              <w:tc>
                <w:tcPr>
                  <w:tcW w:w="823" w:type="dxa"/>
                  <w:vAlign w:val="center"/>
                </w:tcPr>
                <w:p w14:paraId="4FEB609B">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881" w:type="dxa"/>
                  <w:vAlign w:val="center"/>
                </w:tcPr>
                <w:p w14:paraId="5FA577F0">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固态</w:t>
                  </w:r>
                </w:p>
              </w:tc>
              <w:tc>
                <w:tcPr>
                  <w:tcW w:w="921" w:type="dxa"/>
                  <w:vAlign w:val="center"/>
                </w:tcPr>
                <w:p w14:paraId="34280DBC">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w:t>
                  </w:r>
                </w:p>
              </w:tc>
              <w:tc>
                <w:tcPr>
                  <w:tcW w:w="988" w:type="dxa"/>
                  <w:vAlign w:val="center"/>
                </w:tcPr>
                <w:p w14:paraId="7AC54755">
                  <w:pPr>
                    <w:keepNext w:val="0"/>
                    <w:keepLines w:val="0"/>
                    <w:suppressLineNumbers w:val="0"/>
                    <w:adjustRightInd w:val="0"/>
                    <w:snapToGrid w:val="0"/>
                    <w:spacing w:before="0" w:beforeAutospacing="0" w:after="0" w:afterAutospacing="0"/>
                    <w:ind w:left="0" w:right="0"/>
                    <w:jc w:val="center"/>
                    <w:rPr>
                      <w:rFonts w:hint="default" w:eastAsia="宋体"/>
                      <w:bCs/>
                      <w:color w:val="auto"/>
                      <w:sz w:val="20"/>
                      <w:szCs w:val="20"/>
                      <w:highlight w:val="none"/>
                      <w:lang w:val="en-US" w:eastAsia="zh-CN"/>
                    </w:rPr>
                  </w:pPr>
                  <w:r>
                    <w:rPr>
                      <w:rFonts w:hint="eastAsia"/>
                      <w:bCs/>
                      <w:color w:val="auto"/>
                      <w:sz w:val="20"/>
                      <w:szCs w:val="20"/>
                      <w:highlight w:val="none"/>
                      <w:lang w:val="en-US" w:eastAsia="zh-CN"/>
                    </w:rPr>
                    <w:t>2.5</w:t>
                  </w:r>
                </w:p>
              </w:tc>
              <w:tc>
                <w:tcPr>
                  <w:tcW w:w="1410" w:type="dxa"/>
                  <w:vAlign w:val="center"/>
                </w:tcPr>
                <w:p w14:paraId="16EC43C5">
                  <w:pPr>
                    <w:keepNext w:val="0"/>
                    <w:keepLines w:val="0"/>
                    <w:suppressLineNumbers w:val="0"/>
                    <w:adjustRightInd w:val="0"/>
                    <w:snapToGrid w:val="0"/>
                    <w:spacing w:before="0" w:beforeAutospacing="0" w:after="0" w:afterAutospacing="0"/>
                    <w:ind w:left="0" w:right="0"/>
                    <w:jc w:val="center"/>
                    <w:rPr>
                      <w:rFonts w:hint="default"/>
                      <w:bCs/>
                      <w:color w:val="auto"/>
                      <w:sz w:val="20"/>
                      <w:szCs w:val="20"/>
                      <w:highlight w:val="none"/>
                    </w:rPr>
                  </w:pPr>
                  <w:r>
                    <w:rPr>
                      <w:rFonts w:hint="default"/>
                      <w:bCs/>
                      <w:color w:val="auto"/>
                      <w:sz w:val="20"/>
                      <w:szCs w:val="20"/>
                      <w:highlight w:val="none"/>
                    </w:rPr>
                    <w:t>环卫吸粪车定期清理</w:t>
                  </w:r>
                </w:p>
              </w:tc>
            </w:tr>
          </w:tbl>
          <w:p w14:paraId="06C5E3FC">
            <w:pPr>
              <w:keepNext w:val="0"/>
              <w:keepLines w:val="0"/>
              <w:suppressLineNumbers w:val="0"/>
              <w:spacing w:before="0" w:beforeAutospacing="0" w:after="0" w:afterAutospacing="0"/>
              <w:ind w:left="0" w:right="0"/>
              <w:rPr>
                <w:rFonts w:hint="eastAsia"/>
                <w:color w:val="auto"/>
                <w:highlight w:val="none"/>
                <w:lang w:val="en-US" w:eastAsia="zh-CN"/>
              </w:rPr>
            </w:pPr>
          </w:p>
          <w:p w14:paraId="35C0F574">
            <w:pPr>
              <w:keepNext w:val="0"/>
              <w:keepLines w:val="0"/>
              <w:suppressLineNumbers w:val="0"/>
              <w:tabs>
                <w:tab w:val="left" w:pos="1040"/>
              </w:tabs>
              <w:adjustRightInd w:val="0"/>
              <w:snapToGrid w:val="0"/>
              <w:spacing w:before="0" w:beforeAutospacing="0" w:after="0" w:afterAutospacing="0"/>
              <w:ind w:left="0" w:right="0"/>
              <w:jc w:val="center"/>
              <w:rPr>
                <w:rFonts w:hint="eastAsia"/>
                <w:color w:val="auto"/>
                <w:kern w:val="0"/>
                <w:sz w:val="26"/>
                <w:szCs w:val="26"/>
                <w:highlight w:val="none"/>
              </w:rPr>
            </w:pPr>
            <w:r>
              <w:rPr>
                <w:rFonts w:hint="eastAsia"/>
                <w:color w:val="auto"/>
                <w:kern w:val="0"/>
                <w:sz w:val="26"/>
                <w:szCs w:val="26"/>
                <w:highlight w:val="none"/>
              </w:rPr>
              <w:t>表</w:t>
            </w:r>
            <w:r>
              <w:rPr>
                <w:rFonts w:hint="default"/>
                <w:color w:val="auto"/>
                <w:kern w:val="0"/>
                <w:sz w:val="26"/>
                <w:szCs w:val="26"/>
                <w:highlight w:val="none"/>
              </w:rPr>
              <w:t>4.2-1</w:t>
            </w:r>
            <w:r>
              <w:rPr>
                <w:rFonts w:hint="eastAsia"/>
                <w:color w:val="auto"/>
                <w:kern w:val="0"/>
                <w:sz w:val="26"/>
                <w:szCs w:val="26"/>
                <w:highlight w:val="none"/>
                <w:lang w:val="en-US" w:eastAsia="zh-CN"/>
              </w:rPr>
              <w:t>5</w:t>
            </w:r>
            <w:r>
              <w:rPr>
                <w:rFonts w:hint="default"/>
                <w:color w:val="auto"/>
                <w:kern w:val="0"/>
                <w:sz w:val="26"/>
                <w:szCs w:val="26"/>
                <w:highlight w:val="none"/>
              </w:rPr>
              <w:t xml:space="preserve"> </w:t>
            </w:r>
            <w:r>
              <w:rPr>
                <w:rFonts w:hint="eastAsia"/>
                <w:color w:val="auto"/>
                <w:kern w:val="0"/>
                <w:sz w:val="26"/>
                <w:szCs w:val="26"/>
                <w:highlight w:val="none"/>
                <w:lang w:val="en-US" w:eastAsia="zh-CN"/>
              </w:rPr>
              <w:t xml:space="preserve"> </w:t>
            </w:r>
            <w:r>
              <w:rPr>
                <w:rFonts w:hint="eastAsia"/>
                <w:color w:val="auto"/>
                <w:kern w:val="0"/>
                <w:sz w:val="26"/>
                <w:szCs w:val="26"/>
                <w:highlight w:val="none"/>
              </w:rPr>
              <w:t>危险废物产生情况一览表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28"/>
              <w:gridCol w:w="977"/>
              <w:gridCol w:w="979"/>
              <w:gridCol w:w="814"/>
              <w:gridCol w:w="815"/>
              <w:gridCol w:w="489"/>
              <w:gridCol w:w="815"/>
              <w:gridCol w:w="815"/>
              <w:gridCol w:w="508"/>
              <w:gridCol w:w="678"/>
              <w:gridCol w:w="739"/>
            </w:tblGrid>
            <w:tr w14:paraId="6EB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11C1DA7F">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序号</w:t>
                  </w:r>
                </w:p>
              </w:tc>
              <w:tc>
                <w:tcPr>
                  <w:tcW w:w="1228" w:type="dxa"/>
                  <w:vAlign w:val="center"/>
                </w:tcPr>
                <w:p w14:paraId="0C31D567">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危险废物名称</w:t>
                  </w:r>
                </w:p>
              </w:tc>
              <w:tc>
                <w:tcPr>
                  <w:tcW w:w="977" w:type="dxa"/>
                  <w:vAlign w:val="center"/>
                </w:tcPr>
                <w:p w14:paraId="0C544C7E">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危险废物类别</w:t>
                  </w:r>
                </w:p>
              </w:tc>
              <w:tc>
                <w:tcPr>
                  <w:tcW w:w="979" w:type="dxa"/>
                  <w:vAlign w:val="center"/>
                </w:tcPr>
                <w:p w14:paraId="37B6FEF2">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危险废物代码</w:t>
                  </w:r>
                </w:p>
              </w:tc>
              <w:tc>
                <w:tcPr>
                  <w:tcW w:w="814" w:type="dxa"/>
                  <w:vAlign w:val="center"/>
                </w:tcPr>
                <w:p w14:paraId="375A6DF0">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产生量t/a</w:t>
                  </w:r>
                </w:p>
              </w:tc>
              <w:tc>
                <w:tcPr>
                  <w:tcW w:w="815" w:type="dxa"/>
                  <w:vAlign w:val="center"/>
                </w:tcPr>
                <w:p w14:paraId="3C39E12F">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产生工序装置</w:t>
                  </w:r>
                </w:p>
              </w:tc>
              <w:tc>
                <w:tcPr>
                  <w:tcW w:w="489" w:type="dxa"/>
                  <w:vAlign w:val="center"/>
                </w:tcPr>
                <w:p w14:paraId="2DDC147E">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形态</w:t>
                  </w:r>
                </w:p>
              </w:tc>
              <w:tc>
                <w:tcPr>
                  <w:tcW w:w="815" w:type="dxa"/>
                  <w:vAlign w:val="center"/>
                </w:tcPr>
                <w:p w14:paraId="22619BD6">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主要成分</w:t>
                  </w:r>
                </w:p>
              </w:tc>
              <w:tc>
                <w:tcPr>
                  <w:tcW w:w="815" w:type="dxa"/>
                  <w:vAlign w:val="center"/>
                </w:tcPr>
                <w:p w14:paraId="042CEA9C">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有害</w:t>
                  </w:r>
                </w:p>
                <w:p w14:paraId="61127288">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成分</w:t>
                  </w:r>
                </w:p>
              </w:tc>
              <w:tc>
                <w:tcPr>
                  <w:tcW w:w="508" w:type="dxa"/>
                  <w:vAlign w:val="center"/>
                </w:tcPr>
                <w:p w14:paraId="79FB08DA">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产废周期</w:t>
                  </w:r>
                </w:p>
              </w:tc>
              <w:tc>
                <w:tcPr>
                  <w:tcW w:w="678" w:type="dxa"/>
                  <w:vAlign w:val="center"/>
                </w:tcPr>
                <w:p w14:paraId="6707EB9E">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危险特性</w:t>
                  </w:r>
                </w:p>
              </w:tc>
              <w:tc>
                <w:tcPr>
                  <w:tcW w:w="739" w:type="dxa"/>
                  <w:vAlign w:val="center"/>
                </w:tcPr>
                <w:p w14:paraId="06F9F7D2">
                  <w:pPr>
                    <w:keepNext w:val="0"/>
                    <w:keepLines w:val="0"/>
                    <w:suppressLineNumbers w:val="0"/>
                    <w:spacing w:before="0" w:beforeAutospacing="0" w:after="0" w:afterAutospacing="0"/>
                    <w:ind w:left="0" w:right="0"/>
                    <w:jc w:val="center"/>
                    <w:rPr>
                      <w:rFonts w:hint="default"/>
                      <w:b/>
                      <w:bCs/>
                      <w:color w:val="auto"/>
                      <w:szCs w:val="21"/>
                      <w:highlight w:val="none"/>
                    </w:rPr>
                  </w:pPr>
                  <w:r>
                    <w:rPr>
                      <w:rFonts w:hint="default"/>
                      <w:b/>
                      <w:bCs/>
                      <w:color w:val="auto"/>
                      <w:szCs w:val="21"/>
                      <w:highlight w:val="none"/>
                    </w:rPr>
                    <w:t>污染防治措施</w:t>
                  </w:r>
                </w:p>
              </w:tc>
            </w:tr>
            <w:tr w14:paraId="27CB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2DDFF0B7">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1</w:t>
                  </w:r>
                </w:p>
              </w:tc>
              <w:tc>
                <w:tcPr>
                  <w:tcW w:w="1228" w:type="dxa"/>
                  <w:vAlign w:val="center"/>
                </w:tcPr>
                <w:p w14:paraId="12378882">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废过滤棉</w:t>
                  </w:r>
                </w:p>
              </w:tc>
              <w:tc>
                <w:tcPr>
                  <w:tcW w:w="977" w:type="dxa"/>
                  <w:vAlign w:val="center"/>
                </w:tcPr>
                <w:p w14:paraId="35345FAE">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HW49</w:t>
                  </w:r>
                </w:p>
              </w:tc>
              <w:tc>
                <w:tcPr>
                  <w:tcW w:w="979" w:type="dxa"/>
                  <w:vAlign w:val="center"/>
                </w:tcPr>
                <w:p w14:paraId="7B3E94FA">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900-041-49</w:t>
                  </w:r>
                </w:p>
              </w:tc>
              <w:tc>
                <w:tcPr>
                  <w:tcW w:w="814" w:type="dxa"/>
                  <w:vAlign w:val="center"/>
                </w:tcPr>
                <w:p w14:paraId="5471CA38">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default"/>
                      <w:bCs/>
                      <w:color w:val="auto"/>
                      <w:szCs w:val="21"/>
                      <w:highlight w:val="none"/>
                    </w:rPr>
                    <w:t>0.</w:t>
                  </w:r>
                  <w:r>
                    <w:rPr>
                      <w:rFonts w:hint="eastAsia"/>
                      <w:bCs/>
                      <w:color w:val="auto"/>
                      <w:szCs w:val="21"/>
                      <w:highlight w:val="none"/>
                      <w:lang w:val="en-US" w:eastAsia="zh-CN"/>
                    </w:rPr>
                    <w:t>1</w:t>
                  </w:r>
                </w:p>
              </w:tc>
              <w:tc>
                <w:tcPr>
                  <w:tcW w:w="815" w:type="dxa"/>
                  <w:vMerge w:val="restart"/>
                  <w:vAlign w:val="center"/>
                </w:tcPr>
                <w:p w14:paraId="4F9FC78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废气处理</w:t>
                  </w:r>
                </w:p>
              </w:tc>
              <w:tc>
                <w:tcPr>
                  <w:tcW w:w="489" w:type="dxa"/>
                  <w:vAlign w:val="center"/>
                </w:tcPr>
                <w:p w14:paraId="225557F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固态</w:t>
                  </w:r>
                </w:p>
              </w:tc>
              <w:tc>
                <w:tcPr>
                  <w:tcW w:w="815" w:type="dxa"/>
                  <w:vAlign w:val="center"/>
                </w:tcPr>
                <w:p w14:paraId="7F00027B">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棉</w:t>
                  </w:r>
                </w:p>
              </w:tc>
              <w:tc>
                <w:tcPr>
                  <w:tcW w:w="815" w:type="dxa"/>
                  <w:vAlign w:val="center"/>
                </w:tcPr>
                <w:p w14:paraId="10ADAFE6">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有机物</w:t>
                  </w:r>
                </w:p>
              </w:tc>
              <w:tc>
                <w:tcPr>
                  <w:tcW w:w="508" w:type="dxa"/>
                  <w:vAlign w:val="center"/>
                </w:tcPr>
                <w:p w14:paraId="154F5CEF">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54116EEC">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T/I</w:t>
                  </w:r>
                </w:p>
              </w:tc>
              <w:tc>
                <w:tcPr>
                  <w:tcW w:w="739" w:type="dxa"/>
                  <w:vMerge w:val="restart"/>
                  <w:vAlign w:val="center"/>
                </w:tcPr>
                <w:p w14:paraId="5C3E7DC4">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定期交有资质的单位处置</w:t>
                  </w:r>
                </w:p>
              </w:tc>
            </w:tr>
            <w:tr w14:paraId="70BF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23495CD0">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2</w:t>
                  </w:r>
                </w:p>
              </w:tc>
              <w:tc>
                <w:tcPr>
                  <w:tcW w:w="1228" w:type="dxa"/>
                  <w:vAlign w:val="center"/>
                </w:tcPr>
                <w:p w14:paraId="2FF1746C">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废活性炭</w:t>
                  </w:r>
                </w:p>
              </w:tc>
              <w:tc>
                <w:tcPr>
                  <w:tcW w:w="977" w:type="dxa"/>
                  <w:vAlign w:val="center"/>
                </w:tcPr>
                <w:p w14:paraId="4964D67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HW49</w:t>
                  </w:r>
                </w:p>
              </w:tc>
              <w:tc>
                <w:tcPr>
                  <w:tcW w:w="979" w:type="dxa"/>
                  <w:vAlign w:val="center"/>
                </w:tcPr>
                <w:p w14:paraId="4CD71E7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900-039-49</w:t>
                  </w:r>
                </w:p>
              </w:tc>
              <w:tc>
                <w:tcPr>
                  <w:tcW w:w="814" w:type="dxa"/>
                  <w:vAlign w:val="center"/>
                </w:tcPr>
                <w:p w14:paraId="20EBB568">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2.28</w:t>
                  </w:r>
                </w:p>
              </w:tc>
              <w:tc>
                <w:tcPr>
                  <w:tcW w:w="815" w:type="dxa"/>
                  <w:vMerge w:val="continue"/>
                  <w:vAlign w:val="center"/>
                </w:tcPr>
                <w:p w14:paraId="62666DAB">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489" w:type="dxa"/>
                  <w:vAlign w:val="center"/>
                </w:tcPr>
                <w:p w14:paraId="091C0A1F">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固态</w:t>
                  </w:r>
                </w:p>
              </w:tc>
              <w:tc>
                <w:tcPr>
                  <w:tcW w:w="815" w:type="dxa"/>
                  <w:vAlign w:val="center"/>
                </w:tcPr>
                <w:p w14:paraId="5ACA1E6F">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活性炭</w:t>
                  </w:r>
                </w:p>
              </w:tc>
              <w:tc>
                <w:tcPr>
                  <w:tcW w:w="815" w:type="dxa"/>
                  <w:vAlign w:val="center"/>
                </w:tcPr>
                <w:p w14:paraId="258ED13C">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有机物</w:t>
                  </w:r>
                </w:p>
              </w:tc>
              <w:tc>
                <w:tcPr>
                  <w:tcW w:w="508" w:type="dxa"/>
                  <w:vAlign w:val="center"/>
                </w:tcPr>
                <w:p w14:paraId="207AA37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3302875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T/I</w:t>
                  </w:r>
                </w:p>
              </w:tc>
              <w:tc>
                <w:tcPr>
                  <w:tcW w:w="739" w:type="dxa"/>
                  <w:vMerge w:val="continue"/>
                  <w:vAlign w:val="center"/>
                </w:tcPr>
                <w:p w14:paraId="2DDDB078">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3ECE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4" w:type="dxa"/>
                  <w:vAlign w:val="center"/>
                </w:tcPr>
                <w:p w14:paraId="4BB94412">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3</w:t>
                  </w:r>
                </w:p>
              </w:tc>
              <w:tc>
                <w:tcPr>
                  <w:tcW w:w="1228" w:type="dxa"/>
                  <w:shd w:val="clear" w:color="auto" w:fill="auto"/>
                  <w:vAlign w:val="center"/>
                </w:tcPr>
                <w:p w14:paraId="6DE421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铝灰渣</w:t>
                  </w:r>
                </w:p>
              </w:tc>
              <w:tc>
                <w:tcPr>
                  <w:tcW w:w="977" w:type="dxa"/>
                  <w:shd w:val="clear" w:color="auto" w:fill="auto"/>
                  <w:vAlign w:val="center"/>
                </w:tcPr>
                <w:p w14:paraId="405F9C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bCs/>
                      <w:color w:val="auto"/>
                      <w:szCs w:val="21"/>
                      <w:highlight w:val="none"/>
                      <w:lang w:val="en-US" w:eastAsia="zh-CN"/>
                    </w:rPr>
                    <w:t>HW48</w:t>
                  </w:r>
                </w:p>
              </w:tc>
              <w:tc>
                <w:tcPr>
                  <w:tcW w:w="979" w:type="dxa"/>
                  <w:shd w:val="clear" w:color="auto" w:fill="auto"/>
                  <w:vAlign w:val="center"/>
                </w:tcPr>
                <w:p w14:paraId="636BEA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bCs/>
                      <w:color w:val="auto"/>
                      <w:szCs w:val="21"/>
                      <w:highlight w:val="none"/>
                      <w:lang w:val="en-US" w:eastAsia="zh-CN"/>
                    </w:rPr>
                    <w:t>321-034-48</w:t>
                  </w:r>
                </w:p>
              </w:tc>
              <w:tc>
                <w:tcPr>
                  <w:tcW w:w="814" w:type="dxa"/>
                  <w:shd w:val="clear" w:color="auto" w:fill="auto"/>
                  <w:vAlign w:val="center"/>
                </w:tcPr>
                <w:p w14:paraId="6C79FB3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color w:val="auto"/>
                      <w:lang w:val="en-US" w:eastAsia="zh-CN"/>
                    </w:rPr>
                    <w:t>40.541</w:t>
                  </w:r>
                </w:p>
              </w:tc>
              <w:tc>
                <w:tcPr>
                  <w:tcW w:w="815" w:type="dxa"/>
                  <w:shd w:val="clear" w:color="auto" w:fill="auto"/>
                  <w:vAlign w:val="center"/>
                </w:tcPr>
                <w:p w14:paraId="670C22A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除渣</w:t>
                  </w:r>
                </w:p>
              </w:tc>
              <w:tc>
                <w:tcPr>
                  <w:tcW w:w="489" w:type="dxa"/>
                  <w:shd w:val="clear" w:color="auto" w:fill="auto"/>
                  <w:vAlign w:val="center"/>
                </w:tcPr>
                <w:p w14:paraId="5986406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eastAsia"/>
                      <w:bCs/>
                      <w:color w:val="auto"/>
                      <w:szCs w:val="21"/>
                      <w:highlight w:val="none"/>
                      <w:lang w:val="en-US" w:eastAsia="zh-CN"/>
                    </w:rPr>
                    <w:t>固态</w:t>
                  </w:r>
                </w:p>
              </w:tc>
              <w:tc>
                <w:tcPr>
                  <w:tcW w:w="815" w:type="dxa"/>
                  <w:shd w:val="clear" w:color="auto" w:fill="auto"/>
                  <w:vAlign w:val="center"/>
                </w:tcPr>
                <w:p w14:paraId="1E0274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铝</w:t>
                  </w:r>
                </w:p>
              </w:tc>
              <w:tc>
                <w:tcPr>
                  <w:tcW w:w="815" w:type="dxa"/>
                  <w:shd w:val="clear" w:color="auto" w:fill="auto"/>
                  <w:vAlign w:val="center"/>
                </w:tcPr>
                <w:p w14:paraId="573A764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铝、镁</w:t>
                  </w:r>
                </w:p>
              </w:tc>
              <w:tc>
                <w:tcPr>
                  <w:tcW w:w="508" w:type="dxa"/>
                  <w:shd w:val="clear" w:color="auto" w:fill="auto"/>
                  <w:vAlign w:val="center"/>
                </w:tcPr>
                <w:p w14:paraId="4ABBE9C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间断</w:t>
                  </w:r>
                </w:p>
              </w:tc>
              <w:tc>
                <w:tcPr>
                  <w:tcW w:w="678" w:type="dxa"/>
                  <w:shd w:val="clear" w:color="auto" w:fill="auto"/>
                  <w:vAlign w:val="center"/>
                </w:tcPr>
                <w:p w14:paraId="100D77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T</w:t>
                  </w:r>
                  <w:r>
                    <w:rPr>
                      <w:rFonts w:hint="eastAsia"/>
                      <w:bCs/>
                      <w:color w:val="auto"/>
                      <w:szCs w:val="21"/>
                      <w:highlight w:val="none"/>
                      <w:lang w:eastAsia="zh-CN"/>
                    </w:rPr>
                    <w:t xml:space="preserve">, </w:t>
                  </w:r>
                  <w:r>
                    <w:rPr>
                      <w:rFonts w:hint="default"/>
                      <w:bCs/>
                      <w:color w:val="auto"/>
                      <w:szCs w:val="21"/>
                      <w:highlight w:val="none"/>
                    </w:rPr>
                    <w:t>R</w:t>
                  </w:r>
                </w:p>
              </w:tc>
              <w:tc>
                <w:tcPr>
                  <w:tcW w:w="739" w:type="dxa"/>
                  <w:vMerge w:val="continue"/>
                  <w:vAlign w:val="center"/>
                </w:tcPr>
                <w:p w14:paraId="6635419E">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3265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1ABF5064">
                  <w:pPr>
                    <w:keepNext w:val="0"/>
                    <w:keepLines w:val="0"/>
                    <w:suppressLineNumbers w:val="0"/>
                    <w:spacing w:before="0" w:beforeAutospacing="0" w:after="0" w:afterAutospacing="0"/>
                    <w:ind w:left="0" w:right="0"/>
                    <w:jc w:val="center"/>
                    <w:rPr>
                      <w:rFonts w:hint="eastAsia" w:eastAsia="宋体"/>
                      <w:bCs/>
                      <w:color w:val="auto"/>
                      <w:szCs w:val="21"/>
                      <w:highlight w:val="none"/>
                      <w:lang w:eastAsia="zh-CN"/>
                    </w:rPr>
                  </w:pPr>
                  <w:r>
                    <w:rPr>
                      <w:rFonts w:hint="eastAsia"/>
                      <w:bCs/>
                      <w:color w:val="auto"/>
                      <w:szCs w:val="21"/>
                      <w:highlight w:val="none"/>
                      <w:lang w:val="en-US" w:eastAsia="zh-CN"/>
                    </w:rPr>
                    <w:t>4</w:t>
                  </w:r>
                </w:p>
              </w:tc>
              <w:tc>
                <w:tcPr>
                  <w:tcW w:w="1228" w:type="dxa"/>
                  <w:vAlign w:val="center"/>
                </w:tcPr>
                <w:p w14:paraId="35B80C41">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废油桶</w:t>
                  </w:r>
                </w:p>
              </w:tc>
              <w:tc>
                <w:tcPr>
                  <w:tcW w:w="977" w:type="dxa"/>
                  <w:vAlign w:val="center"/>
                </w:tcPr>
                <w:p w14:paraId="09568C32">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HW08</w:t>
                  </w:r>
                </w:p>
              </w:tc>
              <w:tc>
                <w:tcPr>
                  <w:tcW w:w="979" w:type="dxa"/>
                  <w:vAlign w:val="center"/>
                </w:tcPr>
                <w:p w14:paraId="096BF92A">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900-249-08</w:t>
                  </w:r>
                </w:p>
              </w:tc>
              <w:tc>
                <w:tcPr>
                  <w:tcW w:w="814" w:type="dxa"/>
                  <w:vAlign w:val="center"/>
                </w:tcPr>
                <w:p w14:paraId="73152CEB">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0.1</w:t>
                  </w:r>
                </w:p>
              </w:tc>
              <w:tc>
                <w:tcPr>
                  <w:tcW w:w="815" w:type="dxa"/>
                  <w:vAlign w:val="center"/>
                </w:tcPr>
                <w:p w14:paraId="55790B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油料存储</w:t>
                  </w:r>
                </w:p>
              </w:tc>
              <w:tc>
                <w:tcPr>
                  <w:tcW w:w="489" w:type="dxa"/>
                  <w:vAlign w:val="center"/>
                </w:tcPr>
                <w:p w14:paraId="2FF9D428">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液态</w:t>
                  </w:r>
                </w:p>
              </w:tc>
              <w:tc>
                <w:tcPr>
                  <w:tcW w:w="815" w:type="dxa"/>
                  <w:vAlign w:val="center"/>
                </w:tcPr>
                <w:p w14:paraId="5876E9A5">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油</w:t>
                  </w:r>
                </w:p>
              </w:tc>
              <w:tc>
                <w:tcPr>
                  <w:tcW w:w="815" w:type="dxa"/>
                  <w:vAlign w:val="center"/>
                </w:tcPr>
                <w:p w14:paraId="6F86981A">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油</w:t>
                  </w:r>
                </w:p>
              </w:tc>
              <w:tc>
                <w:tcPr>
                  <w:tcW w:w="508" w:type="dxa"/>
                  <w:vAlign w:val="center"/>
                </w:tcPr>
                <w:p w14:paraId="204C4671">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64743C8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T/I</w:t>
                  </w:r>
                </w:p>
              </w:tc>
              <w:tc>
                <w:tcPr>
                  <w:tcW w:w="739" w:type="dxa"/>
                  <w:vMerge w:val="continue"/>
                  <w:vAlign w:val="center"/>
                </w:tcPr>
                <w:p w14:paraId="00B3D7E4">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6917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7D51C83A">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eastAsia"/>
                      <w:bCs/>
                      <w:color w:val="auto"/>
                      <w:szCs w:val="21"/>
                      <w:highlight w:val="none"/>
                      <w:lang w:val="en-US" w:eastAsia="zh-CN"/>
                    </w:rPr>
                    <w:t>5</w:t>
                  </w:r>
                </w:p>
              </w:tc>
              <w:tc>
                <w:tcPr>
                  <w:tcW w:w="1228" w:type="dxa"/>
                  <w:vAlign w:val="center"/>
                </w:tcPr>
                <w:p w14:paraId="327B1F5F">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废液压油</w:t>
                  </w:r>
                </w:p>
              </w:tc>
              <w:tc>
                <w:tcPr>
                  <w:tcW w:w="977" w:type="dxa"/>
                  <w:vAlign w:val="center"/>
                </w:tcPr>
                <w:p w14:paraId="363E9A16">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HW08</w:t>
                  </w:r>
                </w:p>
              </w:tc>
              <w:tc>
                <w:tcPr>
                  <w:tcW w:w="979" w:type="dxa"/>
                  <w:vAlign w:val="center"/>
                </w:tcPr>
                <w:p w14:paraId="48E26971">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900-218-08</w:t>
                  </w:r>
                </w:p>
              </w:tc>
              <w:tc>
                <w:tcPr>
                  <w:tcW w:w="814" w:type="dxa"/>
                  <w:vAlign w:val="center"/>
                </w:tcPr>
                <w:p w14:paraId="0FD5CFDB">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0.7</w:t>
                  </w:r>
                </w:p>
              </w:tc>
              <w:tc>
                <w:tcPr>
                  <w:tcW w:w="815" w:type="dxa"/>
                  <w:vMerge w:val="restart"/>
                  <w:vAlign w:val="center"/>
                </w:tcPr>
                <w:p w14:paraId="3AB91649">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设备维护</w:t>
                  </w:r>
                </w:p>
              </w:tc>
              <w:tc>
                <w:tcPr>
                  <w:tcW w:w="489" w:type="dxa"/>
                  <w:vAlign w:val="center"/>
                </w:tcPr>
                <w:p w14:paraId="0A35F34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液态</w:t>
                  </w:r>
                </w:p>
              </w:tc>
              <w:tc>
                <w:tcPr>
                  <w:tcW w:w="815" w:type="dxa"/>
                  <w:vAlign w:val="center"/>
                </w:tcPr>
                <w:p w14:paraId="5BE58364">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油</w:t>
                  </w:r>
                </w:p>
              </w:tc>
              <w:tc>
                <w:tcPr>
                  <w:tcW w:w="815" w:type="dxa"/>
                  <w:vAlign w:val="center"/>
                </w:tcPr>
                <w:p w14:paraId="7B6C58A9">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油</w:t>
                  </w:r>
                </w:p>
              </w:tc>
              <w:tc>
                <w:tcPr>
                  <w:tcW w:w="508" w:type="dxa"/>
                  <w:vAlign w:val="center"/>
                </w:tcPr>
                <w:p w14:paraId="5F07877C">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02EB709F">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T/I</w:t>
                  </w:r>
                </w:p>
              </w:tc>
              <w:tc>
                <w:tcPr>
                  <w:tcW w:w="739" w:type="dxa"/>
                  <w:vMerge w:val="continue"/>
                  <w:vAlign w:val="center"/>
                </w:tcPr>
                <w:p w14:paraId="5F55C3B2">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6065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56642343">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eastAsia"/>
                      <w:bCs/>
                      <w:color w:val="auto"/>
                      <w:szCs w:val="21"/>
                      <w:highlight w:val="none"/>
                      <w:lang w:val="en-US" w:eastAsia="zh-CN"/>
                    </w:rPr>
                    <w:t>6</w:t>
                  </w:r>
                </w:p>
              </w:tc>
              <w:tc>
                <w:tcPr>
                  <w:tcW w:w="1228" w:type="dxa"/>
                  <w:vAlign w:val="center"/>
                </w:tcPr>
                <w:p w14:paraId="49D2E7F8">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废机油</w:t>
                  </w:r>
                </w:p>
              </w:tc>
              <w:tc>
                <w:tcPr>
                  <w:tcW w:w="977" w:type="dxa"/>
                  <w:vAlign w:val="center"/>
                </w:tcPr>
                <w:p w14:paraId="3EDA3515">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HW08</w:t>
                  </w:r>
                </w:p>
              </w:tc>
              <w:tc>
                <w:tcPr>
                  <w:tcW w:w="979" w:type="dxa"/>
                  <w:vAlign w:val="center"/>
                </w:tcPr>
                <w:p w14:paraId="0D51E1E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900-217-08</w:t>
                  </w:r>
                </w:p>
              </w:tc>
              <w:tc>
                <w:tcPr>
                  <w:tcW w:w="814" w:type="dxa"/>
                  <w:vAlign w:val="center"/>
                </w:tcPr>
                <w:p w14:paraId="65CC80D7">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0.7</w:t>
                  </w:r>
                </w:p>
              </w:tc>
              <w:tc>
                <w:tcPr>
                  <w:tcW w:w="815" w:type="dxa"/>
                  <w:vMerge w:val="continue"/>
                  <w:vAlign w:val="center"/>
                </w:tcPr>
                <w:p w14:paraId="284867A9">
                  <w:pPr>
                    <w:keepNext w:val="0"/>
                    <w:keepLines w:val="0"/>
                    <w:suppressLineNumbers w:val="0"/>
                    <w:spacing w:before="0" w:beforeAutospacing="0" w:after="0" w:afterAutospacing="0"/>
                    <w:ind w:left="0" w:right="0"/>
                    <w:jc w:val="center"/>
                    <w:rPr>
                      <w:rFonts w:hint="default"/>
                      <w:bCs/>
                      <w:color w:val="auto"/>
                      <w:szCs w:val="21"/>
                      <w:highlight w:val="none"/>
                    </w:rPr>
                  </w:pPr>
                </w:p>
              </w:tc>
              <w:tc>
                <w:tcPr>
                  <w:tcW w:w="489" w:type="dxa"/>
                  <w:vAlign w:val="center"/>
                </w:tcPr>
                <w:p w14:paraId="1F47FC59">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固态</w:t>
                  </w:r>
                </w:p>
              </w:tc>
              <w:tc>
                <w:tcPr>
                  <w:tcW w:w="815" w:type="dxa"/>
                  <w:vAlign w:val="center"/>
                </w:tcPr>
                <w:p w14:paraId="14915E12">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油</w:t>
                  </w:r>
                </w:p>
              </w:tc>
              <w:tc>
                <w:tcPr>
                  <w:tcW w:w="815" w:type="dxa"/>
                  <w:vAlign w:val="center"/>
                </w:tcPr>
                <w:p w14:paraId="1D685B20">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油</w:t>
                  </w:r>
                </w:p>
              </w:tc>
              <w:tc>
                <w:tcPr>
                  <w:tcW w:w="508" w:type="dxa"/>
                  <w:vAlign w:val="center"/>
                </w:tcPr>
                <w:p w14:paraId="5A9F00FC">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6BEEB37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T/I</w:t>
                  </w:r>
                </w:p>
              </w:tc>
              <w:tc>
                <w:tcPr>
                  <w:tcW w:w="739" w:type="dxa"/>
                  <w:vMerge w:val="continue"/>
                  <w:vAlign w:val="center"/>
                </w:tcPr>
                <w:p w14:paraId="554BB9A2">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376B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4" w:type="dxa"/>
                  <w:vAlign w:val="center"/>
                </w:tcPr>
                <w:p w14:paraId="1A94303A">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eastAsia"/>
                      <w:bCs/>
                      <w:color w:val="auto"/>
                      <w:szCs w:val="21"/>
                      <w:highlight w:val="none"/>
                      <w:lang w:val="en-US" w:eastAsia="zh-CN"/>
                    </w:rPr>
                    <w:t>7</w:t>
                  </w:r>
                </w:p>
              </w:tc>
              <w:tc>
                <w:tcPr>
                  <w:tcW w:w="1228" w:type="dxa"/>
                  <w:vAlign w:val="center"/>
                </w:tcPr>
                <w:p w14:paraId="2FBF0146">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bCs/>
                      <w:color w:val="auto"/>
                      <w:szCs w:val="21"/>
                      <w:highlight w:val="none"/>
                    </w:rPr>
                    <w:t>废弃含油抹布、劳保用品</w:t>
                  </w:r>
                </w:p>
              </w:tc>
              <w:tc>
                <w:tcPr>
                  <w:tcW w:w="977" w:type="dxa"/>
                  <w:vAlign w:val="center"/>
                </w:tcPr>
                <w:p w14:paraId="5709C58A">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HW49</w:t>
                  </w:r>
                </w:p>
              </w:tc>
              <w:tc>
                <w:tcPr>
                  <w:tcW w:w="979" w:type="dxa"/>
                  <w:vAlign w:val="center"/>
                </w:tcPr>
                <w:p w14:paraId="2D5A2EDA">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900-041-49</w:t>
                  </w:r>
                </w:p>
              </w:tc>
              <w:tc>
                <w:tcPr>
                  <w:tcW w:w="814" w:type="dxa"/>
                  <w:vAlign w:val="center"/>
                </w:tcPr>
                <w:p w14:paraId="6BC8BAC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0.05</w:t>
                  </w:r>
                </w:p>
              </w:tc>
              <w:tc>
                <w:tcPr>
                  <w:tcW w:w="815" w:type="dxa"/>
                  <w:vMerge w:val="continue"/>
                  <w:vAlign w:val="center"/>
                </w:tcPr>
                <w:p w14:paraId="7AFA017D">
                  <w:pPr>
                    <w:keepNext w:val="0"/>
                    <w:keepLines w:val="0"/>
                    <w:suppressLineNumbers w:val="0"/>
                    <w:spacing w:before="0" w:beforeAutospacing="0" w:after="0" w:afterAutospacing="0"/>
                    <w:ind w:left="0" w:right="0"/>
                    <w:jc w:val="center"/>
                    <w:rPr>
                      <w:rFonts w:hint="default"/>
                      <w:color w:val="auto"/>
                      <w:szCs w:val="21"/>
                      <w:highlight w:val="none"/>
                    </w:rPr>
                  </w:pPr>
                </w:p>
              </w:tc>
              <w:tc>
                <w:tcPr>
                  <w:tcW w:w="489" w:type="dxa"/>
                  <w:vAlign w:val="center"/>
                </w:tcPr>
                <w:p w14:paraId="78286109">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固态</w:t>
                  </w:r>
                </w:p>
              </w:tc>
              <w:tc>
                <w:tcPr>
                  <w:tcW w:w="815" w:type="dxa"/>
                  <w:vAlign w:val="center"/>
                </w:tcPr>
                <w:p w14:paraId="424E7747">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棉</w:t>
                  </w:r>
                </w:p>
              </w:tc>
              <w:tc>
                <w:tcPr>
                  <w:tcW w:w="815" w:type="dxa"/>
                  <w:vAlign w:val="center"/>
                </w:tcPr>
                <w:p w14:paraId="1D8015F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Cs w:val="21"/>
                      <w:highlight w:val="none"/>
                    </w:rPr>
                    <w:t>油</w:t>
                  </w:r>
                </w:p>
              </w:tc>
              <w:tc>
                <w:tcPr>
                  <w:tcW w:w="508" w:type="dxa"/>
                  <w:vAlign w:val="center"/>
                </w:tcPr>
                <w:p w14:paraId="34357D7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3AC073DF">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T/I</w:t>
                  </w:r>
                </w:p>
              </w:tc>
              <w:tc>
                <w:tcPr>
                  <w:tcW w:w="739" w:type="dxa"/>
                  <w:vMerge w:val="continue"/>
                  <w:vAlign w:val="center"/>
                </w:tcPr>
                <w:p w14:paraId="122C27BF">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78DB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dxa"/>
                  <w:vAlign w:val="center"/>
                </w:tcPr>
                <w:p w14:paraId="361BAB87">
                  <w:pPr>
                    <w:keepNext w:val="0"/>
                    <w:keepLines w:val="0"/>
                    <w:suppressLineNumbers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8</w:t>
                  </w:r>
                </w:p>
              </w:tc>
              <w:tc>
                <w:tcPr>
                  <w:tcW w:w="1228" w:type="dxa"/>
                  <w:vAlign w:val="center"/>
                </w:tcPr>
                <w:p w14:paraId="6208F18A">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除尘灰（铝灰）</w:t>
                  </w:r>
                </w:p>
              </w:tc>
              <w:tc>
                <w:tcPr>
                  <w:tcW w:w="977" w:type="dxa"/>
                  <w:vAlign w:val="center"/>
                </w:tcPr>
                <w:p w14:paraId="06CDBF9D">
                  <w:pPr>
                    <w:keepNext w:val="0"/>
                    <w:keepLines w:val="0"/>
                    <w:suppressLineNumbers w:val="0"/>
                    <w:spacing w:before="0" w:beforeAutospacing="0" w:after="0" w:afterAutospacing="0"/>
                    <w:ind w:left="0" w:leftChars="0" w:right="0" w:rightChars="0"/>
                    <w:jc w:val="center"/>
                    <w:rPr>
                      <w:rFonts w:hint="eastAsia" w:eastAsia="宋体"/>
                      <w:color w:val="auto"/>
                      <w:szCs w:val="21"/>
                      <w:highlight w:val="none"/>
                      <w:lang w:val="en-US" w:eastAsia="zh-CN"/>
                    </w:rPr>
                  </w:pPr>
                  <w:r>
                    <w:rPr>
                      <w:rFonts w:hint="eastAsia"/>
                      <w:bCs/>
                      <w:color w:val="auto"/>
                      <w:szCs w:val="21"/>
                      <w:highlight w:val="none"/>
                      <w:lang w:val="en-US" w:eastAsia="zh-CN"/>
                    </w:rPr>
                    <w:t>HW48</w:t>
                  </w:r>
                </w:p>
              </w:tc>
              <w:tc>
                <w:tcPr>
                  <w:tcW w:w="979" w:type="dxa"/>
                  <w:vAlign w:val="center"/>
                </w:tcPr>
                <w:p w14:paraId="5A727150">
                  <w:pPr>
                    <w:keepNext w:val="0"/>
                    <w:keepLines w:val="0"/>
                    <w:suppressLineNumbers w:val="0"/>
                    <w:spacing w:before="0" w:beforeAutospacing="0" w:after="0" w:afterAutospacing="0"/>
                    <w:ind w:left="0" w:leftChars="0" w:right="0" w:rightChars="0"/>
                    <w:jc w:val="center"/>
                    <w:rPr>
                      <w:rFonts w:hint="default"/>
                      <w:color w:val="auto"/>
                      <w:szCs w:val="21"/>
                      <w:highlight w:val="none"/>
                    </w:rPr>
                  </w:pPr>
                  <w:r>
                    <w:rPr>
                      <w:rFonts w:hint="eastAsia"/>
                      <w:bCs/>
                      <w:color w:val="auto"/>
                      <w:szCs w:val="21"/>
                      <w:highlight w:val="none"/>
                      <w:lang w:val="en-US" w:eastAsia="zh-CN"/>
                    </w:rPr>
                    <w:t>321-034-48</w:t>
                  </w:r>
                </w:p>
              </w:tc>
              <w:tc>
                <w:tcPr>
                  <w:tcW w:w="814" w:type="dxa"/>
                  <w:vAlign w:val="center"/>
                </w:tcPr>
                <w:p w14:paraId="41503E6E">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4.655</w:t>
                  </w:r>
                </w:p>
              </w:tc>
              <w:tc>
                <w:tcPr>
                  <w:tcW w:w="815" w:type="dxa"/>
                  <w:vAlign w:val="center"/>
                </w:tcPr>
                <w:p w14:paraId="2CB0CDA9">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除尘</w:t>
                  </w:r>
                </w:p>
              </w:tc>
              <w:tc>
                <w:tcPr>
                  <w:tcW w:w="489" w:type="dxa"/>
                  <w:vAlign w:val="center"/>
                </w:tcPr>
                <w:p w14:paraId="301C84F4">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default"/>
                      <w:bCs/>
                      <w:color w:val="auto"/>
                      <w:szCs w:val="21"/>
                      <w:highlight w:val="none"/>
                    </w:rPr>
                    <w:t>固态</w:t>
                  </w:r>
                </w:p>
              </w:tc>
              <w:tc>
                <w:tcPr>
                  <w:tcW w:w="815" w:type="dxa"/>
                  <w:vAlign w:val="center"/>
                </w:tcPr>
                <w:p w14:paraId="456E0EE3">
                  <w:pPr>
                    <w:keepNext w:val="0"/>
                    <w:keepLines w:val="0"/>
                    <w:suppressLineNumbers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铝</w:t>
                  </w:r>
                </w:p>
              </w:tc>
              <w:tc>
                <w:tcPr>
                  <w:tcW w:w="815" w:type="dxa"/>
                  <w:vAlign w:val="center"/>
                </w:tcPr>
                <w:p w14:paraId="71F47956">
                  <w:pPr>
                    <w:keepNext w:val="0"/>
                    <w:keepLines w:val="0"/>
                    <w:suppressLineNumbers w:val="0"/>
                    <w:spacing w:before="0" w:beforeAutospacing="0" w:after="0" w:afterAutospacing="0"/>
                    <w:ind w:left="0" w:leftChars="0" w:right="0" w:rightChars="0"/>
                    <w:jc w:val="center"/>
                    <w:rPr>
                      <w:rFonts w:hint="eastAsia" w:eastAsia="宋体"/>
                      <w:color w:val="auto"/>
                      <w:szCs w:val="21"/>
                      <w:highlight w:val="none"/>
                      <w:lang w:val="en-US" w:eastAsia="zh-CN"/>
                    </w:rPr>
                  </w:pPr>
                  <w:r>
                    <w:rPr>
                      <w:rFonts w:hint="eastAsia"/>
                      <w:color w:val="auto"/>
                      <w:szCs w:val="21"/>
                      <w:highlight w:val="none"/>
                      <w:lang w:val="en-US" w:eastAsia="zh-CN"/>
                    </w:rPr>
                    <w:t>铝、镁</w:t>
                  </w:r>
                </w:p>
              </w:tc>
              <w:tc>
                <w:tcPr>
                  <w:tcW w:w="508" w:type="dxa"/>
                  <w:vAlign w:val="center"/>
                </w:tcPr>
                <w:p w14:paraId="2141DA12">
                  <w:pPr>
                    <w:keepNext w:val="0"/>
                    <w:keepLines w:val="0"/>
                    <w:suppressLineNumbers w:val="0"/>
                    <w:spacing w:before="0" w:beforeAutospacing="0" w:after="0" w:afterAutospacing="0"/>
                    <w:ind w:left="0" w:leftChars="0" w:right="0" w:rightChars="0"/>
                    <w:jc w:val="center"/>
                    <w:rPr>
                      <w:rFonts w:hint="default"/>
                      <w:bCs/>
                      <w:color w:val="auto"/>
                      <w:szCs w:val="21"/>
                      <w:highlight w:val="none"/>
                    </w:rPr>
                  </w:pPr>
                  <w:r>
                    <w:rPr>
                      <w:rFonts w:hint="default"/>
                      <w:bCs/>
                      <w:color w:val="auto"/>
                      <w:szCs w:val="21"/>
                      <w:highlight w:val="none"/>
                    </w:rPr>
                    <w:t>间断</w:t>
                  </w:r>
                </w:p>
              </w:tc>
              <w:tc>
                <w:tcPr>
                  <w:tcW w:w="678" w:type="dxa"/>
                  <w:shd w:val="clear" w:color="auto" w:fill="auto"/>
                  <w:vAlign w:val="center"/>
                </w:tcPr>
                <w:p w14:paraId="13F0C6E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highlight w:val="none"/>
                      <w:lang w:val="en-US" w:eastAsia="zh-CN" w:bidi="ar-SA"/>
                    </w:rPr>
                  </w:pPr>
                  <w:r>
                    <w:rPr>
                      <w:rFonts w:hint="default"/>
                      <w:bCs/>
                      <w:color w:val="auto"/>
                      <w:szCs w:val="21"/>
                      <w:highlight w:val="none"/>
                    </w:rPr>
                    <w:t>T</w:t>
                  </w:r>
                  <w:r>
                    <w:rPr>
                      <w:rFonts w:hint="eastAsia"/>
                      <w:bCs/>
                      <w:color w:val="auto"/>
                      <w:szCs w:val="21"/>
                      <w:highlight w:val="none"/>
                      <w:lang w:eastAsia="zh-CN"/>
                    </w:rPr>
                    <w:t xml:space="preserve">, </w:t>
                  </w:r>
                  <w:r>
                    <w:rPr>
                      <w:rFonts w:hint="default"/>
                      <w:bCs/>
                      <w:color w:val="auto"/>
                      <w:szCs w:val="21"/>
                      <w:highlight w:val="none"/>
                    </w:rPr>
                    <w:t>R</w:t>
                  </w:r>
                </w:p>
              </w:tc>
              <w:tc>
                <w:tcPr>
                  <w:tcW w:w="739" w:type="dxa"/>
                  <w:vMerge w:val="continue"/>
                  <w:vAlign w:val="center"/>
                </w:tcPr>
                <w:p w14:paraId="5C6852D1">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4116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484" w:type="dxa"/>
                  <w:vAlign w:val="center"/>
                </w:tcPr>
                <w:p w14:paraId="07508DA2">
                  <w:pPr>
                    <w:keepNext w:val="0"/>
                    <w:keepLines w:val="0"/>
                    <w:suppressLineNumbers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9</w:t>
                  </w:r>
                </w:p>
              </w:tc>
              <w:tc>
                <w:tcPr>
                  <w:tcW w:w="1228" w:type="dxa"/>
                  <w:vAlign w:val="center"/>
                </w:tcPr>
                <w:p w14:paraId="72E25155">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废紫外灯管</w:t>
                  </w:r>
                </w:p>
              </w:tc>
              <w:tc>
                <w:tcPr>
                  <w:tcW w:w="977" w:type="dxa"/>
                  <w:vAlign w:val="center"/>
                </w:tcPr>
                <w:p w14:paraId="341BB36C">
                  <w:pPr>
                    <w:keepNext w:val="0"/>
                    <w:keepLines w:val="0"/>
                    <w:suppressLineNumbers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HW29</w:t>
                  </w:r>
                </w:p>
              </w:tc>
              <w:tc>
                <w:tcPr>
                  <w:tcW w:w="979" w:type="dxa"/>
                  <w:vAlign w:val="center"/>
                </w:tcPr>
                <w:p w14:paraId="64ADDCC7">
                  <w:pPr>
                    <w:keepNext w:val="0"/>
                    <w:keepLines w:val="0"/>
                    <w:suppressLineNumbers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900-023-29</w:t>
                  </w:r>
                </w:p>
              </w:tc>
              <w:tc>
                <w:tcPr>
                  <w:tcW w:w="814" w:type="dxa"/>
                  <w:vAlign w:val="center"/>
                </w:tcPr>
                <w:p w14:paraId="5D6EA234">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0.01</w:t>
                  </w:r>
                </w:p>
              </w:tc>
              <w:tc>
                <w:tcPr>
                  <w:tcW w:w="815" w:type="dxa"/>
                  <w:vAlign w:val="center"/>
                </w:tcPr>
                <w:p w14:paraId="382B9EF0">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废水处理</w:t>
                  </w:r>
                </w:p>
              </w:tc>
              <w:tc>
                <w:tcPr>
                  <w:tcW w:w="489" w:type="dxa"/>
                  <w:vAlign w:val="center"/>
                </w:tcPr>
                <w:p w14:paraId="788B41EA">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default"/>
                      <w:bCs/>
                      <w:color w:val="auto"/>
                      <w:szCs w:val="21"/>
                      <w:highlight w:val="none"/>
                    </w:rPr>
                    <w:t>固态</w:t>
                  </w:r>
                </w:p>
              </w:tc>
              <w:tc>
                <w:tcPr>
                  <w:tcW w:w="815" w:type="dxa"/>
                  <w:vAlign w:val="center"/>
                </w:tcPr>
                <w:p w14:paraId="09AA17D6">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玻璃</w:t>
                  </w:r>
                </w:p>
              </w:tc>
              <w:tc>
                <w:tcPr>
                  <w:tcW w:w="815" w:type="dxa"/>
                  <w:vAlign w:val="center"/>
                </w:tcPr>
                <w:p w14:paraId="0E009078">
                  <w:pPr>
                    <w:keepNext w:val="0"/>
                    <w:keepLines w:val="0"/>
                    <w:suppressLineNumbers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含汞物质</w:t>
                  </w:r>
                </w:p>
              </w:tc>
              <w:tc>
                <w:tcPr>
                  <w:tcW w:w="508" w:type="dxa"/>
                  <w:vAlign w:val="center"/>
                </w:tcPr>
                <w:p w14:paraId="52C99F1D">
                  <w:pPr>
                    <w:keepNext w:val="0"/>
                    <w:keepLines w:val="0"/>
                    <w:suppressLineNumbers w:val="0"/>
                    <w:spacing w:before="0" w:beforeAutospacing="0" w:after="0" w:afterAutospacing="0"/>
                    <w:ind w:left="0" w:leftChars="0" w:right="0" w:rightChars="0"/>
                    <w:jc w:val="center"/>
                    <w:rPr>
                      <w:rFonts w:hint="default"/>
                      <w:bCs/>
                      <w:color w:val="auto"/>
                      <w:szCs w:val="21"/>
                      <w:highlight w:val="none"/>
                    </w:rPr>
                  </w:pPr>
                  <w:r>
                    <w:rPr>
                      <w:rFonts w:hint="default"/>
                      <w:bCs/>
                      <w:color w:val="auto"/>
                      <w:szCs w:val="21"/>
                      <w:highlight w:val="none"/>
                    </w:rPr>
                    <w:t>间断</w:t>
                  </w:r>
                </w:p>
              </w:tc>
              <w:tc>
                <w:tcPr>
                  <w:tcW w:w="678" w:type="dxa"/>
                  <w:vAlign w:val="center"/>
                </w:tcPr>
                <w:p w14:paraId="2B61F409">
                  <w:pPr>
                    <w:keepNext w:val="0"/>
                    <w:keepLines w:val="0"/>
                    <w:suppressLineNumbers w:val="0"/>
                    <w:spacing w:before="0" w:beforeAutospacing="0" w:after="0" w:afterAutospacing="0"/>
                    <w:ind w:left="0" w:right="0"/>
                    <w:jc w:val="center"/>
                    <w:rPr>
                      <w:rFonts w:hint="eastAsia" w:eastAsia="宋体"/>
                      <w:bCs/>
                      <w:color w:val="auto"/>
                      <w:szCs w:val="21"/>
                      <w:highlight w:val="none"/>
                      <w:lang w:val="en-US" w:eastAsia="zh-CN"/>
                    </w:rPr>
                  </w:pPr>
                  <w:r>
                    <w:rPr>
                      <w:rFonts w:hint="eastAsia"/>
                      <w:bCs/>
                      <w:color w:val="auto"/>
                      <w:szCs w:val="21"/>
                      <w:highlight w:val="none"/>
                      <w:lang w:val="en-US" w:eastAsia="zh-CN"/>
                    </w:rPr>
                    <w:t>T</w:t>
                  </w:r>
                </w:p>
              </w:tc>
              <w:tc>
                <w:tcPr>
                  <w:tcW w:w="739" w:type="dxa"/>
                  <w:vMerge w:val="continue"/>
                  <w:vAlign w:val="center"/>
                </w:tcPr>
                <w:p w14:paraId="04AA8699">
                  <w:pPr>
                    <w:keepNext w:val="0"/>
                    <w:keepLines w:val="0"/>
                    <w:suppressLineNumbers w:val="0"/>
                    <w:spacing w:before="0" w:beforeAutospacing="0" w:after="0" w:afterAutospacing="0"/>
                    <w:ind w:left="0" w:right="0"/>
                    <w:jc w:val="center"/>
                    <w:rPr>
                      <w:rFonts w:hint="default"/>
                      <w:bCs/>
                      <w:color w:val="auto"/>
                      <w:szCs w:val="21"/>
                      <w:highlight w:val="none"/>
                    </w:rPr>
                  </w:pPr>
                </w:p>
              </w:tc>
            </w:tr>
            <w:tr w14:paraId="1CD3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1" w:type="dxa"/>
                  <w:gridSpan w:val="12"/>
                  <w:vAlign w:val="center"/>
                </w:tcPr>
                <w:p w14:paraId="263E3C32">
                  <w:pPr>
                    <w:keepNext w:val="0"/>
                    <w:keepLines w:val="0"/>
                    <w:suppressLineNumbers w:val="0"/>
                    <w:spacing w:before="0" w:beforeAutospacing="0" w:after="0" w:afterAutospacing="0"/>
                    <w:ind w:left="0" w:right="0"/>
                    <w:rPr>
                      <w:rFonts w:hint="eastAsia" w:eastAsia="宋体"/>
                      <w:bCs/>
                      <w:color w:val="auto"/>
                      <w:szCs w:val="21"/>
                      <w:highlight w:val="none"/>
                      <w:lang w:eastAsia="zh-CN"/>
                    </w:rPr>
                  </w:pPr>
                  <w:r>
                    <w:rPr>
                      <w:rFonts w:hint="default"/>
                      <w:bCs/>
                      <w:color w:val="auto"/>
                      <w:szCs w:val="21"/>
                      <w:highlight w:val="none"/>
                    </w:rPr>
                    <w:t>注：</w:t>
                  </w:r>
                  <w:r>
                    <w:rPr>
                      <w:rFonts w:hint="eastAsia"/>
                      <w:bCs/>
                      <w:color w:val="auto"/>
                      <w:szCs w:val="21"/>
                      <w:highlight w:val="none"/>
                    </w:rPr>
                    <w:t>危险废物类别、代码、危险特性等参照《国家危险废物名录》（2025版）</w:t>
                  </w:r>
                  <w:r>
                    <w:rPr>
                      <w:rFonts w:hint="eastAsia"/>
                      <w:bCs/>
                      <w:color w:val="auto"/>
                      <w:szCs w:val="21"/>
                      <w:highlight w:val="none"/>
                      <w:lang w:eastAsia="zh-CN"/>
                    </w:rPr>
                    <w:t>。</w:t>
                  </w:r>
                </w:p>
              </w:tc>
            </w:tr>
          </w:tbl>
          <w:p w14:paraId="61C19170">
            <w:pPr>
              <w:pStyle w:val="50"/>
              <w:keepNext w:val="0"/>
              <w:keepLines w:val="0"/>
              <w:suppressLineNumbers w:val="0"/>
              <w:spacing w:before="0" w:beforeAutospacing="0" w:after="0" w:afterAutospacing="0"/>
              <w:ind w:left="0" w:right="0"/>
              <w:rPr>
                <w:rFonts w:hint="default"/>
                <w:color w:val="auto"/>
                <w:highlight w:val="none"/>
              </w:rPr>
            </w:pPr>
          </w:p>
          <w:p w14:paraId="4C56DF0E">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 xml:space="preserve"> </w:t>
            </w:r>
            <w:r>
              <w:rPr>
                <w:rFonts w:hint="eastAsia"/>
                <w:color w:val="auto"/>
                <w:kern w:val="0"/>
                <w:sz w:val="26"/>
                <w:szCs w:val="26"/>
                <w:highlight w:val="none"/>
              </w:rPr>
              <w:t>表</w:t>
            </w:r>
            <w:r>
              <w:rPr>
                <w:rFonts w:hint="default"/>
                <w:color w:val="auto"/>
                <w:kern w:val="0"/>
                <w:sz w:val="26"/>
                <w:szCs w:val="26"/>
                <w:highlight w:val="none"/>
              </w:rPr>
              <w:t>4.2-</w:t>
            </w:r>
            <w:r>
              <w:rPr>
                <w:rFonts w:hint="eastAsia"/>
                <w:color w:val="auto"/>
                <w:kern w:val="0"/>
                <w:sz w:val="26"/>
                <w:szCs w:val="26"/>
                <w:highlight w:val="none"/>
                <w:lang w:val="en-US" w:eastAsia="zh-CN"/>
              </w:rPr>
              <w:t>16</w:t>
            </w:r>
            <w:r>
              <w:rPr>
                <w:rFonts w:hint="default"/>
                <w:color w:val="auto"/>
                <w:kern w:val="0"/>
                <w:sz w:val="26"/>
                <w:szCs w:val="26"/>
                <w:highlight w:val="none"/>
              </w:rPr>
              <w:t xml:space="preserve"> </w:t>
            </w:r>
            <w:r>
              <w:rPr>
                <w:rFonts w:hint="eastAsia"/>
                <w:color w:val="auto"/>
                <w:kern w:val="0"/>
                <w:sz w:val="26"/>
                <w:szCs w:val="26"/>
                <w:highlight w:val="none"/>
                <w:lang w:val="en-US" w:eastAsia="zh-CN"/>
              </w:rPr>
              <w:t xml:space="preserve"> </w:t>
            </w:r>
            <w:r>
              <w:rPr>
                <w:rFonts w:hint="eastAsia"/>
                <w:color w:val="auto"/>
                <w:kern w:val="0"/>
                <w:sz w:val="26"/>
                <w:szCs w:val="26"/>
                <w:highlight w:val="none"/>
              </w:rPr>
              <w:t>建设项目危险废物贮存场所（设施）基本情况</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77"/>
              <w:gridCol w:w="956"/>
              <w:gridCol w:w="1475"/>
              <w:gridCol w:w="979"/>
              <w:gridCol w:w="603"/>
              <w:gridCol w:w="1017"/>
              <w:gridCol w:w="614"/>
              <w:gridCol w:w="823"/>
            </w:tblGrid>
            <w:tr w14:paraId="0F46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14:paraId="6D4FD763">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贮存场所名称</w:t>
                  </w:r>
                </w:p>
              </w:tc>
              <w:tc>
                <w:tcPr>
                  <w:tcW w:w="1977" w:type="dxa"/>
                  <w:vAlign w:val="center"/>
                </w:tcPr>
                <w:p w14:paraId="53F8969E">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危险废物名称</w:t>
                  </w:r>
                </w:p>
              </w:tc>
              <w:tc>
                <w:tcPr>
                  <w:tcW w:w="956" w:type="dxa"/>
                  <w:vAlign w:val="center"/>
                </w:tcPr>
                <w:p w14:paraId="3777A8A9">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危险废物类别</w:t>
                  </w:r>
                </w:p>
              </w:tc>
              <w:tc>
                <w:tcPr>
                  <w:tcW w:w="1475" w:type="dxa"/>
                  <w:vAlign w:val="center"/>
                </w:tcPr>
                <w:p w14:paraId="58F47057">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危险废物代码</w:t>
                  </w:r>
                </w:p>
              </w:tc>
              <w:tc>
                <w:tcPr>
                  <w:tcW w:w="979" w:type="dxa"/>
                  <w:vAlign w:val="center"/>
                </w:tcPr>
                <w:p w14:paraId="5AFD935F">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贮存方式</w:t>
                  </w:r>
                </w:p>
              </w:tc>
              <w:tc>
                <w:tcPr>
                  <w:tcW w:w="603" w:type="dxa"/>
                  <w:vAlign w:val="center"/>
                </w:tcPr>
                <w:p w14:paraId="693D7201">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位置</w:t>
                  </w:r>
                </w:p>
              </w:tc>
              <w:tc>
                <w:tcPr>
                  <w:tcW w:w="1017" w:type="dxa"/>
                  <w:vAlign w:val="center"/>
                </w:tcPr>
                <w:p w14:paraId="0FF57413">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占地面积</w:t>
                  </w:r>
                </w:p>
              </w:tc>
              <w:tc>
                <w:tcPr>
                  <w:tcW w:w="614" w:type="dxa"/>
                  <w:vAlign w:val="center"/>
                </w:tcPr>
                <w:p w14:paraId="5F156875">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贮存能力</w:t>
                  </w:r>
                </w:p>
              </w:tc>
              <w:tc>
                <w:tcPr>
                  <w:tcW w:w="823" w:type="dxa"/>
                  <w:vAlign w:val="center"/>
                </w:tcPr>
                <w:p w14:paraId="1F11AA61">
                  <w:pPr>
                    <w:keepNext w:val="0"/>
                    <w:keepLines w:val="0"/>
                    <w:suppressLineNumbers w:val="0"/>
                    <w:adjustRightInd w:val="0"/>
                    <w:snapToGrid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贮存周期</w:t>
                  </w:r>
                </w:p>
              </w:tc>
            </w:tr>
            <w:tr w14:paraId="2EA1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5653AA5A">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default"/>
                      <w:color w:val="auto"/>
                      <w:szCs w:val="21"/>
                      <w:highlight w:val="none"/>
                    </w:rPr>
                    <w:t>危废</w:t>
                  </w:r>
                  <w:r>
                    <w:rPr>
                      <w:rFonts w:hint="eastAsia"/>
                      <w:color w:val="auto"/>
                      <w:szCs w:val="21"/>
                      <w:highlight w:val="none"/>
                      <w:lang w:val="en-US" w:eastAsia="zh-CN"/>
                    </w:rPr>
                    <w:t>贮存库1#</w:t>
                  </w:r>
                </w:p>
              </w:tc>
              <w:tc>
                <w:tcPr>
                  <w:tcW w:w="1977" w:type="dxa"/>
                  <w:vAlign w:val="center"/>
                </w:tcPr>
                <w:p w14:paraId="11B2E264">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废过滤棉</w:t>
                  </w:r>
                </w:p>
              </w:tc>
              <w:tc>
                <w:tcPr>
                  <w:tcW w:w="956" w:type="dxa"/>
                  <w:vAlign w:val="center"/>
                </w:tcPr>
                <w:p w14:paraId="0A9DC93D">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HW49</w:t>
                  </w:r>
                </w:p>
              </w:tc>
              <w:tc>
                <w:tcPr>
                  <w:tcW w:w="1475" w:type="dxa"/>
                  <w:vAlign w:val="center"/>
                </w:tcPr>
                <w:p w14:paraId="3CD6758E">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900-041-49</w:t>
                  </w:r>
                </w:p>
              </w:tc>
              <w:tc>
                <w:tcPr>
                  <w:tcW w:w="979" w:type="dxa"/>
                  <w:vMerge w:val="restart"/>
                  <w:vAlign w:val="center"/>
                </w:tcPr>
                <w:p w14:paraId="3264D63D">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采用防破损、防漏的</w:t>
                  </w:r>
                  <w:r>
                    <w:rPr>
                      <w:rFonts w:hint="eastAsia"/>
                      <w:color w:val="auto"/>
                      <w:szCs w:val="21"/>
                      <w:highlight w:val="none"/>
                      <w:lang w:val="en-US" w:eastAsia="zh-CN"/>
                    </w:rPr>
                    <w:t>专用</w:t>
                  </w:r>
                  <w:r>
                    <w:rPr>
                      <w:rFonts w:hint="default"/>
                      <w:color w:val="auto"/>
                      <w:szCs w:val="21"/>
                      <w:highlight w:val="none"/>
                    </w:rPr>
                    <w:t>容器分类集中桶装收集</w:t>
                  </w:r>
                </w:p>
                <w:p w14:paraId="47139A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p>
              </w:tc>
              <w:tc>
                <w:tcPr>
                  <w:tcW w:w="1620" w:type="dxa"/>
                  <w:gridSpan w:val="2"/>
                  <w:vMerge w:val="restart"/>
                  <w:vAlign w:val="center"/>
                </w:tcPr>
                <w:p w14:paraId="55C76F7B">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厂区西南侧</w:t>
                  </w:r>
                  <w:r>
                    <w:rPr>
                      <w:rFonts w:hint="eastAsia"/>
                      <w:color w:val="auto"/>
                      <w:szCs w:val="21"/>
                      <w:highlight w:val="none"/>
                      <w:lang w:eastAsia="zh-CN"/>
                    </w:rPr>
                    <w:t>，</w:t>
                  </w:r>
                  <w:r>
                    <w:rPr>
                      <w:rFonts w:hint="eastAsia"/>
                      <w:color w:val="auto"/>
                      <w:szCs w:val="21"/>
                      <w:highlight w:val="none"/>
                    </w:rPr>
                    <w:t>面积约为32m</w:t>
                  </w:r>
                  <w:r>
                    <w:rPr>
                      <w:rFonts w:hint="eastAsia"/>
                      <w:color w:val="auto"/>
                      <w:szCs w:val="21"/>
                      <w:highlight w:val="none"/>
                      <w:vertAlign w:val="superscript"/>
                    </w:rPr>
                    <w:t>2</w:t>
                  </w:r>
                </w:p>
              </w:tc>
              <w:tc>
                <w:tcPr>
                  <w:tcW w:w="614" w:type="dxa"/>
                  <w:vMerge w:val="restart"/>
                  <w:vAlign w:val="center"/>
                </w:tcPr>
                <w:p w14:paraId="45727913">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5</w:t>
                  </w:r>
                  <w:r>
                    <w:rPr>
                      <w:rFonts w:hint="default"/>
                      <w:color w:val="auto"/>
                      <w:szCs w:val="21"/>
                      <w:highlight w:val="none"/>
                    </w:rPr>
                    <w:t>t</w:t>
                  </w:r>
                </w:p>
              </w:tc>
              <w:tc>
                <w:tcPr>
                  <w:tcW w:w="823" w:type="dxa"/>
                  <w:vAlign w:val="center"/>
                </w:tcPr>
                <w:p w14:paraId="7669FA50">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w:t>
                  </w:r>
                  <w:r>
                    <w:rPr>
                      <w:rFonts w:hint="default"/>
                      <w:color w:val="auto"/>
                      <w:szCs w:val="21"/>
                      <w:highlight w:val="none"/>
                    </w:rPr>
                    <w:t>个月</w:t>
                  </w:r>
                </w:p>
              </w:tc>
            </w:tr>
            <w:tr w14:paraId="5B92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vMerge w:val="continue"/>
                  <w:vAlign w:val="center"/>
                </w:tcPr>
                <w:p w14:paraId="01B30A87">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7182D368">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废活性炭</w:t>
                  </w:r>
                </w:p>
              </w:tc>
              <w:tc>
                <w:tcPr>
                  <w:tcW w:w="956" w:type="dxa"/>
                  <w:vAlign w:val="center"/>
                </w:tcPr>
                <w:p w14:paraId="21047775">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HW49</w:t>
                  </w:r>
                </w:p>
              </w:tc>
              <w:tc>
                <w:tcPr>
                  <w:tcW w:w="1475" w:type="dxa"/>
                  <w:vAlign w:val="center"/>
                </w:tcPr>
                <w:p w14:paraId="2F0AA9A8">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900-039-49</w:t>
                  </w:r>
                </w:p>
              </w:tc>
              <w:tc>
                <w:tcPr>
                  <w:tcW w:w="979" w:type="dxa"/>
                  <w:vMerge w:val="continue"/>
                  <w:vAlign w:val="center"/>
                </w:tcPr>
                <w:p w14:paraId="46D45EC0">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7A46EBC0">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7C52F003">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5247B04E">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w:t>
                  </w:r>
                  <w:r>
                    <w:rPr>
                      <w:rFonts w:hint="default"/>
                      <w:color w:val="auto"/>
                      <w:szCs w:val="21"/>
                      <w:highlight w:val="none"/>
                    </w:rPr>
                    <w:t>个月</w:t>
                  </w:r>
                </w:p>
              </w:tc>
            </w:tr>
            <w:tr w14:paraId="61F3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97" w:type="dxa"/>
                  <w:vMerge w:val="continue"/>
                  <w:vAlign w:val="center"/>
                </w:tcPr>
                <w:p w14:paraId="4E6AD983">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6F1F6232">
                  <w:pPr>
                    <w:keepNext w:val="0"/>
                    <w:keepLines w:val="0"/>
                    <w:suppressLineNumbers w:val="0"/>
                    <w:adjustRightInd w:val="0"/>
                    <w:snapToGrid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铝灰渣</w:t>
                  </w:r>
                </w:p>
              </w:tc>
              <w:tc>
                <w:tcPr>
                  <w:tcW w:w="956" w:type="dxa"/>
                  <w:vAlign w:val="center"/>
                </w:tcPr>
                <w:p w14:paraId="64A89DB7">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HW48</w:t>
                  </w:r>
                </w:p>
              </w:tc>
              <w:tc>
                <w:tcPr>
                  <w:tcW w:w="1475" w:type="dxa"/>
                  <w:vAlign w:val="center"/>
                </w:tcPr>
                <w:p w14:paraId="55CB5750">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321-034-48</w:t>
                  </w:r>
                </w:p>
              </w:tc>
              <w:tc>
                <w:tcPr>
                  <w:tcW w:w="979" w:type="dxa"/>
                  <w:vMerge w:val="continue"/>
                  <w:vAlign w:val="center"/>
                </w:tcPr>
                <w:p w14:paraId="0EA9B170">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20AB4064">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5088FAB3">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5B0BC7B2">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1</w:t>
                  </w:r>
                  <w:r>
                    <w:rPr>
                      <w:rFonts w:hint="default"/>
                      <w:color w:val="auto"/>
                      <w:szCs w:val="21"/>
                      <w:highlight w:val="none"/>
                    </w:rPr>
                    <w:t>个月</w:t>
                  </w:r>
                </w:p>
              </w:tc>
            </w:tr>
            <w:tr w14:paraId="464A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97" w:type="dxa"/>
                  <w:vMerge w:val="continue"/>
                  <w:vAlign w:val="center"/>
                </w:tcPr>
                <w:p w14:paraId="08A38562">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65BB9F26">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lang w:val="en-US" w:eastAsia="zh-CN"/>
                    </w:rPr>
                  </w:pPr>
                  <w:r>
                    <w:rPr>
                      <w:rFonts w:hint="eastAsia"/>
                      <w:bCs/>
                      <w:color w:val="auto"/>
                      <w:szCs w:val="21"/>
                      <w:highlight w:val="none"/>
                      <w:lang w:val="en-US" w:eastAsia="zh-CN"/>
                    </w:rPr>
                    <w:t>除尘灰（铝灰）</w:t>
                  </w:r>
                </w:p>
              </w:tc>
              <w:tc>
                <w:tcPr>
                  <w:tcW w:w="956" w:type="dxa"/>
                  <w:vAlign w:val="center"/>
                </w:tcPr>
                <w:p w14:paraId="4F6BBFD0">
                  <w:pPr>
                    <w:keepNext w:val="0"/>
                    <w:keepLines w:val="0"/>
                    <w:suppressLineNumbers w:val="0"/>
                    <w:spacing w:before="0" w:beforeAutospacing="0" w:after="0" w:afterAutospacing="0"/>
                    <w:ind w:left="0" w:leftChars="0" w:right="0" w:rightChars="0"/>
                    <w:jc w:val="center"/>
                    <w:rPr>
                      <w:rFonts w:hint="eastAsia"/>
                      <w:bCs/>
                      <w:color w:val="auto"/>
                      <w:szCs w:val="21"/>
                      <w:highlight w:val="none"/>
                      <w:lang w:val="en-US" w:eastAsia="zh-CN"/>
                    </w:rPr>
                  </w:pPr>
                  <w:r>
                    <w:rPr>
                      <w:rFonts w:hint="eastAsia"/>
                      <w:bCs/>
                      <w:color w:val="auto"/>
                      <w:szCs w:val="21"/>
                      <w:highlight w:val="none"/>
                      <w:lang w:val="en-US" w:eastAsia="zh-CN"/>
                    </w:rPr>
                    <w:t>HW48</w:t>
                  </w:r>
                </w:p>
              </w:tc>
              <w:tc>
                <w:tcPr>
                  <w:tcW w:w="1475" w:type="dxa"/>
                  <w:vAlign w:val="center"/>
                </w:tcPr>
                <w:p w14:paraId="323EB572">
                  <w:pPr>
                    <w:keepNext w:val="0"/>
                    <w:keepLines w:val="0"/>
                    <w:suppressLineNumbers w:val="0"/>
                    <w:spacing w:before="0" w:beforeAutospacing="0" w:after="0" w:afterAutospacing="0"/>
                    <w:ind w:left="0" w:leftChars="0" w:right="0" w:rightChars="0"/>
                    <w:jc w:val="center"/>
                    <w:rPr>
                      <w:rFonts w:hint="eastAsia"/>
                      <w:bCs/>
                      <w:color w:val="auto"/>
                      <w:szCs w:val="21"/>
                      <w:highlight w:val="none"/>
                      <w:lang w:val="en-US" w:eastAsia="zh-CN"/>
                    </w:rPr>
                  </w:pPr>
                  <w:r>
                    <w:rPr>
                      <w:rFonts w:hint="eastAsia"/>
                      <w:bCs/>
                      <w:color w:val="auto"/>
                      <w:szCs w:val="21"/>
                      <w:highlight w:val="none"/>
                      <w:lang w:val="en-US" w:eastAsia="zh-CN"/>
                    </w:rPr>
                    <w:t>321-034-48</w:t>
                  </w:r>
                </w:p>
              </w:tc>
              <w:tc>
                <w:tcPr>
                  <w:tcW w:w="979" w:type="dxa"/>
                  <w:vMerge w:val="continue"/>
                  <w:vAlign w:val="center"/>
                </w:tcPr>
                <w:p w14:paraId="0CF3E271">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19D57EAB">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3CBB9F22">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6B02BF88">
                  <w:pPr>
                    <w:keepNext w:val="0"/>
                    <w:keepLines w:val="0"/>
                    <w:suppressLineNumbers w:val="0"/>
                    <w:adjustRightInd w:val="0"/>
                    <w:snapToGrid w:val="0"/>
                    <w:spacing w:before="0" w:beforeAutospacing="0" w:after="0" w:afterAutospacing="0"/>
                    <w:ind w:left="0" w:right="0"/>
                    <w:jc w:val="center"/>
                    <w:rPr>
                      <w:rFonts w:hint="eastAsia"/>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rPr>
                    <w:t>个月</w:t>
                  </w:r>
                </w:p>
              </w:tc>
            </w:tr>
            <w:tr w14:paraId="78EC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66FE9385">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危废贮存库2#</w:t>
                  </w:r>
                </w:p>
              </w:tc>
              <w:tc>
                <w:tcPr>
                  <w:tcW w:w="1977" w:type="dxa"/>
                  <w:vAlign w:val="center"/>
                </w:tcPr>
                <w:p w14:paraId="1F7278A4">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废液压油</w:t>
                  </w:r>
                </w:p>
              </w:tc>
              <w:tc>
                <w:tcPr>
                  <w:tcW w:w="956" w:type="dxa"/>
                  <w:vAlign w:val="center"/>
                </w:tcPr>
                <w:p w14:paraId="18F92033">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HW08</w:t>
                  </w:r>
                </w:p>
              </w:tc>
              <w:tc>
                <w:tcPr>
                  <w:tcW w:w="1475" w:type="dxa"/>
                  <w:vAlign w:val="center"/>
                </w:tcPr>
                <w:p w14:paraId="63EDA0E3">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900-218-08</w:t>
                  </w:r>
                </w:p>
              </w:tc>
              <w:tc>
                <w:tcPr>
                  <w:tcW w:w="979" w:type="dxa"/>
                  <w:vMerge w:val="continue"/>
                  <w:vAlign w:val="center"/>
                </w:tcPr>
                <w:p w14:paraId="0828A9EB">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restart"/>
                  <w:vAlign w:val="center"/>
                </w:tcPr>
                <w:p w14:paraId="20541DDB">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rPr>
                    <w:t>厂区西南侧</w:t>
                  </w:r>
                  <w:r>
                    <w:rPr>
                      <w:rFonts w:hint="eastAsia"/>
                      <w:color w:val="auto"/>
                      <w:szCs w:val="21"/>
                      <w:highlight w:val="none"/>
                      <w:lang w:eastAsia="zh-CN"/>
                    </w:rPr>
                    <w:t>，</w:t>
                  </w:r>
                  <w:r>
                    <w:rPr>
                      <w:rFonts w:hint="eastAsia"/>
                      <w:color w:val="auto"/>
                      <w:szCs w:val="21"/>
                      <w:highlight w:val="none"/>
                    </w:rPr>
                    <w:t>面积约为32m</w:t>
                  </w:r>
                  <w:r>
                    <w:rPr>
                      <w:rFonts w:hint="eastAsia"/>
                      <w:color w:val="auto"/>
                      <w:szCs w:val="21"/>
                      <w:highlight w:val="none"/>
                      <w:vertAlign w:val="superscript"/>
                    </w:rPr>
                    <w:t>2</w:t>
                  </w:r>
                </w:p>
              </w:tc>
              <w:tc>
                <w:tcPr>
                  <w:tcW w:w="614" w:type="dxa"/>
                  <w:vMerge w:val="restart"/>
                  <w:vAlign w:val="center"/>
                </w:tcPr>
                <w:p w14:paraId="4744A7E1">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eastAsia"/>
                      <w:color w:val="auto"/>
                      <w:szCs w:val="21"/>
                      <w:highlight w:val="none"/>
                      <w:lang w:val="en-US" w:eastAsia="zh-CN"/>
                    </w:rPr>
                    <w:t>50.</w:t>
                  </w:r>
                  <w:r>
                    <w:rPr>
                      <w:rFonts w:hint="default"/>
                      <w:color w:val="auto"/>
                      <w:szCs w:val="21"/>
                      <w:highlight w:val="none"/>
                    </w:rPr>
                    <w:t>t</w:t>
                  </w:r>
                </w:p>
              </w:tc>
              <w:tc>
                <w:tcPr>
                  <w:tcW w:w="823" w:type="dxa"/>
                  <w:vAlign w:val="center"/>
                </w:tcPr>
                <w:p w14:paraId="7FC4DE55">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半年</w:t>
                  </w:r>
                </w:p>
              </w:tc>
            </w:tr>
            <w:tr w14:paraId="319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49528D24">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4C9EAF96">
                  <w:pPr>
                    <w:keepNext w:val="0"/>
                    <w:keepLines w:val="0"/>
                    <w:suppressLineNumbers w:val="0"/>
                    <w:adjustRightInd w:val="0"/>
                    <w:snapToGrid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废机油</w:t>
                  </w:r>
                </w:p>
              </w:tc>
              <w:tc>
                <w:tcPr>
                  <w:tcW w:w="956" w:type="dxa"/>
                  <w:vAlign w:val="center"/>
                </w:tcPr>
                <w:p w14:paraId="48C92A5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HW08</w:t>
                  </w:r>
                </w:p>
              </w:tc>
              <w:tc>
                <w:tcPr>
                  <w:tcW w:w="1475" w:type="dxa"/>
                  <w:vAlign w:val="center"/>
                </w:tcPr>
                <w:p w14:paraId="33EF0D19">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900-217-08</w:t>
                  </w:r>
                </w:p>
              </w:tc>
              <w:tc>
                <w:tcPr>
                  <w:tcW w:w="979" w:type="dxa"/>
                  <w:vMerge w:val="continue"/>
                  <w:vAlign w:val="center"/>
                </w:tcPr>
                <w:p w14:paraId="61CBDA38">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020C7782">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59A039D9">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348FEA0E">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半年</w:t>
                  </w:r>
                </w:p>
              </w:tc>
            </w:tr>
            <w:tr w14:paraId="5A3D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67268076">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5943B0A7">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bCs/>
                      <w:color w:val="auto"/>
                      <w:szCs w:val="21"/>
                      <w:highlight w:val="none"/>
                    </w:rPr>
                    <w:t>废弃含油抹布、劳保用品</w:t>
                  </w:r>
                </w:p>
              </w:tc>
              <w:tc>
                <w:tcPr>
                  <w:tcW w:w="956" w:type="dxa"/>
                  <w:vAlign w:val="center"/>
                </w:tcPr>
                <w:p w14:paraId="40783B9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HW49</w:t>
                  </w:r>
                </w:p>
              </w:tc>
              <w:tc>
                <w:tcPr>
                  <w:tcW w:w="1475" w:type="dxa"/>
                  <w:vAlign w:val="center"/>
                </w:tcPr>
                <w:p w14:paraId="165AAA7A">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900-041-49</w:t>
                  </w:r>
                </w:p>
              </w:tc>
              <w:tc>
                <w:tcPr>
                  <w:tcW w:w="979" w:type="dxa"/>
                  <w:vMerge w:val="continue"/>
                  <w:vAlign w:val="center"/>
                </w:tcPr>
                <w:p w14:paraId="64FED0AA">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40513588">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33936EB1">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66620A20">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半年</w:t>
                  </w:r>
                </w:p>
              </w:tc>
            </w:tr>
            <w:tr w14:paraId="4321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97" w:type="dxa"/>
                  <w:vMerge w:val="continue"/>
                  <w:vAlign w:val="center"/>
                </w:tcPr>
                <w:p w14:paraId="26F21496">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1E30F2E4">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废油桶</w:t>
                  </w:r>
                </w:p>
              </w:tc>
              <w:tc>
                <w:tcPr>
                  <w:tcW w:w="956" w:type="dxa"/>
                  <w:vAlign w:val="center"/>
                </w:tcPr>
                <w:p w14:paraId="55EABAEB">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bCs/>
                      <w:color w:val="auto"/>
                      <w:szCs w:val="21"/>
                      <w:highlight w:val="none"/>
                    </w:rPr>
                    <w:t>HW08</w:t>
                  </w:r>
                </w:p>
              </w:tc>
              <w:tc>
                <w:tcPr>
                  <w:tcW w:w="1475" w:type="dxa"/>
                  <w:vAlign w:val="center"/>
                </w:tcPr>
                <w:p w14:paraId="3D959679">
                  <w:pPr>
                    <w:keepNext w:val="0"/>
                    <w:keepLines w:val="0"/>
                    <w:suppressLineNumbers w:val="0"/>
                    <w:spacing w:before="0" w:beforeAutospacing="0" w:after="0" w:afterAutospacing="0"/>
                    <w:ind w:left="0" w:right="0"/>
                    <w:jc w:val="center"/>
                    <w:rPr>
                      <w:rFonts w:hint="default"/>
                      <w:bCs/>
                      <w:color w:val="auto"/>
                      <w:szCs w:val="21"/>
                      <w:highlight w:val="none"/>
                    </w:rPr>
                  </w:pPr>
                  <w:r>
                    <w:rPr>
                      <w:rFonts w:hint="default"/>
                      <w:color w:val="auto"/>
                      <w:szCs w:val="21"/>
                      <w:highlight w:val="none"/>
                    </w:rPr>
                    <w:t>900-249-08</w:t>
                  </w:r>
                </w:p>
              </w:tc>
              <w:tc>
                <w:tcPr>
                  <w:tcW w:w="979" w:type="dxa"/>
                  <w:vMerge w:val="continue"/>
                  <w:vAlign w:val="center"/>
                </w:tcPr>
                <w:p w14:paraId="7102A1E0">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3FB0077F">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0E1D8DB1">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185B6C08">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r>
                    <w:rPr>
                      <w:rFonts w:hint="default"/>
                      <w:color w:val="auto"/>
                      <w:szCs w:val="21"/>
                      <w:highlight w:val="none"/>
                    </w:rPr>
                    <w:t>半年</w:t>
                  </w:r>
                </w:p>
              </w:tc>
            </w:tr>
            <w:tr w14:paraId="10E7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97" w:type="dxa"/>
                  <w:vMerge w:val="continue"/>
                  <w:vAlign w:val="center"/>
                </w:tcPr>
                <w:p w14:paraId="60AD8867">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977" w:type="dxa"/>
                  <w:vAlign w:val="center"/>
                </w:tcPr>
                <w:p w14:paraId="3B606B88">
                  <w:pPr>
                    <w:keepNext w:val="0"/>
                    <w:keepLines w:val="0"/>
                    <w:suppressLineNumbers w:val="0"/>
                    <w:spacing w:before="0" w:beforeAutospacing="0" w:after="0" w:afterAutospacing="0"/>
                    <w:ind w:left="0" w:right="0"/>
                    <w:jc w:val="center"/>
                    <w:rPr>
                      <w:rFonts w:hint="default" w:eastAsia="宋体"/>
                      <w:bCs/>
                      <w:color w:val="auto"/>
                      <w:szCs w:val="21"/>
                      <w:highlight w:val="none"/>
                      <w:lang w:val="en-US" w:eastAsia="zh-CN"/>
                    </w:rPr>
                  </w:pPr>
                  <w:r>
                    <w:rPr>
                      <w:rFonts w:hint="eastAsia"/>
                      <w:bCs/>
                      <w:color w:val="auto"/>
                      <w:szCs w:val="21"/>
                      <w:highlight w:val="none"/>
                      <w:lang w:val="en-US" w:eastAsia="zh-CN"/>
                    </w:rPr>
                    <w:t>废紫外灯管</w:t>
                  </w:r>
                </w:p>
              </w:tc>
              <w:tc>
                <w:tcPr>
                  <w:tcW w:w="956" w:type="dxa"/>
                  <w:vAlign w:val="center"/>
                </w:tcPr>
                <w:p w14:paraId="760B6716">
                  <w:pPr>
                    <w:keepNext w:val="0"/>
                    <w:keepLines w:val="0"/>
                    <w:suppressLineNumbers w:val="0"/>
                    <w:spacing w:before="0" w:beforeAutospacing="0" w:after="0" w:afterAutospacing="0"/>
                    <w:ind w:left="0" w:leftChars="0" w:right="0" w:rightChars="0"/>
                    <w:jc w:val="center"/>
                    <w:rPr>
                      <w:rFonts w:hint="default" w:eastAsia="宋体"/>
                      <w:bCs/>
                      <w:color w:val="auto"/>
                      <w:szCs w:val="21"/>
                      <w:highlight w:val="none"/>
                      <w:lang w:val="en-US" w:eastAsia="zh-CN"/>
                    </w:rPr>
                  </w:pPr>
                  <w:r>
                    <w:rPr>
                      <w:rFonts w:hint="eastAsia"/>
                      <w:bCs/>
                      <w:color w:val="auto"/>
                      <w:szCs w:val="21"/>
                      <w:highlight w:val="none"/>
                      <w:lang w:val="en-US" w:eastAsia="zh-CN"/>
                    </w:rPr>
                    <w:t>HW29</w:t>
                  </w:r>
                </w:p>
              </w:tc>
              <w:tc>
                <w:tcPr>
                  <w:tcW w:w="1475" w:type="dxa"/>
                  <w:vAlign w:val="center"/>
                </w:tcPr>
                <w:p w14:paraId="55595C13">
                  <w:pPr>
                    <w:keepNext w:val="0"/>
                    <w:keepLines w:val="0"/>
                    <w:suppressLineNumbers w:val="0"/>
                    <w:spacing w:before="0" w:beforeAutospacing="0" w:after="0" w:afterAutospacing="0"/>
                    <w:ind w:left="0" w:leftChars="0" w:right="0" w:rightChars="0"/>
                    <w:jc w:val="center"/>
                    <w:rPr>
                      <w:rFonts w:hint="default" w:eastAsia="宋体"/>
                      <w:color w:val="auto"/>
                      <w:szCs w:val="21"/>
                      <w:highlight w:val="none"/>
                      <w:lang w:val="en-US" w:eastAsia="zh-CN"/>
                    </w:rPr>
                  </w:pPr>
                  <w:r>
                    <w:rPr>
                      <w:rFonts w:hint="eastAsia"/>
                      <w:color w:val="auto"/>
                      <w:szCs w:val="21"/>
                      <w:highlight w:val="none"/>
                      <w:lang w:val="en-US" w:eastAsia="zh-CN"/>
                    </w:rPr>
                    <w:t>900-023-29</w:t>
                  </w:r>
                </w:p>
              </w:tc>
              <w:tc>
                <w:tcPr>
                  <w:tcW w:w="979" w:type="dxa"/>
                  <w:vMerge w:val="continue"/>
                  <w:vAlign w:val="center"/>
                </w:tcPr>
                <w:p w14:paraId="34E22184">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1620" w:type="dxa"/>
                  <w:gridSpan w:val="2"/>
                  <w:vMerge w:val="continue"/>
                  <w:vAlign w:val="center"/>
                </w:tcPr>
                <w:p w14:paraId="06ABE182">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614" w:type="dxa"/>
                  <w:vMerge w:val="continue"/>
                  <w:vAlign w:val="center"/>
                </w:tcPr>
                <w:p w14:paraId="628D0D53">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rPr>
                  </w:pPr>
                </w:p>
              </w:tc>
              <w:tc>
                <w:tcPr>
                  <w:tcW w:w="823" w:type="dxa"/>
                  <w:vAlign w:val="center"/>
                </w:tcPr>
                <w:p w14:paraId="7F451DA8">
                  <w:pPr>
                    <w:keepNext w:val="0"/>
                    <w:keepLines w:val="0"/>
                    <w:suppressLineNumbers w:val="0"/>
                    <w:adjustRightInd w:val="0"/>
                    <w:snapToGrid w:val="0"/>
                    <w:spacing w:before="0"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1年</w:t>
                  </w:r>
                </w:p>
              </w:tc>
            </w:tr>
          </w:tbl>
          <w:p w14:paraId="5AB696C0">
            <w:pPr>
              <w:pStyle w:val="50"/>
              <w:keepNext w:val="0"/>
              <w:keepLines w:val="0"/>
              <w:suppressLineNumbers w:val="0"/>
              <w:spacing w:before="0" w:beforeAutospacing="0" w:after="0" w:afterAutospacing="0"/>
              <w:ind w:left="0" w:right="0"/>
              <w:rPr>
                <w:rFonts w:hint="default"/>
                <w:color w:val="auto"/>
                <w:highlight w:val="none"/>
              </w:rPr>
            </w:pPr>
          </w:p>
          <w:p w14:paraId="7F77DE16">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4.2.4.2</w:t>
            </w:r>
            <w:r>
              <w:rPr>
                <w:rFonts w:hint="eastAsia"/>
                <w:b/>
                <w:color w:val="auto"/>
                <w:kern w:val="0"/>
                <w:sz w:val="26"/>
                <w:szCs w:val="26"/>
                <w:highlight w:val="none"/>
              </w:rPr>
              <w:t>固体废物管理要求</w:t>
            </w:r>
          </w:p>
          <w:p w14:paraId="75E7AEEB">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default"/>
                <w:color w:val="auto"/>
                <w:kern w:val="0"/>
                <w:sz w:val="26"/>
                <w:szCs w:val="26"/>
                <w:highlight w:val="none"/>
              </w:rPr>
            </w:pPr>
            <w:r>
              <w:rPr>
                <w:rFonts w:hint="eastAsia"/>
                <w:color w:val="auto"/>
                <w:kern w:val="0"/>
                <w:sz w:val="26"/>
                <w:szCs w:val="26"/>
                <w:highlight w:val="none"/>
              </w:rPr>
              <w:t>一般工业固废管理要求：</w:t>
            </w:r>
            <w:r>
              <w:rPr>
                <w:rFonts w:hint="eastAsia"/>
                <w:color w:val="auto"/>
                <w:kern w:val="0"/>
                <w:sz w:val="26"/>
                <w:szCs w:val="26"/>
                <w:highlight w:val="none"/>
                <w:lang w:val="en-US" w:eastAsia="zh-CN"/>
              </w:rPr>
              <w:t>一间32</w:t>
            </w:r>
            <w:r>
              <w:rPr>
                <w:rFonts w:hint="eastAsia"/>
                <w:color w:val="auto"/>
                <w:kern w:val="0"/>
                <w:sz w:val="26"/>
                <w:szCs w:val="26"/>
                <w:highlight w:val="none"/>
              </w:rPr>
              <w:t>m</w:t>
            </w:r>
            <w:r>
              <w:rPr>
                <w:rFonts w:hint="eastAsia"/>
                <w:color w:val="auto"/>
                <w:kern w:val="0"/>
                <w:sz w:val="26"/>
                <w:szCs w:val="26"/>
                <w:highlight w:val="none"/>
                <w:vertAlign w:val="superscript"/>
              </w:rPr>
              <w:t>2</w:t>
            </w:r>
            <w:r>
              <w:rPr>
                <w:rFonts w:hint="eastAsia"/>
                <w:color w:val="auto"/>
                <w:kern w:val="0"/>
                <w:sz w:val="26"/>
                <w:szCs w:val="26"/>
                <w:highlight w:val="none"/>
              </w:rPr>
              <w:t>的一般工业固废</w:t>
            </w:r>
            <w:r>
              <w:rPr>
                <w:rFonts w:hint="eastAsia"/>
                <w:color w:val="auto"/>
                <w:kern w:val="0"/>
                <w:sz w:val="26"/>
                <w:szCs w:val="26"/>
                <w:highlight w:val="none"/>
                <w:lang w:val="en-US" w:eastAsia="zh-CN"/>
              </w:rPr>
              <w:t>贮存</w:t>
            </w:r>
            <w:r>
              <w:rPr>
                <w:rFonts w:hint="eastAsia"/>
                <w:color w:val="auto"/>
                <w:kern w:val="0"/>
                <w:sz w:val="26"/>
                <w:szCs w:val="26"/>
                <w:highlight w:val="none"/>
              </w:rPr>
              <w:t>间，厂区内一般工业固废的贮存应满足相应防渗漏、防雨淋、防扬尘等环境保护要求，委托第三方运输、利用、处置工业固体废物时，应当对受托方的主体资格和技术能力进行核实。</w:t>
            </w:r>
          </w:p>
          <w:p w14:paraId="0BBEE697">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rPr>
            </w:pPr>
            <w:r>
              <w:rPr>
                <w:rFonts w:hint="eastAsia"/>
                <w:color w:val="auto"/>
                <w:kern w:val="0"/>
                <w:sz w:val="26"/>
                <w:szCs w:val="26"/>
                <w:highlight w:val="none"/>
              </w:rPr>
              <w:t>危险废物管理要求：</w:t>
            </w:r>
          </w:p>
          <w:p w14:paraId="100B75C1">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厂区西南侧设置2座危险废物贮存库，</w:t>
            </w:r>
            <w:r>
              <w:rPr>
                <w:rFonts w:hint="eastAsia"/>
                <w:color w:val="auto"/>
                <w:kern w:val="0"/>
                <w:sz w:val="26"/>
                <w:szCs w:val="26"/>
                <w:highlight w:val="none"/>
              </w:rPr>
              <w:t>按照《危险废物贮存污染控制标准》（GB18597-2023）</w:t>
            </w:r>
            <w:r>
              <w:rPr>
                <w:rFonts w:hint="eastAsia"/>
                <w:color w:val="auto"/>
                <w:kern w:val="0"/>
                <w:sz w:val="26"/>
                <w:szCs w:val="26"/>
                <w:highlight w:val="none"/>
                <w:lang w:eastAsia="zh-CN"/>
              </w:rPr>
              <w:t>的</w:t>
            </w:r>
            <w:r>
              <w:rPr>
                <w:rFonts w:hint="eastAsia"/>
                <w:color w:val="auto"/>
                <w:kern w:val="0"/>
                <w:sz w:val="26"/>
                <w:szCs w:val="26"/>
                <w:highlight w:val="none"/>
                <w:lang w:val="en-US" w:eastAsia="zh-CN"/>
              </w:rPr>
              <w:t>相关要求</w:t>
            </w:r>
            <w:r>
              <w:rPr>
                <w:rFonts w:hint="eastAsia"/>
                <w:color w:val="auto"/>
                <w:kern w:val="0"/>
                <w:sz w:val="26"/>
                <w:szCs w:val="26"/>
                <w:highlight w:val="none"/>
              </w:rPr>
              <w:t>建设，</w:t>
            </w:r>
            <w:r>
              <w:rPr>
                <w:rFonts w:hint="eastAsia"/>
                <w:color w:val="auto"/>
                <w:kern w:val="0"/>
                <w:sz w:val="26"/>
                <w:szCs w:val="26"/>
                <w:highlight w:val="none"/>
                <w:lang w:val="en-US" w:eastAsia="zh-CN"/>
              </w:rPr>
              <w:t>面积均约为32m</w:t>
            </w:r>
            <w:r>
              <w:rPr>
                <w:rFonts w:hint="eastAsia"/>
                <w:color w:val="auto"/>
                <w:kern w:val="0"/>
                <w:sz w:val="26"/>
                <w:szCs w:val="26"/>
                <w:highlight w:val="none"/>
                <w:vertAlign w:val="superscript"/>
                <w:lang w:val="en-US" w:eastAsia="zh-CN"/>
              </w:rPr>
              <w:t>2</w:t>
            </w:r>
            <w:r>
              <w:rPr>
                <w:rFonts w:hint="eastAsia"/>
                <w:color w:val="auto"/>
                <w:kern w:val="0"/>
                <w:sz w:val="26"/>
                <w:szCs w:val="26"/>
                <w:highlight w:val="none"/>
                <w:lang w:val="en-US" w:eastAsia="zh-CN"/>
              </w:rPr>
              <w:t>，危险废物贮存库应满足《危险废物贮存污染控制标准》（GB18597-2023）的相关要求：</w:t>
            </w:r>
          </w:p>
          <w:p w14:paraId="24C399E7">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（1）应根据危险废物的形态、物理化学性质、包装形式和污染物迁移途径，采取必要的防风、防晒、防雨、防漏、防渗、防腐以及其他环境污染防治措施。</w:t>
            </w:r>
          </w:p>
          <w:p w14:paraId="18E9BF08">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（2）贮存设施应采取技术和管理措施防止无关人员进入；</w:t>
            </w:r>
          </w:p>
          <w:p w14:paraId="5DB65B5F">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（3）贮存库内不同贮存分区之间应采取隔离措施。隔离措施可根据危险废物特性采用过道、隔板或隔墙等方式。</w:t>
            </w:r>
          </w:p>
          <w:p w14:paraId="3CCD4F48">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（4）废油类物质等应贮存于密闭加盖的容器中，防止VOCs的产生；</w:t>
            </w:r>
          </w:p>
          <w:p w14:paraId="1E55A302">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（5）由于涉及液态危险废物的贮存，危险废物贮存库应设置液体泄漏堵截设施，堵截设施最小容积不应低于对应贮存区域最大液态废物容器容积或液态废物总储量1/10（二者取较大者）；</w:t>
            </w:r>
          </w:p>
          <w:p w14:paraId="798C5592">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（6）贮存设施应根据危险废物的类别、数量、形态、物理化学性质和污染防治等要求设置必要的贮存分区，避免不相容的危险废物接触、混合。</w:t>
            </w:r>
          </w:p>
          <w:p w14:paraId="26CA4758">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eastAsia"/>
                <w:color w:val="auto"/>
                <w:kern w:val="0"/>
                <w:sz w:val="26"/>
                <w:szCs w:val="26"/>
                <w:highlight w:val="none"/>
                <w:lang w:val="en-US" w:eastAsia="zh-CN"/>
              </w:rPr>
            </w:pPr>
            <w:r>
              <w:rPr>
                <w:rFonts w:hint="eastAsia"/>
                <w:color w:val="auto"/>
                <w:kern w:val="0"/>
                <w:sz w:val="26"/>
                <w:szCs w:val="26"/>
                <w:highlight w:val="none"/>
                <w:lang w:val="en-US" w:eastAsia="zh-CN"/>
              </w:rPr>
              <w:t>（7）贮存设施或贮存分区内地面、墙面裙脚、堵截泄漏的围堰、接触危险废物的隔板和墙体等应采用坚固的材料建造，表面无裂缝。贮存设施地面与裙脚应采取表面防渗措施。</w:t>
            </w:r>
          </w:p>
          <w:p w14:paraId="37DE8AFB">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default"/>
                <w:color w:val="auto"/>
                <w:kern w:val="0"/>
                <w:sz w:val="26"/>
                <w:szCs w:val="26"/>
                <w:highlight w:val="none"/>
                <w:lang w:val="en-US" w:eastAsia="zh-CN"/>
              </w:rPr>
            </w:pPr>
            <w:r>
              <w:rPr>
                <w:rFonts w:hint="eastAsia"/>
                <w:color w:val="auto"/>
                <w:kern w:val="0"/>
                <w:sz w:val="26"/>
                <w:szCs w:val="26"/>
                <w:highlight w:val="none"/>
                <w:lang w:val="en-US" w:eastAsia="zh-CN"/>
              </w:rPr>
              <w:t>（8）乙醇喷淋塔产生的废液更换下来后不在厂内贮存，应第一时间委托有资质单位转运处置；有机废气治理设施更换下来的废活性炭应委托有资质单位及时、尽快转运处置，减少在厂内贮存的周期。</w:t>
            </w:r>
          </w:p>
          <w:p w14:paraId="573144C8">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4.2.5</w:t>
            </w:r>
            <w:r>
              <w:rPr>
                <w:rFonts w:hint="eastAsia"/>
                <w:b/>
                <w:color w:val="auto"/>
                <w:kern w:val="0"/>
                <w:sz w:val="26"/>
                <w:szCs w:val="26"/>
                <w:highlight w:val="none"/>
              </w:rPr>
              <w:t>地下水、土壤</w:t>
            </w:r>
          </w:p>
          <w:p w14:paraId="102DAB6D">
            <w:pPr>
              <w:keepNext w:val="0"/>
              <w:keepLines w:val="0"/>
              <w:suppressLineNumbers w:val="0"/>
              <w:adjustRightInd w:val="0"/>
              <w:snapToGrid w:val="0"/>
              <w:spacing w:before="0" w:beforeAutospacing="0" w:after="0" w:afterAutospacing="0" w:line="400" w:lineRule="exact"/>
              <w:ind w:left="0" w:right="0" w:firstLine="520" w:firstLineChars="200"/>
              <w:rPr>
                <w:rFonts w:hint="eastAsia" w:eastAsia="宋体"/>
                <w:color w:val="auto"/>
                <w:sz w:val="26"/>
                <w:szCs w:val="26"/>
                <w:highlight w:val="none"/>
                <w:lang w:eastAsia="zh-CN"/>
              </w:rPr>
            </w:pPr>
            <w:r>
              <w:rPr>
                <w:rFonts w:hint="eastAsia"/>
                <w:color w:val="auto"/>
                <w:sz w:val="26"/>
                <w:szCs w:val="26"/>
                <w:highlight w:val="none"/>
              </w:rPr>
              <w:t>采取“源头控制、分区防治、污染监控、应急响应”相结合的地下水染防治措施及“源头控制、过程防控、跟踪监测”的土壤污染防治措施。按照分区防控原则，将厂区分为重点防渗区、一般防渗区、简单防渗区</w:t>
            </w:r>
            <w:r>
              <w:rPr>
                <w:rFonts w:hint="eastAsia"/>
                <w:color w:val="auto"/>
                <w:sz w:val="26"/>
                <w:szCs w:val="26"/>
                <w:highlight w:val="none"/>
                <w:lang w:eastAsia="zh-CN"/>
              </w:rPr>
              <w:t>。规划环评在本项目所在的水文地质单元设置有地下水、土壤跟踪监测点位，项目可纳入园区整体跟踪监测计划。</w:t>
            </w:r>
          </w:p>
          <w:p w14:paraId="736A2105">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本项目防渗分区见下表。</w:t>
            </w:r>
          </w:p>
          <w:p w14:paraId="348B0152">
            <w:pPr>
              <w:pStyle w:val="65"/>
              <w:keepNext w:val="0"/>
              <w:keepLines w:val="0"/>
              <w:suppressLineNumbers w:val="0"/>
              <w:spacing w:before="0" w:beforeAutospacing="0" w:after="0" w:afterAutospacing="0"/>
              <w:ind w:left="0" w:right="0"/>
              <w:rPr>
                <w:rFonts w:hint="default"/>
                <w:color w:val="auto"/>
                <w:highlight w:val="none"/>
              </w:rPr>
            </w:pPr>
          </w:p>
          <w:p w14:paraId="64E75A23">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6"/>
                <w:szCs w:val="26"/>
                <w:highlight w:val="none"/>
              </w:rPr>
            </w:pPr>
            <w:r>
              <w:rPr>
                <w:rFonts w:hint="eastAsia"/>
                <w:color w:val="auto"/>
                <w:kern w:val="0"/>
                <w:sz w:val="26"/>
                <w:szCs w:val="26"/>
                <w:highlight w:val="none"/>
              </w:rPr>
              <w:t>表4</w:t>
            </w:r>
            <w:r>
              <w:rPr>
                <w:rFonts w:hint="default"/>
                <w:color w:val="auto"/>
                <w:kern w:val="0"/>
                <w:sz w:val="26"/>
                <w:szCs w:val="26"/>
                <w:highlight w:val="none"/>
              </w:rPr>
              <w:t>.2-</w:t>
            </w:r>
            <w:r>
              <w:rPr>
                <w:rFonts w:hint="eastAsia"/>
                <w:color w:val="auto"/>
                <w:kern w:val="0"/>
                <w:sz w:val="26"/>
                <w:szCs w:val="26"/>
                <w:highlight w:val="none"/>
                <w:lang w:val="en-US" w:eastAsia="zh-CN"/>
              </w:rPr>
              <w:t>18</w:t>
            </w:r>
            <w:r>
              <w:rPr>
                <w:rFonts w:hint="default"/>
                <w:color w:val="auto"/>
                <w:kern w:val="0"/>
                <w:sz w:val="26"/>
                <w:szCs w:val="26"/>
                <w:highlight w:val="none"/>
              </w:rPr>
              <w:t xml:space="preserve">  </w:t>
            </w:r>
            <w:r>
              <w:rPr>
                <w:rFonts w:hint="eastAsia"/>
                <w:color w:val="auto"/>
                <w:kern w:val="0"/>
                <w:sz w:val="26"/>
                <w:szCs w:val="26"/>
                <w:highlight w:val="none"/>
                <w:lang w:val="en-US" w:eastAsia="zh-CN"/>
              </w:rPr>
              <w:t>本项目分区</w:t>
            </w:r>
            <w:r>
              <w:rPr>
                <w:rFonts w:hint="eastAsia"/>
                <w:color w:val="auto"/>
                <w:kern w:val="0"/>
                <w:sz w:val="26"/>
                <w:szCs w:val="26"/>
                <w:highlight w:val="none"/>
              </w:rPr>
              <w:t>防渗要求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903"/>
              <w:gridCol w:w="4368"/>
            </w:tblGrid>
            <w:tr w14:paraId="0109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Align w:val="center"/>
                </w:tcPr>
                <w:p w14:paraId="23A83C48">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防渗</w:t>
                  </w:r>
                </w:p>
                <w:p w14:paraId="36497A88">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级别</w:t>
                  </w:r>
                </w:p>
              </w:tc>
              <w:tc>
                <w:tcPr>
                  <w:tcW w:w="3903" w:type="dxa"/>
                  <w:vAlign w:val="center"/>
                </w:tcPr>
                <w:p w14:paraId="13245F2E">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工作区</w:t>
                  </w:r>
                </w:p>
              </w:tc>
              <w:tc>
                <w:tcPr>
                  <w:tcW w:w="4368" w:type="dxa"/>
                  <w:vAlign w:val="center"/>
                </w:tcPr>
                <w:p w14:paraId="2AD67D0F">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防渗要求</w:t>
                  </w:r>
                </w:p>
              </w:tc>
            </w:tr>
            <w:tr w14:paraId="4E4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Align w:val="center"/>
                </w:tcPr>
                <w:p w14:paraId="65372BB7">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重点防渗区</w:t>
                  </w:r>
                </w:p>
              </w:tc>
              <w:tc>
                <w:tcPr>
                  <w:tcW w:w="3903" w:type="dxa"/>
                  <w:vAlign w:val="center"/>
                </w:tcPr>
                <w:p w14:paraId="6AE107BB">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2"/>
                      <w:szCs w:val="22"/>
                      <w:highlight w:val="none"/>
                      <w:lang w:val="en-US" w:eastAsia="zh-CN"/>
                    </w:rPr>
                  </w:pPr>
                  <w:r>
                    <w:rPr>
                      <w:rFonts w:hint="eastAsia"/>
                      <w:color w:val="auto"/>
                      <w:kern w:val="0"/>
                      <w:sz w:val="22"/>
                      <w:szCs w:val="22"/>
                      <w:highlight w:val="none"/>
                      <w:lang w:val="en-US" w:eastAsia="zh-CN"/>
                    </w:rPr>
                    <w:t>危险废物贮存库、浸胶生产区、油料暂存区、辅料库房、离合器清洗区、隔油池、生产废水预处理设施、“中和+隔油”处理设施</w:t>
                  </w:r>
                </w:p>
              </w:tc>
              <w:tc>
                <w:tcPr>
                  <w:tcW w:w="4368" w:type="dxa"/>
                  <w:vAlign w:val="center"/>
                </w:tcPr>
                <w:p w14:paraId="4AA502E3">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等效黏土防渗层 Mb≥</w:t>
                  </w:r>
                  <w:r>
                    <w:rPr>
                      <w:rFonts w:hint="eastAsia"/>
                      <w:color w:val="auto"/>
                      <w:kern w:val="0"/>
                      <w:sz w:val="22"/>
                      <w:szCs w:val="22"/>
                      <w:highlight w:val="none"/>
                      <w:lang w:val="en-US" w:eastAsia="zh-CN"/>
                    </w:rPr>
                    <w:t>6</w:t>
                  </w:r>
                  <w:r>
                    <w:rPr>
                      <w:rFonts w:hint="eastAsia"/>
                      <w:color w:val="auto"/>
                      <w:kern w:val="0"/>
                      <w:sz w:val="22"/>
                      <w:szCs w:val="22"/>
                      <w:highlight w:val="none"/>
                    </w:rPr>
                    <w:t>m、渗透系数为 1.0×10</w:t>
                  </w:r>
                  <w:r>
                    <w:rPr>
                      <w:rFonts w:hint="eastAsia"/>
                      <w:color w:val="auto"/>
                      <w:kern w:val="0"/>
                      <w:sz w:val="22"/>
                      <w:szCs w:val="22"/>
                      <w:highlight w:val="none"/>
                      <w:vertAlign w:val="superscript"/>
                    </w:rPr>
                    <w:t xml:space="preserve"> -7</w:t>
                  </w:r>
                  <w:r>
                    <w:rPr>
                      <w:rFonts w:hint="eastAsia"/>
                      <w:color w:val="auto"/>
                      <w:kern w:val="0"/>
                      <w:sz w:val="22"/>
                      <w:szCs w:val="22"/>
                      <w:highlight w:val="none"/>
                    </w:rPr>
                    <w:t xml:space="preserve"> cm/s 的等效黏土防渗层</w:t>
                  </w:r>
                </w:p>
              </w:tc>
            </w:tr>
            <w:tr w14:paraId="40AA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Align w:val="center"/>
                </w:tcPr>
                <w:p w14:paraId="73DB3830">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2"/>
                      <w:szCs w:val="22"/>
                      <w:highlight w:val="none"/>
                      <w:lang w:val="en-US" w:eastAsia="zh-CN"/>
                    </w:rPr>
                  </w:pPr>
                  <w:r>
                    <w:rPr>
                      <w:rFonts w:hint="eastAsia"/>
                      <w:color w:val="auto"/>
                      <w:kern w:val="0"/>
                      <w:sz w:val="22"/>
                      <w:szCs w:val="22"/>
                      <w:highlight w:val="none"/>
                      <w:lang w:val="en-US" w:eastAsia="zh-CN"/>
                    </w:rPr>
                    <w:t>一般防渗区</w:t>
                  </w:r>
                </w:p>
              </w:tc>
              <w:tc>
                <w:tcPr>
                  <w:tcW w:w="3903" w:type="dxa"/>
                  <w:vAlign w:val="center"/>
                </w:tcPr>
                <w:p w14:paraId="66D7C22C">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lang w:val="en-US" w:eastAsia="zh-CN"/>
                    </w:rPr>
                  </w:pPr>
                  <w:r>
                    <w:rPr>
                      <w:rFonts w:hint="eastAsia"/>
                      <w:color w:val="auto"/>
                      <w:kern w:val="0"/>
                      <w:sz w:val="22"/>
                      <w:szCs w:val="22"/>
                      <w:highlight w:val="none"/>
                      <w:lang w:val="en-US" w:eastAsia="zh-CN"/>
                    </w:rPr>
                    <w:t>一般固废贮存间</w:t>
                  </w:r>
                </w:p>
              </w:tc>
              <w:tc>
                <w:tcPr>
                  <w:tcW w:w="4368" w:type="dxa"/>
                  <w:vAlign w:val="center"/>
                </w:tcPr>
                <w:p w14:paraId="07A6792E">
                  <w:pPr>
                    <w:keepNext w:val="0"/>
                    <w:keepLines w:val="0"/>
                    <w:suppressLineNumbers w:val="0"/>
                    <w:tabs>
                      <w:tab w:val="left" w:pos="1040"/>
                    </w:tabs>
                    <w:adjustRightInd w:val="0"/>
                    <w:snapToGrid w:val="0"/>
                    <w:spacing w:before="0" w:beforeAutospacing="0" w:after="0" w:afterAutospacing="0"/>
                    <w:ind w:left="0" w:right="0"/>
                    <w:jc w:val="center"/>
                    <w:rPr>
                      <w:rFonts w:hint="eastAsia"/>
                      <w:color w:val="auto"/>
                      <w:kern w:val="0"/>
                      <w:sz w:val="22"/>
                      <w:szCs w:val="22"/>
                      <w:highlight w:val="none"/>
                    </w:rPr>
                  </w:pPr>
                  <w:r>
                    <w:rPr>
                      <w:rFonts w:hint="eastAsia"/>
                      <w:color w:val="auto"/>
                      <w:kern w:val="0"/>
                      <w:sz w:val="22"/>
                      <w:szCs w:val="22"/>
                      <w:highlight w:val="none"/>
                    </w:rPr>
                    <w:t>等效黏土防渗层 Mb≥1.5m，K≤1×10</w:t>
                  </w:r>
                  <w:r>
                    <w:rPr>
                      <w:rFonts w:hint="eastAsia"/>
                      <w:color w:val="auto"/>
                      <w:kern w:val="0"/>
                      <w:sz w:val="22"/>
                      <w:szCs w:val="22"/>
                      <w:highlight w:val="none"/>
                      <w:vertAlign w:val="superscript"/>
                    </w:rPr>
                    <w:t>-7</w:t>
                  </w:r>
                  <w:r>
                    <w:rPr>
                      <w:rFonts w:hint="eastAsia"/>
                      <w:color w:val="auto"/>
                      <w:kern w:val="0"/>
                      <w:sz w:val="22"/>
                      <w:szCs w:val="22"/>
                      <w:highlight w:val="none"/>
                    </w:rPr>
                    <w:t>cm/s</w:t>
                  </w:r>
                </w:p>
              </w:tc>
            </w:tr>
            <w:tr w14:paraId="587E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2" w:type="dxa"/>
                  <w:vAlign w:val="center"/>
                </w:tcPr>
                <w:p w14:paraId="175239C1">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简单防渗区</w:t>
                  </w:r>
                </w:p>
              </w:tc>
              <w:tc>
                <w:tcPr>
                  <w:tcW w:w="3903" w:type="dxa"/>
                  <w:vAlign w:val="center"/>
                </w:tcPr>
                <w:p w14:paraId="5BAD47B5">
                  <w:pPr>
                    <w:keepNext w:val="0"/>
                    <w:keepLines w:val="0"/>
                    <w:suppressLineNumbers w:val="0"/>
                    <w:tabs>
                      <w:tab w:val="left" w:pos="1040"/>
                    </w:tabs>
                    <w:adjustRightInd w:val="0"/>
                    <w:snapToGrid w:val="0"/>
                    <w:spacing w:before="0" w:beforeAutospacing="0" w:after="0" w:afterAutospacing="0"/>
                    <w:ind w:left="0" w:right="0"/>
                    <w:jc w:val="center"/>
                    <w:rPr>
                      <w:rFonts w:hint="default" w:eastAsia="宋体"/>
                      <w:color w:val="auto"/>
                      <w:kern w:val="0"/>
                      <w:sz w:val="22"/>
                      <w:szCs w:val="22"/>
                      <w:highlight w:val="none"/>
                      <w:lang w:val="en-US" w:eastAsia="zh-CN"/>
                    </w:rPr>
                  </w:pPr>
                  <w:r>
                    <w:rPr>
                      <w:rFonts w:hint="eastAsia"/>
                      <w:color w:val="auto"/>
                      <w:kern w:val="0"/>
                      <w:sz w:val="22"/>
                      <w:szCs w:val="22"/>
                      <w:highlight w:val="none"/>
                      <w:lang w:val="en-US" w:eastAsia="zh-CN"/>
                    </w:rPr>
                    <w:t>其他区域</w:t>
                  </w:r>
                </w:p>
              </w:tc>
              <w:tc>
                <w:tcPr>
                  <w:tcW w:w="4368" w:type="dxa"/>
                  <w:vAlign w:val="center"/>
                </w:tcPr>
                <w:p w14:paraId="4099992F">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eastAsia"/>
                      <w:color w:val="auto"/>
                      <w:kern w:val="0"/>
                      <w:sz w:val="22"/>
                      <w:szCs w:val="22"/>
                      <w:highlight w:val="none"/>
                    </w:rPr>
                    <w:t>一般地面硬化</w:t>
                  </w:r>
                </w:p>
              </w:tc>
            </w:tr>
          </w:tbl>
          <w:p w14:paraId="3F8AACF9">
            <w:pPr>
              <w:pStyle w:val="65"/>
              <w:keepNext w:val="0"/>
              <w:keepLines w:val="0"/>
              <w:suppressLineNumbers w:val="0"/>
              <w:spacing w:before="0" w:beforeAutospacing="0" w:after="0" w:afterAutospacing="0"/>
              <w:ind w:left="0" w:right="0"/>
              <w:rPr>
                <w:rFonts w:hint="default"/>
                <w:color w:val="auto"/>
                <w:highlight w:val="none"/>
              </w:rPr>
            </w:pPr>
          </w:p>
          <w:p w14:paraId="6B12D88C">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4.2.6</w:t>
            </w:r>
            <w:r>
              <w:rPr>
                <w:rFonts w:hint="eastAsia"/>
                <w:b/>
                <w:color w:val="auto"/>
                <w:kern w:val="0"/>
                <w:sz w:val="26"/>
                <w:szCs w:val="26"/>
                <w:highlight w:val="none"/>
              </w:rPr>
              <w:t>生态</w:t>
            </w:r>
          </w:p>
          <w:p w14:paraId="0E46FE0D">
            <w:pPr>
              <w:keepNext w:val="0"/>
              <w:keepLines w:val="0"/>
              <w:suppressLineNumbers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rPr>
              <w:t>本项目位于</w:t>
            </w:r>
            <w:r>
              <w:rPr>
                <w:rFonts w:hint="eastAsia"/>
                <w:color w:val="auto"/>
                <w:sz w:val="26"/>
                <w:szCs w:val="26"/>
                <w:highlight w:val="none"/>
                <w:lang w:val="en-US" w:eastAsia="zh-CN"/>
              </w:rPr>
              <w:t>綦江北渡铝产业园区内</w:t>
            </w:r>
            <w:r>
              <w:rPr>
                <w:rFonts w:hint="eastAsia"/>
                <w:color w:val="auto"/>
                <w:sz w:val="26"/>
                <w:szCs w:val="26"/>
                <w:highlight w:val="none"/>
              </w:rPr>
              <w:t>，</w:t>
            </w:r>
            <w:r>
              <w:rPr>
                <w:rFonts w:hint="eastAsia"/>
                <w:color w:val="auto"/>
                <w:sz w:val="26"/>
                <w:szCs w:val="26"/>
                <w:highlight w:val="none"/>
                <w:lang w:val="en-US" w:eastAsia="zh-CN"/>
              </w:rPr>
              <w:t>新增用地范围内</w:t>
            </w:r>
            <w:r>
              <w:rPr>
                <w:rFonts w:hint="eastAsia"/>
                <w:color w:val="auto"/>
                <w:sz w:val="26"/>
                <w:szCs w:val="26"/>
                <w:highlight w:val="none"/>
              </w:rPr>
              <w:t>不涉及生态环境保护目标。根据《建设项目环境影响报告表编制技术指南（污染影响类）》“产业园区外建设项目新增用地且用地范围内含有生态环境保护目标的，应明确保护措施”，因此本项目不涉及生态保护措施。</w:t>
            </w:r>
          </w:p>
          <w:p w14:paraId="11451832">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4.2.7</w:t>
            </w:r>
            <w:r>
              <w:rPr>
                <w:rFonts w:hint="eastAsia"/>
                <w:b/>
                <w:color w:val="auto"/>
                <w:kern w:val="0"/>
                <w:sz w:val="26"/>
                <w:szCs w:val="26"/>
                <w:highlight w:val="none"/>
              </w:rPr>
              <w:t>环境风险</w:t>
            </w:r>
          </w:p>
          <w:p w14:paraId="0309BD90">
            <w:pPr>
              <w:keepNext w:val="0"/>
              <w:keepLines w:val="0"/>
              <w:suppressLineNumbers w:val="0"/>
              <w:spacing w:before="0" w:beforeAutospacing="0" w:after="0" w:afterAutospacing="0" w:line="400" w:lineRule="exact"/>
              <w:ind w:left="0" w:right="0" w:firstLine="522" w:firstLineChars="200"/>
              <w:outlineLvl w:val="3"/>
              <w:rPr>
                <w:rFonts w:hint="default" w:eastAsia="宋体"/>
                <w:b/>
                <w:color w:val="auto"/>
                <w:sz w:val="26"/>
                <w:szCs w:val="26"/>
                <w:highlight w:val="none"/>
                <w:lang w:val="en-US" w:eastAsia="zh-CN"/>
              </w:rPr>
            </w:pPr>
            <w:r>
              <w:rPr>
                <w:rFonts w:hint="default"/>
                <w:b/>
                <w:color w:val="auto"/>
                <w:sz w:val="26"/>
                <w:szCs w:val="26"/>
                <w:highlight w:val="none"/>
              </w:rPr>
              <w:t>4.2.7.1风险调查</w:t>
            </w:r>
            <w:r>
              <w:rPr>
                <w:rFonts w:hint="eastAsia"/>
                <w:b/>
                <w:color w:val="auto"/>
                <w:sz w:val="26"/>
                <w:szCs w:val="26"/>
                <w:highlight w:val="none"/>
                <w:lang w:val="en-US" w:eastAsia="zh-CN"/>
              </w:rPr>
              <w:t>及环境风险识别</w:t>
            </w:r>
          </w:p>
          <w:p w14:paraId="74A9E2D1">
            <w:pPr>
              <w:keepNext w:val="0"/>
              <w:keepLines w:val="0"/>
              <w:suppressLineNumbers w:val="0"/>
              <w:adjustRightInd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eastAsia"/>
                <w:color w:val="auto"/>
                <w:sz w:val="26"/>
                <w:szCs w:val="26"/>
                <w:highlight w:val="none"/>
                <w:lang w:val="en-US" w:eastAsia="zh-CN"/>
              </w:rPr>
              <w:t>项目的风险物质主要为乙醇，脱模剂，清洗剂，机油，液压油，乙醇吸收废水，废机油、废液压油、废油桶、废过滤棉/过滤材料和废活性炭等危险废物。</w:t>
            </w:r>
            <w:r>
              <w:rPr>
                <w:rFonts w:hint="eastAsia"/>
                <w:color w:val="auto"/>
                <w:sz w:val="26"/>
                <w:szCs w:val="26"/>
                <w:highlight w:val="none"/>
              </w:rPr>
              <w:t>建设项目环境风险物质识别情况见下表。</w:t>
            </w:r>
          </w:p>
          <w:p w14:paraId="2EB1E420">
            <w:pPr>
              <w:pStyle w:val="65"/>
              <w:keepNext w:val="0"/>
              <w:keepLines w:val="0"/>
              <w:suppressLineNumbers w:val="0"/>
              <w:spacing w:before="0" w:beforeAutospacing="0" w:after="0" w:afterAutospacing="0"/>
              <w:ind w:left="0" w:right="0"/>
              <w:rPr>
                <w:rFonts w:hint="default"/>
                <w:color w:val="auto"/>
                <w:highlight w:val="none"/>
              </w:rPr>
            </w:pPr>
          </w:p>
          <w:p w14:paraId="66CD49CC">
            <w:pPr>
              <w:keepNext w:val="0"/>
              <w:keepLines w:val="0"/>
              <w:suppressLineNumbers w:val="0"/>
              <w:adjustRightInd w:val="0"/>
              <w:snapToGrid w:val="0"/>
              <w:spacing w:before="0" w:beforeAutospacing="0" w:after="0" w:afterAutospacing="0" w:line="400" w:lineRule="exact"/>
              <w:ind w:left="0" w:right="0" w:firstLine="520" w:firstLineChars="200"/>
              <w:jc w:val="center"/>
              <w:rPr>
                <w:rFonts w:hint="default" w:eastAsia="宋体"/>
                <w:color w:val="auto"/>
                <w:sz w:val="26"/>
                <w:szCs w:val="26"/>
                <w:highlight w:val="none"/>
                <w:lang w:val="en-US" w:eastAsia="zh-CN"/>
              </w:rPr>
            </w:pPr>
            <w:r>
              <w:rPr>
                <w:rFonts w:hint="eastAsia"/>
                <w:color w:val="auto"/>
                <w:sz w:val="26"/>
                <w:szCs w:val="26"/>
                <w:highlight w:val="none"/>
              </w:rPr>
              <w:t>表4</w:t>
            </w:r>
            <w:r>
              <w:rPr>
                <w:rFonts w:hint="default"/>
                <w:color w:val="auto"/>
                <w:sz w:val="26"/>
                <w:szCs w:val="26"/>
                <w:highlight w:val="none"/>
              </w:rPr>
              <w:t>.2-</w:t>
            </w:r>
            <w:r>
              <w:rPr>
                <w:rFonts w:hint="eastAsia"/>
                <w:color w:val="auto"/>
                <w:sz w:val="26"/>
                <w:szCs w:val="26"/>
                <w:highlight w:val="none"/>
                <w:lang w:val="en-US" w:eastAsia="zh-CN"/>
              </w:rPr>
              <w:t>19</w:t>
            </w:r>
            <w:r>
              <w:rPr>
                <w:rFonts w:hint="default"/>
                <w:color w:val="auto"/>
                <w:sz w:val="26"/>
                <w:szCs w:val="26"/>
                <w:highlight w:val="none"/>
              </w:rPr>
              <w:t xml:space="preserve"> </w:t>
            </w:r>
            <w:r>
              <w:rPr>
                <w:rFonts w:hint="eastAsia"/>
                <w:color w:val="auto"/>
                <w:sz w:val="26"/>
                <w:szCs w:val="26"/>
                <w:highlight w:val="none"/>
              </w:rPr>
              <w:t>本项目风险物质</w:t>
            </w:r>
            <w:r>
              <w:rPr>
                <w:rFonts w:hint="eastAsia"/>
                <w:color w:val="auto"/>
                <w:sz w:val="26"/>
                <w:szCs w:val="26"/>
                <w:highlight w:val="none"/>
                <w:lang w:val="en-US" w:eastAsia="zh-CN"/>
              </w:rPr>
              <w:t>及环境风险识别情况</w:t>
            </w: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985"/>
              <w:gridCol w:w="979"/>
              <w:gridCol w:w="1141"/>
              <w:gridCol w:w="2642"/>
              <w:gridCol w:w="1403"/>
            </w:tblGrid>
            <w:tr w14:paraId="02A3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shd w:val="clear" w:color="auto" w:fill="auto"/>
                  <w:vAlign w:val="center"/>
                </w:tcPr>
                <w:p w14:paraId="5B0097C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危险单元</w:t>
                  </w:r>
                </w:p>
              </w:tc>
              <w:tc>
                <w:tcPr>
                  <w:tcW w:w="1985" w:type="dxa"/>
                  <w:shd w:val="clear" w:color="auto" w:fill="auto"/>
                  <w:vAlign w:val="center"/>
                </w:tcPr>
                <w:p w14:paraId="0F3FE30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风险源</w:t>
                  </w:r>
                </w:p>
              </w:tc>
              <w:tc>
                <w:tcPr>
                  <w:tcW w:w="979" w:type="dxa"/>
                  <w:shd w:val="clear" w:color="auto" w:fill="auto"/>
                  <w:vAlign w:val="center"/>
                </w:tcPr>
                <w:p w14:paraId="33CB368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主要风险物质</w:t>
                  </w:r>
                </w:p>
              </w:tc>
              <w:tc>
                <w:tcPr>
                  <w:tcW w:w="1141" w:type="dxa"/>
                  <w:shd w:val="clear" w:color="auto" w:fill="auto"/>
                  <w:vAlign w:val="center"/>
                </w:tcPr>
                <w:p w14:paraId="7EB2E8F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环境风险类型</w:t>
                  </w:r>
                </w:p>
              </w:tc>
              <w:tc>
                <w:tcPr>
                  <w:tcW w:w="2642" w:type="dxa"/>
                  <w:shd w:val="clear" w:color="auto" w:fill="auto"/>
                  <w:vAlign w:val="center"/>
                </w:tcPr>
                <w:p w14:paraId="0E24001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环境影响途经</w:t>
                  </w:r>
                </w:p>
              </w:tc>
              <w:tc>
                <w:tcPr>
                  <w:tcW w:w="1403" w:type="dxa"/>
                  <w:shd w:val="clear" w:color="auto" w:fill="auto"/>
                  <w:vAlign w:val="center"/>
                </w:tcPr>
                <w:p w14:paraId="50EF720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敏感目标</w:t>
                  </w:r>
                </w:p>
              </w:tc>
            </w:tr>
            <w:tr w14:paraId="0CE97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shd w:val="clear" w:color="auto" w:fill="auto"/>
                  <w:vAlign w:val="center"/>
                </w:tcPr>
                <w:p w14:paraId="456CA43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辅料房</w:t>
                  </w:r>
                </w:p>
              </w:tc>
              <w:tc>
                <w:tcPr>
                  <w:tcW w:w="1985" w:type="dxa"/>
                  <w:shd w:val="clear" w:color="auto" w:fill="auto"/>
                  <w:vAlign w:val="center"/>
                </w:tcPr>
                <w:p w14:paraId="4267772D">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乙醇、脱模剂</w:t>
                  </w:r>
                  <w:r>
                    <w:rPr>
                      <w:rFonts w:hint="eastAsia"/>
                      <w:color w:val="auto"/>
                      <w:highlight w:val="none"/>
                      <w:lang w:eastAsia="zh-CN"/>
                    </w:rPr>
                    <w:t>、</w:t>
                  </w:r>
                  <w:r>
                    <w:rPr>
                      <w:rFonts w:hint="eastAsia"/>
                      <w:color w:val="auto"/>
                      <w:highlight w:val="none"/>
                      <w:lang w:val="en-US" w:eastAsia="zh-CN"/>
                    </w:rPr>
                    <w:t>清洗剂</w:t>
                  </w:r>
                </w:p>
              </w:tc>
              <w:tc>
                <w:tcPr>
                  <w:tcW w:w="979" w:type="dxa"/>
                  <w:shd w:val="clear" w:color="auto" w:fill="auto"/>
                  <w:vAlign w:val="center"/>
                </w:tcPr>
                <w:p w14:paraId="60DB121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有机物</w:t>
                  </w:r>
                </w:p>
              </w:tc>
              <w:tc>
                <w:tcPr>
                  <w:tcW w:w="1141" w:type="dxa"/>
                  <w:shd w:val="clear" w:color="auto" w:fill="auto"/>
                  <w:vAlign w:val="center"/>
                </w:tcPr>
                <w:p w14:paraId="073CE1EC">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泄漏、火灾、爆炸</w:t>
                  </w:r>
                </w:p>
              </w:tc>
              <w:tc>
                <w:tcPr>
                  <w:tcW w:w="2642" w:type="dxa"/>
                  <w:shd w:val="clear" w:color="auto" w:fill="auto"/>
                  <w:vAlign w:val="center"/>
                </w:tcPr>
                <w:p w14:paraId="6D79485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泄漏后遇明火、高热或与氧化剂接触可能引起燃烧爆炸的危险；泄漏后渗入土壤会污染土壤和地下水环境</w:t>
                  </w:r>
                </w:p>
              </w:tc>
              <w:tc>
                <w:tcPr>
                  <w:tcW w:w="1403" w:type="dxa"/>
                  <w:shd w:val="clear" w:color="auto" w:fill="auto"/>
                  <w:vAlign w:val="center"/>
                </w:tcPr>
                <w:p w14:paraId="06BDB381">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大气环境、水环境、土壤环境</w:t>
                  </w:r>
                </w:p>
              </w:tc>
            </w:tr>
            <w:tr w14:paraId="1A5B5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shd w:val="clear" w:color="auto" w:fill="auto"/>
                  <w:vAlign w:val="center"/>
                </w:tcPr>
                <w:p w14:paraId="6396654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油料暂存区</w:t>
                  </w:r>
                </w:p>
              </w:tc>
              <w:tc>
                <w:tcPr>
                  <w:tcW w:w="1985" w:type="dxa"/>
                  <w:shd w:val="clear" w:color="auto" w:fill="auto"/>
                  <w:vAlign w:val="center"/>
                </w:tcPr>
                <w:p w14:paraId="09AEE9CD">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机油、液压油</w:t>
                  </w:r>
                </w:p>
              </w:tc>
              <w:tc>
                <w:tcPr>
                  <w:tcW w:w="979" w:type="dxa"/>
                  <w:shd w:val="clear" w:color="auto" w:fill="auto"/>
                  <w:vAlign w:val="center"/>
                </w:tcPr>
                <w:p w14:paraId="3B0B8E8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矿物油等</w:t>
                  </w:r>
                </w:p>
              </w:tc>
              <w:tc>
                <w:tcPr>
                  <w:tcW w:w="1141" w:type="dxa"/>
                  <w:shd w:val="clear" w:color="auto" w:fill="auto"/>
                  <w:vAlign w:val="center"/>
                </w:tcPr>
                <w:p w14:paraId="33598F5A">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泄漏、火灾</w:t>
                  </w:r>
                </w:p>
              </w:tc>
              <w:tc>
                <w:tcPr>
                  <w:tcW w:w="2642" w:type="dxa"/>
                  <w:shd w:val="clear" w:color="auto" w:fill="auto"/>
                  <w:vAlign w:val="center"/>
                </w:tcPr>
                <w:p w14:paraId="5BA1C9B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泄漏后产生的次生或伴生事故对大气环境或经排污管道对地表水造成影响</w:t>
                  </w:r>
                </w:p>
              </w:tc>
              <w:tc>
                <w:tcPr>
                  <w:tcW w:w="1403" w:type="dxa"/>
                  <w:shd w:val="clear" w:color="auto" w:fill="auto"/>
                  <w:vAlign w:val="center"/>
                </w:tcPr>
                <w:p w14:paraId="7B44515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大气环境、水环境、土壤环境</w:t>
                  </w:r>
                </w:p>
              </w:tc>
            </w:tr>
            <w:tr w14:paraId="4C48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193" w:type="dxa"/>
                  <w:tcBorders>
                    <w:bottom w:val="single" w:color="auto" w:sz="4" w:space="0"/>
                  </w:tcBorders>
                  <w:shd w:val="clear" w:color="auto" w:fill="auto"/>
                  <w:vAlign w:val="center"/>
                </w:tcPr>
                <w:p w14:paraId="2D37C6BC">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危废</w:t>
                  </w:r>
                  <w:r>
                    <w:rPr>
                      <w:rFonts w:hint="eastAsia"/>
                      <w:color w:val="auto"/>
                      <w:highlight w:val="none"/>
                      <w:lang w:val="en-US" w:eastAsia="zh-CN"/>
                    </w:rPr>
                    <w:t>贮存库</w:t>
                  </w:r>
                </w:p>
              </w:tc>
              <w:tc>
                <w:tcPr>
                  <w:tcW w:w="1985" w:type="dxa"/>
                  <w:tcBorders>
                    <w:bottom w:val="single" w:color="auto" w:sz="4" w:space="0"/>
                  </w:tcBorders>
                  <w:shd w:val="clear" w:color="auto" w:fill="auto"/>
                  <w:vAlign w:val="center"/>
                </w:tcPr>
                <w:p w14:paraId="6362190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废机油、废液压油、废油桶、废活性炭、废过滤棉、废油棉纱手套等危险废物</w:t>
                  </w:r>
                </w:p>
              </w:tc>
              <w:tc>
                <w:tcPr>
                  <w:tcW w:w="979" w:type="dxa"/>
                  <w:vMerge w:val="restart"/>
                  <w:shd w:val="clear" w:color="auto" w:fill="auto"/>
                  <w:vAlign w:val="center"/>
                </w:tcPr>
                <w:p w14:paraId="40BFE813">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矿物油、有机物</w:t>
                  </w:r>
                </w:p>
              </w:tc>
              <w:tc>
                <w:tcPr>
                  <w:tcW w:w="1141" w:type="dxa"/>
                  <w:vMerge w:val="restart"/>
                  <w:shd w:val="clear" w:color="auto" w:fill="auto"/>
                  <w:vAlign w:val="center"/>
                </w:tcPr>
                <w:p w14:paraId="5CDDA0E9">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泄漏、火灾、</w:t>
                  </w:r>
                </w:p>
              </w:tc>
              <w:tc>
                <w:tcPr>
                  <w:tcW w:w="2642" w:type="dxa"/>
                  <w:vMerge w:val="restart"/>
                  <w:shd w:val="clear" w:color="auto" w:fill="auto"/>
                  <w:vAlign w:val="center"/>
                </w:tcPr>
                <w:p w14:paraId="65CB930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泄漏后遇明火、高热或与氧化剂接触可能引起燃烧爆炸的危险；泄漏后渗入土壤会污染土壤和地下水环境</w:t>
                  </w:r>
                </w:p>
              </w:tc>
              <w:tc>
                <w:tcPr>
                  <w:tcW w:w="1403" w:type="dxa"/>
                  <w:vMerge w:val="restart"/>
                  <w:shd w:val="clear" w:color="auto" w:fill="auto"/>
                  <w:vAlign w:val="center"/>
                </w:tcPr>
                <w:p w14:paraId="0191D4E0">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大气环境、水环境、土壤环境</w:t>
                  </w:r>
                </w:p>
              </w:tc>
            </w:tr>
            <w:tr w14:paraId="3E07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jc w:val="center"/>
              </w:trPr>
              <w:tc>
                <w:tcPr>
                  <w:tcW w:w="1193" w:type="dxa"/>
                  <w:tcBorders>
                    <w:top w:val="single" w:color="auto" w:sz="4" w:space="0"/>
                  </w:tcBorders>
                  <w:shd w:val="clear" w:color="auto" w:fill="auto"/>
                  <w:vAlign w:val="center"/>
                </w:tcPr>
                <w:p w14:paraId="571251FF">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喷淋塔</w:t>
                  </w:r>
                </w:p>
              </w:tc>
              <w:tc>
                <w:tcPr>
                  <w:tcW w:w="1985" w:type="dxa"/>
                  <w:tcBorders>
                    <w:top w:val="single" w:color="auto" w:sz="4" w:space="0"/>
                  </w:tcBorders>
                  <w:shd w:val="clear" w:color="auto" w:fill="auto"/>
                  <w:vAlign w:val="center"/>
                </w:tcPr>
                <w:p w14:paraId="00358B51">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乙醇废气处理</w:t>
                  </w:r>
                  <w:r>
                    <w:rPr>
                      <w:rFonts w:hint="eastAsia"/>
                      <w:color w:val="auto"/>
                      <w:highlight w:val="none"/>
                      <w:lang w:val="en-US" w:eastAsia="zh-CN"/>
                    </w:rPr>
                    <w:t>废液</w:t>
                  </w:r>
                </w:p>
              </w:tc>
              <w:tc>
                <w:tcPr>
                  <w:tcW w:w="979" w:type="dxa"/>
                  <w:vMerge w:val="continue"/>
                  <w:shd w:val="clear" w:color="auto" w:fill="auto"/>
                  <w:vAlign w:val="center"/>
                </w:tcPr>
                <w:p w14:paraId="186C1A15">
                  <w:pPr>
                    <w:pStyle w:val="86"/>
                    <w:keepNext w:val="0"/>
                    <w:keepLines w:val="0"/>
                    <w:suppressLineNumbers w:val="0"/>
                    <w:bidi w:val="0"/>
                    <w:spacing w:before="0" w:beforeAutospacing="0" w:after="0" w:afterAutospacing="0"/>
                    <w:ind w:left="0" w:right="0"/>
                    <w:rPr>
                      <w:rFonts w:hint="default"/>
                      <w:color w:val="auto"/>
                      <w:highlight w:val="none"/>
                    </w:rPr>
                  </w:pPr>
                </w:p>
              </w:tc>
              <w:tc>
                <w:tcPr>
                  <w:tcW w:w="1141" w:type="dxa"/>
                  <w:vMerge w:val="continue"/>
                  <w:shd w:val="clear" w:color="auto" w:fill="auto"/>
                  <w:vAlign w:val="center"/>
                </w:tcPr>
                <w:p w14:paraId="5C077354">
                  <w:pPr>
                    <w:pStyle w:val="86"/>
                    <w:keepNext w:val="0"/>
                    <w:keepLines w:val="0"/>
                    <w:suppressLineNumbers w:val="0"/>
                    <w:bidi w:val="0"/>
                    <w:spacing w:before="0" w:beforeAutospacing="0" w:after="0" w:afterAutospacing="0"/>
                    <w:ind w:left="0" w:right="0"/>
                    <w:rPr>
                      <w:rFonts w:hint="default"/>
                      <w:color w:val="auto"/>
                      <w:highlight w:val="none"/>
                    </w:rPr>
                  </w:pPr>
                </w:p>
              </w:tc>
              <w:tc>
                <w:tcPr>
                  <w:tcW w:w="2642" w:type="dxa"/>
                  <w:vMerge w:val="continue"/>
                  <w:shd w:val="clear" w:color="auto" w:fill="auto"/>
                  <w:vAlign w:val="center"/>
                </w:tcPr>
                <w:p w14:paraId="7E8FAEC9">
                  <w:pPr>
                    <w:pStyle w:val="86"/>
                    <w:keepNext w:val="0"/>
                    <w:keepLines w:val="0"/>
                    <w:suppressLineNumbers w:val="0"/>
                    <w:bidi w:val="0"/>
                    <w:spacing w:before="0" w:beforeAutospacing="0" w:after="0" w:afterAutospacing="0"/>
                    <w:ind w:left="0" w:right="0"/>
                    <w:rPr>
                      <w:rFonts w:hint="default"/>
                      <w:color w:val="auto"/>
                      <w:highlight w:val="none"/>
                    </w:rPr>
                  </w:pPr>
                </w:p>
              </w:tc>
              <w:tc>
                <w:tcPr>
                  <w:tcW w:w="1403" w:type="dxa"/>
                  <w:vMerge w:val="continue"/>
                  <w:shd w:val="clear" w:color="auto" w:fill="auto"/>
                  <w:vAlign w:val="center"/>
                </w:tcPr>
                <w:p w14:paraId="555DB490">
                  <w:pPr>
                    <w:pStyle w:val="86"/>
                    <w:keepNext w:val="0"/>
                    <w:keepLines w:val="0"/>
                    <w:suppressLineNumbers w:val="0"/>
                    <w:bidi w:val="0"/>
                    <w:spacing w:before="0" w:beforeAutospacing="0" w:after="0" w:afterAutospacing="0"/>
                    <w:ind w:left="0" w:right="0"/>
                    <w:rPr>
                      <w:rFonts w:hint="default"/>
                      <w:color w:val="auto"/>
                      <w:highlight w:val="none"/>
                    </w:rPr>
                  </w:pPr>
                </w:p>
              </w:tc>
            </w:tr>
            <w:tr w14:paraId="2E8E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3" w:type="dxa"/>
                  <w:shd w:val="clear" w:color="auto" w:fill="auto"/>
                  <w:vAlign w:val="center"/>
                </w:tcPr>
                <w:p w14:paraId="324C1A97">
                  <w:pPr>
                    <w:pStyle w:val="86"/>
                    <w:keepNext w:val="0"/>
                    <w:keepLines w:val="0"/>
                    <w:suppressLineNumbers w:val="0"/>
                    <w:bidi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lang w:val="en-US" w:eastAsia="zh-CN"/>
                    </w:rPr>
                    <w:t>抛丸、磨加工等生产设备、集尘器及管道、除尘系统等</w:t>
                  </w:r>
                </w:p>
              </w:tc>
              <w:tc>
                <w:tcPr>
                  <w:tcW w:w="1985" w:type="dxa"/>
                  <w:shd w:val="clear" w:color="auto" w:fill="auto"/>
                  <w:vAlign w:val="center"/>
                </w:tcPr>
                <w:p w14:paraId="1C86420F">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铝镁等金属粉尘</w:t>
                  </w:r>
                </w:p>
              </w:tc>
              <w:tc>
                <w:tcPr>
                  <w:tcW w:w="979" w:type="dxa"/>
                  <w:shd w:val="clear" w:color="auto" w:fill="auto"/>
                  <w:vAlign w:val="center"/>
                </w:tcPr>
                <w:p w14:paraId="292B376F">
                  <w:pPr>
                    <w:pStyle w:val="86"/>
                    <w:keepNext w:val="0"/>
                    <w:keepLines w:val="0"/>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金属粉尘</w:t>
                  </w:r>
                </w:p>
              </w:tc>
              <w:tc>
                <w:tcPr>
                  <w:tcW w:w="1141" w:type="dxa"/>
                  <w:shd w:val="clear" w:color="auto" w:fill="auto"/>
                  <w:vAlign w:val="center"/>
                </w:tcPr>
                <w:p w14:paraId="15FD6E24">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燃烧、爆炸</w:t>
                  </w:r>
                </w:p>
              </w:tc>
              <w:tc>
                <w:tcPr>
                  <w:tcW w:w="2642" w:type="dxa"/>
                  <w:shd w:val="clear" w:color="auto" w:fill="auto"/>
                  <w:vAlign w:val="center"/>
                </w:tcPr>
                <w:p w14:paraId="41D70B54">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粉尘悬浮在空气中遇点火源发生爆炸，或在密闭或半密闭设备内，爆炸压力和温度会急剧升高，发生爆炸；能与水或潮湿空气反应生成氢气，而氢气本身就是一种极易爆炸的气体，同时反应放热可能成为点火源</w:t>
                  </w:r>
                </w:p>
              </w:tc>
              <w:tc>
                <w:tcPr>
                  <w:tcW w:w="1403" w:type="dxa"/>
                  <w:shd w:val="clear" w:color="auto" w:fill="auto"/>
                  <w:vAlign w:val="center"/>
                </w:tcPr>
                <w:p w14:paraId="08D9A0DB">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大气环境*</w:t>
                  </w:r>
                </w:p>
              </w:tc>
            </w:tr>
          </w:tbl>
          <w:p w14:paraId="6E697196">
            <w:pPr>
              <w:pStyle w:val="50"/>
              <w:keepNext w:val="0"/>
              <w:keepLines w:val="0"/>
              <w:suppressLineNumbers w:val="0"/>
              <w:spacing w:before="0" w:beforeAutospacing="0" w:after="0" w:afterAutospacing="0"/>
              <w:ind w:left="0" w:right="0"/>
              <w:jc w:val="both"/>
              <w:rPr>
                <w:rFonts w:hint="default" w:eastAsia="宋体"/>
                <w:color w:val="auto"/>
                <w:highlight w:val="none"/>
                <w:lang w:val="en-US" w:eastAsia="zh-CN"/>
              </w:rPr>
            </w:pPr>
            <w:r>
              <w:rPr>
                <w:rFonts w:hint="eastAsia"/>
                <w:color w:val="auto"/>
                <w:highlight w:val="none"/>
                <w:lang w:val="en-US" w:eastAsia="zh-CN"/>
              </w:rPr>
              <w:t>注：铝镁等金属粉尘引发的燃烧、爆炸，必须使用能隔绝氧气且不会与金属发生反应的专用灭火剂，尤其不能用水来进行灭火，因此不考虑消防废水进入地表水环境的情形。</w:t>
            </w:r>
          </w:p>
          <w:p w14:paraId="35D9B1DD">
            <w:pPr>
              <w:keepNext w:val="0"/>
              <w:keepLines w:val="0"/>
              <w:suppressLineNumbers w:val="0"/>
              <w:spacing w:before="0" w:beforeAutospacing="0" w:after="0" w:afterAutospacing="0"/>
              <w:ind w:left="0" w:right="0"/>
              <w:rPr>
                <w:rFonts w:hint="default"/>
                <w:color w:val="auto"/>
              </w:rPr>
            </w:pPr>
          </w:p>
          <w:p w14:paraId="2D26C9DF">
            <w:pPr>
              <w:keepNext w:val="0"/>
              <w:keepLines w:val="0"/>
              <w:suppressLineNumbers w:val="0"/>
              <w:snapToGrid w:val="0"/>
              <w:spacing w:before="0" w:beforeAutospacing="0" w:after="0" w:afterAutospacing="0" w:line="400" w:lineRule="exact"/>
              <w:ind w:left="0" w:right="0" w:firstLine="521"/>
              <w:outlineLvl w:val="3"/>
              <w:rPr>
                <w:rFonts w:hint="eastAsia"/>
                <w:b/>
                <w:bCs w:val="0"/>
                <w:color w:val="auto"/>
                <w:sz w:val="26"/>
                <w:szCs w:val="26"/>
                <w:highlight w:val="none"/>
                <w:lang w:val="en-US" w:eastAsia="zh-CN"/>
              </w:rPr>
            </w:pPr>
            <w:r>
              <w:rPr>
                <w:rFonts w:hint="eastAsia"/>
                <w:b/>
                <w:bCs w:val="0"/>
                <w:color w:val="auto"/>
                <w:sz w:val="26"/>
                <w:szCs w:val="26"/>
                <w:highlight w:val="none"/>
                <w:lang w:val="en-US" w:eastAsia="zh-CN"/>
              </w:rPr>
              <w:t>以铝、</w:t>
            </w:r>
            <w:r>
              <w:rPr>
                <w:rFonts w:hint="eastAsia" w:ascii="Times New Roman" w:hAnsi="Times New Roman" w:eastAsia="宋体" w:cs="Times New Roman"/>
                <w:b/>
                <w:bCs w:val="0"/>
                <w:color w:val="auto"/>
                <w:sz w:val="26"/>
                <w:szCs w:val="26"/>
                <w:highlight w:val="none"/>
                <w:lang w:val="en-US" w:eastAsia="zh-CN"/>
              </w:rPr>
              <w:t>镁、锌为</w:t>
            </w:r>
            <w:r>
              <w:rPr>
                <w:rFonts w:hint="eastAsia"/>
                <w:b/>
                <w:bCs w:val="0"/>
                <w:color w:val="auto"/>
                <w:sz w:val="26"/>
                <w:szCs w:val="26"/>
                <w:highlight w:val="none"/>
                <w:lang w:val="en-US" w:eastAsia="zh-CN"/>
              </w:rPr>
              <w:t>主要成分的粉尘的特性及爆炸风险分析：</w:t>
            </w:r>
          </w:p>
          <w:p w14:paraId="7CF6BD51">
            <w:pPr>
              <w:keepNext w:val="0"/>
              <w:keepLines w:val="0"/>
              <w:numPr>
                <w:ilvl w:val="0"/>
                <w:numId w:val="0"/>
              </w:numPr>
              <w:suppressLineNumbers w:val="0"/>
              <w:snapToGrid w:val="0"/>
              <w:spacing w:before="0" w:beforeAutospacing="0" w:after="0" w:afterAutospacing="0" w:line="400" w:lineRule="exact"/>
              <w:ind w:left="0" w:leftChars="0" w:right="0" w:rightChars="0" w:firstLine="521" w:firstLineChars="0"/>
              <w:outlineLvl w:val="3"/>
              <w:rPr>
                <w:rFonts w:hint="default" w:ascii="Times New Roman" w:hAnsi="Times New Roman" w:eastAsia="宋体" w:cs="Times New Roman"/>
                <w:b/>
                <w:bCs w:val="0"/>
                <w:color w:val="auto"/>
                <w:kern w:val="2"/>
                <w:sz w:val="26"/>
                <w:szCs w:val="26"/>
                <w:lang w:val="en-US" w:eastAsia="zh-CN" w:bidi="ar-SA"/>
              </w:rPr>
            </w:pPr>
            <w:r>
              <w:rPr>
                <w:rFonts w:hint="eastAsia" w:cs="Times New Roman"/>
                <w:b/>
                <w:bCs w:val="0"/>
                <w:color w:val="auto"/>
                <w:kern w:val="2"/>
                <w:sz w:val="26"/>
                <w:szCs w:val="26"/>
                <w:lang w:val="en-US" w:eastAsia="zh-CN" w:bidi="ar-SA"/>
              </w:rPr>
              <w:t>（1）化学物理特性分析：</w:t>
            </w:r>
          </w:p>
          <w:p w14:paraId="340864B5">
            <w:pPr>
              <w:keepNext w:val="0"/>
              <w:keepLines w:val="0"/>
              <w:numPr>
                <w:ilvl w:val="0"/>
                <w:numId w:val="0"/>
              </w:numPr>
              <w:suppressLineNumbers w:val="0"/>
              <w:snapToGrid w:val="0"/>
              <w:spacing w:before="0" w:beforeAutospacing="0" w:after="0" w:afterAutospacing="0" w:line="400" w:lineRule="exact"/>
              <w:ind w:left="0" w:leftChars="0" w:right="0" w:rightChars="0" w:firstLine="521" w:firstLineChars="0"/>
              <w:outlineLvl w:val="3"/>
              <w:rPr>
                <w:rFonts w:hint="eastAsia"/>
                <w:b w:val="0"/>
                <w:bCs/>
                <w:color w:val="auto"/>
                <w:sz w:val="26"/>
                <w:szCs w:val="26"/>
                <w:highlight w:val="none"/>
                <w:lang w:val="en-US" w:eastAsia="zh-CN"/>
              </w:rPr>
            </w:pPr>
            <w:r>
              <w:rPr>
                <w:rFonts w:hint="eastAsia"/>
                <w:b w:val="0"/>
                <w:bCs/>
                <w:color w:val="auto"/>
                <w:sz w:val="26"/>
                <w:szCs w:val="26"/>
                <w:highlight w:val="none"/>
                <w:lang w:val="en-US" w:eastAsia="zh-CN"/>
              </w:rPr>
              <w:t>1）轻质高强：原材料本身密度小，但强度较高。</w:t>
            </w:r>
          </w:p>
          <w:p w14:paraId="450DB325">
            <w:pPr>
              <w:keepNext w:val="0"/>
              <w:keepLines w:val="0"/>
              <w:numPr>
                <w:ilvl w:val="0"/>
                <w:numId w:val="0"/>
              </w:numPr>
              <w:suppressLineNumbers w:val="0"/>
              <w:snapToGrid w:val="0"/>
              <w:spacing w:before="0" w:beforeAutospacing="0" w:after="0" w:afterAutospacing="0" w:line="400" w:lineRule="exact"/>
              <w:ind w:left="0" w:leftChars="0" w:right="0" w:rightChars="0" w:firstLine="521" w:firstLineChars="0"/>
              <w:outlineLvl w:val="3"/>
              <w:rPr>
                <w:rFonts w:hint="eastAsia"/>
                <w:b w:val="0"/>
                <w:bCs/>
                <w:color w:val="auto"/>
                <w:sz w:val="26"/>
                <w:szCs w:val="26"/>
                <w:highlight w:val="none"/>
                <w:lang w:val="en-US" w:eastAsia="zh-CN"/>
              </w:rPr>
            </w:pPr>
            <w:r>
              <w:rPr>
                <w:rFonts w:hint="eastAsia"/>
                <w:b w:val="0"/>
                <w:bCs/>
                <w:color w:val="auto"/>
                <w:sz w:val="26"/>
                <w:szCs w:val="26"/>
                <w:highlight w:val="none"/>
                <w:lang w:val="en-US" w:eastAsia="zh-CN"/>
              </w:rPr>
              <w:t>2）活性金属：铝和镁都是化学性质活泼的金属，标准电极电位低，易于发生氧化还原反应。</w:t>
            </w:r>
          </w:p>
          <w:p w14:paraId="4D6A44B8">
            <w:pPr>
              <w:keepNext w:val="0"/>
              <w:keepLines w:val="0"/>
              <w:suppressLineNumbers w:val="0"/>
              <w:snapToGrid w:val="0"/>
              <w:spacing w:before="0" w:beforeAutospacing="0" w:after="0" w:afterAutospacing="0" w:line="400" w:lineRule="exact"/>
              <w:ind w:left="0" w:right="0" w:firstLine="521"/>
              <w:outlineLvl w:val="3"/>
              <w:rPr>
                <w:rFonts w:hint="eastAsia"/>
                <w:b w:val="0"/>
                <w:bCs/>
                <w:color w:val="auto"/>
                <w:sz w:val="26"/>
                <w:szCs w:val="26"/>
                <w:highlight w:val="none"/>
                <w:lang w:val="en-US" w:eastAsia="zh-CN"/>
              </w:rPr>
            </w:pPr>
            <w:r>
              <w:rPr>
                <w:rFonts w:hint="eastAsia"/>
                <w:b w:val="0"/>
                <w:bCs/>
                <w:color w:val="auto"/>
                <w:sz w:val="26"/>
                <w:szCs w:val="26"/>
                <w:highlight w:val="none"/>
                <w:lang w:val="en-US" w:eastAsia="zh-CN"/>
              </w:rPr>
              <w:t>3）表面氧化膜：在空气中会迅速形成一层致密的氧化膜（Al</w:t>
            </w:r>
            <w:r>
              <w:rPr>
                <w:rFonts w:hint="eastAsia"/>
                <w:b w:val="0"/>
                <w:bCs/>
                <w:color w:val="auto"/>
                <w:sz w:val="26"/>
                <w:szCs w:val="26"/>
                <w:highlight w:val="none"/>
                <w:vertAlign w:val="subscript"/>
                <w:lang w:val="en-US" w:eastAsia="zh-CN"/>
              </w:rPr>
              <w:t>2</w:t>
            </w:r>
            <w:r>
              <w:rPr>
                <w:rFonts w:hint="eastAsia"/>
                <w:b w:val="0"/>
                <w:bCs/>
                <w:color w:val="auto"/>
                <w:sz w:val="26"/>
                <w:szCs w:val="26"/>
                <w:highlight w:val="none"/>
                <w:lang w:val="en-US" w:eastAsia="zh-CN"/>
              </w:rPr>
              <w:t>O</w:t>
            </w:r>
            <w:r>
              <w:rPr>
                <w:rFonts w:hint="eastAsia"/>
                <w:b w:val="0"/>
                <w:bCs/>
                <w:color w:val="auto"/>
                <w:sz w:val="26"/>
                <w:szCs w:val="26"/>
                <w:highlight w:val="none"/>
                <w:vertAlign w:val="subscript"/>
                <w:lang w:val="en-US" w:eastAsia="zh-CN"/>
              </w:rPr>
              <w:t>3</w:t>
            </w:r>
            <w:r>
              <w:rPr>
                <w:rFonts w:hint="eastAsia"/>
                <w:b w:val="0"/>
                <w:bCs/>
                <w:color w:val="auto"/>
                <w:sz w:val="26"/>
                <w:szCs w:val="26"/>
                <w:highlight w:val="none"/>
                <w:lang w:val="en-US" w:eastAsia="zh-CN"/>
              </w:rPr>
              <w:t>或MgO），这层膜能防止内部的金属进一步氧化，使其在宏观固态时相对稳定。</w:t>
            </w:r>
          </w:p>
          <w:p w14:paraId="68F43D30">
            <w:pPr>
              <w:keepNext w:val="0"/>
              <w:keepLines w:val="0"/>
              <w:suppressLineNumbers w:val="0"/>
              <w:snapToGrid w:val="0"/>
              <w:spacing w:before="0" w:beforeAutospacing="0" w:after="0" w:afterAutospacing="0" w:line="400" w:lineRule="exact"/>
              <w:ind w:left="0" w:right="0" w:firstLine="521"/>
              <w:outlineLvl w:val="3"/>
              <w:rPr>
                <w:rFonts w:hint="eastAsia"/>
                <w:b/>
                <w:bCs w:val="0"/>
                <w:color w:val="auto"/>
                <w:sz w:val="26"/>
                <w:szCs w:val="26"/>
                <w:highlight w:val="none"/>
                <w:lang w:val="en-US" w:eastAsia="zh-CN"/>
              </w:rPr>
            </w:pPr>
            <w:r>
              <w:rPr>
                <w:rFonts w:hint="eastAsia"/>
                <w:b/>
                <w:bCs w:val="0"/>
                <w:color w:val="auto"/>
                <w:sz w:val="26"/>
                <w:szCs w:val="26"/>
                <w:highlight w:val="none"/>
                <w:lang w:val="en-US" w:eastAsia="zh-CN"/>
              </w:rPr>
              <w:t>（2）粉尘爆炸性相关特性</w:t>
            </w:r>
          </w:p>
          <w:p w14:paraId="1CC86198">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1）</w:t>
            </w:r>
            <w:r>
              <w:rPr>
                <w:rFonts w:hint="default"/>
                <w:b w:val="0"/>
                <w:bCs/>
                <w:color w:val="auto"/>
                <w:sz w:val="26"/>
                <w:szCs w:val="26"/>
                <w:highlight w:val="none"/>
                <w:lang w:val="en-US" w:eastAsia="zh-CN"/>
              </w:rPr>
              <w:t>当铝镁合金被加工成细微的粉尘时，其性质发生根本性改变，危险性急剧上升：</w:t>
            </w:r>
          </w:p>
          <w:p w14:paraId="0E11DADF">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A.</w:t>
            </w:r>
            <w:r>
              <w:rPr>
                <w:rFonts w:hint="default"/>
                <w:b w:val="0"/>
                <w:bCs/>
                <w:color w:val="auto"/>
                <w:sz w:val="26"/>
                <w:szCs w:val="26"/>
                <w:highlight w:val="none"/>
                <w:lang w:val="en-US" w:eastAsia="zh-CN"/>
              </w:rPr>
              <w:t>巨大的比表面积：粉末状态使其与空气的接触面积呈指数级增长，氧化反应的速度和效率远高于块状金属。</w:t>
            </w:r>
          </w:p>
          <w:p w14:paraId="40F747AA">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B.</w:t>
            </w:r>
            <w:r>
              <w:rPr>
                <w:rFonts w:hint="default"/>
                <w:b w:val="0"/>
                <w:bCs/>
                <w:color w:val="auto"/>
                <w:sz w:val="26"/>
                <w:szCs w:val="26"/>
                <w:highlight w:val="none"/>
                <w:lang w:val="en-US" w:eastAsia="zh-CN"/>
              </w:rPr>
              <w:t>高燃烧热：铝和镁在氧化反应时能释放出巨大的热量（铝：约31kJ/g，镁：约25kJ/g），是TNT炸药的数倍，这为爆炸提供了强大的能量来源。</w:t>
            </w:r>
          </w:p>
          <w:p w14:paraId="5623C0A8">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C.</w:t>
            </w:r>
            <w:r>
              <w:rPr>
                <w:rFonts w:hint="default"/>
                <w:b w:val="0"/>
                <w:bCs/>
                <w:color w:val="auto"/>
                <w:sz w:val="26"/>
                <w:szCs w:val="26"/>
                <w:highlight w:val="none"/>
                <w:lang w:val="en-US" w:eastAsia="zh-CN"/>
              </w:rPr>
              <w:t>可悬浮性：细微粉尘在空气中能形成粉尘云。当达到一定浓度（爆炸下限）时，遇点火源即可发生爆炸。</w:t>
            </w:r>
          </w:p>
          <w:p w14:paraId="15A55B31">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D.</w:t>
            </w:r>
            <w:r>
              <w:rPr>
                <w:rFonts w:hint="default"/>
                <w:b w:val="0"/>
                <w:bCs/>
                <w:color w:val="auto"/>
                <w:sz w:val="26"/>
                <w:szCs w:val="26"/>
                <w:highlight w:val="none"/>
                <w:lang w:val="en-US" w:eastAsia="zh-CN"/>
              </w:rPr>
              <w:t>点火敏感性低但威力大：</w:t>
            </w:r>
          </w:p>
          <w:p w14:paraId="6F04C444">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a.</w:t>
            </w:r>
            <w:r>
              <w:rPr>
                <w:rFonts w:hint="default"/>
                <w:b w:val="0"/>
                <w:bCs/>
                <w:color w:val="auto"/>
                <w:sz w:val="26"/>
                <w:szCs w:val="26"/>
                <w:highlight w:val="none"/>
                <w:lang w:val="en-US" w:eastAsia="zh-CN"/>
              </w:rPr>
              <w:t>最小点火能低：铝镁合金粉尘云容易被微小的点火源（如静电火花、机械撞击火花、高温表面）点燃。</w:t>
            </w:r>
          </w:p>
          <w:p w14:paraId="38C6D9C1">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b.</w:t>
            </w:r>
            <w:r>
              <w:rPr>
                <w:rFonts w:hint="default"/>
                <w:b w:val="0"/>
                <w:bCs/>
                <w:color w:val="auto"/>
                <w:sz w:val="26"/>
                <w:szCs w:val="26"/>
                <w:highlight w:val="none"/>
                <w:lang w:val="en-US" w:eastAsia="zh-CN"/>
              </w:rPr>
              <w:t>爆炸威力强：由于燃烧热高，一旦发生爆炸，其爆炸压力、压力上升速率（Kst值，表征爆炸猛烈程度）都非常高，破坏性极强。</w:t>
            </w:r>
          </w:p>
          <w:p w14:paraId="19C838D1">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E、</w:t>
            </w:r>
            <w:r>
              <w:rPr>
                <w:rFonts w:hint="default"/>
                <w:b w:val="0"/>
                <w:bCs/>
                <w:color w:val="auto"/>
                <w:sz w:val="26"/>
                <w:szCs w:val="26"/>
                <w:highlight w:val="none"/>
                <w:lang w:val="en-US" w:eastAsia="zh-CN"/>
              </w:rPr>
              <w:t>二次爆炸风险：初始爆炸的冲击波会扬起沉积在设备、管道、厂房横梁等处的积尘，形成新的、浓度更高的粉尘云，从而引发更猛烈的二次或多次爆炸。这是粉尘爆炸造成特大伤亡和破坏的主要原因。</w:t>
            </w:r>
          </w:p>
          <w:p w14:paraId="3C48B9A9">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F.</w:t>
            </w:r>
            <w:r>
              <w:rPr>
                <w:rFonts w:hint="default"/>
                <w:b w:val="0"/>
                <w:bCs/>
                <w:color w:val="auto"/>
                <w:sz w:val="26"/>
                <w:szCs w:val="26"/>
                <w:highlight w:val="none"/>
                <w:lang w:val="en-US" w:eastAsia="zh-CN"/>
              </w:rPr>
              <w:t>受限空间效应：在密闭或半密闭设备（如集尘器）内，爆炸压力和温度会急剧升高，导致灾难性后果。</w:t>
            </w:r>
          </w:p>
          <w:p w14:paraId="5044D483">
            <w:pPr>
              <w:keepNext w:val="0"/>
              <w:keepLines w:val="0"/>
              <w:suppressLineNumbers w:val="0"/>
              <w:snapToGrid w:val="0"/>
              <w:spacing w:before="0" w:beforeAutospacing="0" w:after="0" w:afterAutospacing="0" w:line="400" w:lineRule="exact"/>
              <w:ind w:left="0" w:right="0" w:firstLine="521"/>
              <w:outlineLvl w:val="3"/>
              <w:rPr>
                <w:rFonts w:hint="default"/>
                <w:b w:val="0"/>
                <w:bCs/>
                <w:color w:val="auto"/>
                <w:sz w:val="26"/>
                <w:szCs w:val="26"/>
                <w:highlight w:val="none"/>
                <w:lang w:val="en-US" w:eastAsia="zh-CN"/>
              </w:rPr>
            </w:pPr>
            <w:r>
              <w:rPr>
                <w:rFonts w:hint="eastAsia"/>
                <w:b w:val="0"/>
                <w:bCs/>
                <w:color w:val="auto"/>
                <w:sz w:val="26"/>
                <w:szCs w:val="26"/>
                <w:highlight w:val="none"/>
                <w:lang w:val="en-US" w:eastAsia="zh-CN"/>
              </w:rPr>
              <w:t>G.</w:t>
            </w:r>
            <w:r>
              <w:rPr>
                <w:rFonts w:hint="default"/>
                <w:b w:val="0"/>
                <w:bCs/>
                <w:color w:val="auto"/>
                <w:sz w:val="26"/>
                <w:szCs w:val="26"/>
                <w:highlight w:val="none"/>
                <w:lang w:val="en-US" w:eastAsia="zh-CN"/>
              </w:rPr>
              <w:t>与水/酸反应风险：能与水或潮湿空气反应生成氢气，而氢气本身就是一种极易爆炸的气体，同时反应放热可能成为点火源。</w:t>
            </w:r>
          </w:p>
          <w:p w14:paraId="20085D49">
            <w:pPr>
              <w:keepNext w:val="0"/>
              <w:keepLines w:val="0"/>
              <w:suppressLineNumbers w:val="0"/>
              <w:snapToGrid w:val="0"/>
              <w:spacing w:before="0" w:beforeAutospacing="0" w:after="0" w:afterAutospacing="0" w:line="400" w:lineRule="exact"/>
              <w:ind w:left="0" w:right="0" w:firstLine="521"/>
              <w:outlineLvl w:val="3"/>
              <w:rPr>
                <w:rFonts w:hint="default"/>
                <w:b/>
                <w:color w:val="auto"/>
                <w:sz w:val="26"/>
                <w:szCs w:val="26"/>
                <w:highlight w:val="none"/>
              </w:rPr>
            </w:pPr>
            <w:r>
              <w:rPr>
                <w:rFonts w:hint="default"/>
                <w:b/>
                <w:color w:val="auto"/>
                <w:sz w:val="26"/>
                <w:szCs w:val="26"/>
                <w:highlight w:val="none"/>
              </w:rPr>
              <w:t>4.2.7.</w:t>
            </w:r>
            <w:r>
              <w:rPr>
                <w:rFonts w:hint="eastAsia"/>
                <w:b/>
                <w:color w:val="auto"/>
                <w:sz w:val="26"/>
                <w:szCs w:val="26"/>
                <w:highlight w:val="none"/>
                <w:lang w:val="en-US" w:eastAsia="zh-CN"/>
              </w:rPr>
              <w:t>2</w:t>
            </w:r>
            <w:r>
              <w:rPr>
                <w:rFonts w:hint="default"/>
                <w:b/>
                <w:color w:val="auto"/>
                <w:sz w:val="26"/>
                <w:szCs w:val="26"/>
                <w:highlight w:val="none"/>
              </w:rPr>
              <w:t>风险潜势初判</w:t>
            </w:r>
          </w:p>
          <w:p w14:paraId="1AD5AEB8">
            <w:pPr>
              <w:keepNext w:val="0"/>
              <w:keepLines w:val="0"/>
              <w:suppressLineNumbers w:val="0"/>
              <w:autoSpaceDE w:val="0"/>
              <w:autoSpaceDN w:val="0"/>
              <w:adjustRightInd w:val="0"/>
              <w:snapToGrid w:val="0"/>
              <w:spacing w:before="0" w:beforeAutospacing="0" w:after="0" w:afterAutospacing="0" w:line="400" w:lineRule="exact"/>
              <w:ind w:left="0" w:right="0" w:firstLine="520" w:firstLineChars="200"/>
              <w:textAlignment w:val="baseline"/>
              <w:rPr>
                <w:rFonts w:hint="default"/>
                <w:color w:val="auto"/>
                <w:sz w:val="26"/>
                <w:szCs w:val="26"/>
                <w:highlight w:val="none"/>
              </w:rPr>
            </w:pPr>
            <w:r>
              <w:rPr>
                <w:rFonts w:hint="default"/>
                <w:color w:val="auto"/>
                <w:sz w:val="26"/>
                <w:szCs w:val="26"/>
                <w:highlight w:val="none"/>
              </w:rPr>
              <w:t>计算Q值时采用以下公式：</w:t>
            </w:r>
          </w:p>
          <w:p w14:paraId="15174EA7">
            <w:pPr>
              <w:keepNext w:val="0"/>
              <w:keepLines w:val="0"/>
              <w:suppressLineNumbers w:val="0"/>
              <w:snapToGrid w:val="0"/>
              <w:spacing w:before="0" w:beforeAutospacing="0" w:after="0" w:afterAutospacing="0" w:line="400" w:lineRule="exact"/>
              <w:ind w:left="0" w:right="0"/>
              <w:jc w:val="center"/>
              <w:rPr>
                <w:rFonts w:hint="default"/>
                <w:color w:val="auto"/>
                <w:sz w:val="26"/>
                <w:szCs w:val="26"/>
                <w:highlight w:val="none"/>
                <w:lang w:val="fr-FR"/>
              </w:rPr>
            </w:pPr>
            <w:r>
              <w:rPr>
                <w:rFonts w:hint="default"/>
                <w:color w:val="auto"/>
                <w:sz w:val="26"/>
                <w:szCs w:val="26"/>
                <w:highlight w:val="none"/>
                <w:lang w:val="fr-FR"/>
              </w:rPr>
              <w:t>Q=q</w:t>
            </w:r>
            <w:r>
              <w:rPr>
                <w:rFonts w:hint="default"/>
                <w:color w:val="auto"/>
                <w:sz w:val="26"/>
                <w:szCs w:val="26"/>
                <w:highlight w:val="none"/>
                <w:vertAlign w:val="subscript"/>
                <w:lang w:val="fr-FR"/>
              </w:rPr>
              <w:t>1</w:t>
            </w:r>
            <w:r>
              <w:rPr>
                <w:rFonts w:hint="default"/>
                <w:color w:val="auto"/>
                <w:sz w:val="26"/>
                <w:szCs w:val="26"/>
                <w:highlight w:val="none"/>
                <w:lang w:val="fr-FR"/>
              </w:rPr>
              <w:t>/Q</w:t>
            </w:r>
            <w:r>
              <w:rPr>
                <w:rFonts w:hint="default"/>
                <w:color w:val="auto"/>
                <w:sz w:val="26"/>
                <w:szCs w:val="26"/>
                <w:highlight w:val="none"/>
                <w:vertAlign w:val="subscript"/>
                <w:lang w:val="fr-FR"/>
              </w:rPr>
              <w:t>1</w:t>
            </w:r>
            <w:r>
              <w:rPr>
                <w:rFonts w:hint="default"/>
                <w:color w:val="auto"/>
                <w:sz w:val="26"/>
                <w:szCs w:val="26"/>
                <w:highlight w:val="none"/>
                <w:lang w:val="fr-FR"/>
              </w:rPr>
              <w:t>+ q</w:t>
            </w:r>
            <w:r>
              <w:rPr>
                <w:rFonts w:hint="default"/>
                <w:color w:val="auto"/>
                <w:sz w:val="26"/>
                <w:szCs w:val="26"/>
                <w:highlight w:val="none"/>
                <w:vertAlign w:val="subscript"/>
                <w:lang w:val="fr-FR"/>
              </w:rPr>
              <w:t>2</w:t>
            </w:r>
            <w:r>
              <w:rPr>
                <w:rFonts w:hint="default"/>
                <w:color w:val="auto"/>
                <w:sz w:val="26"/>
                <w:szCs w:val="26"/>
                <w:highlight w:val="none"/>
                <w:lang w:val="fr-FR"/>
              </w:rPr>
              <w:t>/Q</w:t>
            </w:r>
            <w:r>
              <w:rPr>
                <w:rFonts w:hint="default"/>
                <w:color w:val="auto"/>
                <w:sz w:val="26"/>
                <w:szCs w:val="26"/>
                <w:highlight w:val="none"/>
                <w:vertAlign w:val="subscript"/>
                <w:lang w:val="fr-FR"/>
              </w:rPr>
              <w:t>2</w:t>
            </w:r>
            <w:r>
              <w:rPr>
                <w:rFonts w:hint="default"/>
                <w:color w:val="auto"/>
                <w:sz w:val="26"/>
                <w:szCs w:val="26"/>
                <w:highlight w:val="none"/>
                <w:lang w:val="fr-FR"/>
              </w:rPr>
              <w:t>+……+q</w:t>
            </w:r>
            <w:r>
              <w:rPr>
                <w:rFonts w:hint="default"/>
                <w:color w:val="auto"/>
                <w:sz w:val="26"/>
                <w:szCs w:val="26"/>
                <w:highlight w:val="none"/>
                <w:vertAlign w:val="subscript"/>
                <w:lang w:val="fr-FR"/>
              </w:rPr>
              <w:t>n</w:t>
            </w:r>
            <w:r>
              <w:rPr>
                <w:rFonts w:hint="default"/>
                <w:color w:val="auto"/>
                <w:sz w:val="26"/>
                <w:szCs w:val="26"/>
                <w:highlight w:val="none"/>
                <w:lang w:val="fr-FR"/>
              </w:rPr>
              <w:t>/Q</w:t>
            </w:r>
            <w:r>
              <w:rPr>
                <w:rFonts w:hint="default"/>
                <w:color w:val="auto"/>
                <w:sz w:val="26"/>
                <w:szCs w:val="26"/>
                <w:highlight w:val="none"/>
                <w:vertAlign w:val="subscript"/>
                <w:lang w:val="fr-FR"/>
              </w:rPr>
              <w:t>n</w:t>
            </w:r>
          </w:p>
          <w:p w14:paraId="1B36DB4E">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lang w:val="fr-FR"/>
              </w:rPr>
            </w:pPr>
            <w:r>
              <w:rPr>
                <w:rFonts w:hint="default"/>
                <w:color w:val="auto"/>
                <w:sz w:val="26"/>
                <w:szCs w:val="26"/>
                <w:highlight w:val="none"/>
                <w:lang w:val="fr-FR"/>
              </w:rPr>
              <w:t>式中：q</w:t>
            </w:r>
            <w:r>
              <w:rPr>
                <w:rFonts w:hint="default"/>
                <w:color w:val="auto"/>
                <w:sz w:val="26"/>
                <w:szCs w:val="26"/>
                <w:highlight w:val="none"/>
                <w:vertAlign w:val="subscript"/>
                <w:lang w:val="fr-FR"/>
              </w:rPr>
              <w:t>1</w:t>
            </w:r>
            <w:r>
              <w:rPr>
                <w:rFonts w:hint="default"/>
                <w:color w:val="auto"/>
                <w:sz w:val="26"/>
                <w:szCs w:val="26"/>
                <w:highlight w:val="none"/>
                <w:lang w:val="fr-FR"/>
              </w:rPr>
              <w:t>、q</w:t>
            </w:r>
            <w:r>
              <w:rPr>
                <w:rFonts w:hint="default"/>
                <w:color w:val="auto"/>
                <w:sz w:val="26"/>
                <w:szCs w:val="26"/>
                <w:highlight w:val="none"/>
                <w:vertAlign w:val="subscript"/>
                <w:lang w:val="fr-FR"/>
              </w:rPr>
              <w:t>2</w:t>
            </w:r>
            <w:r>
              <w:rPr>
                <w:rFonts w:hint="default"/>
                <w:color w:val="auto"/>
                <w:sz w:val="26"/>
                <w:szCs w:val="26"/>
                <w:highlight w:val="none"/>
                <w:lang w:val="fr-FR"/>
              </w:rPr>
              <w:t>……q</w:t>
            </w:r>
            <w:r>
              <w:rPr>
                <w:rFonts w:hint="default"/>
                <w:color w:val="auto"/>
                <w:sz w:val="26"/>
                <w:szCs w:val="26"/>
                <w:highlight w:val="none"/>
                <w:vertAlign w:val="subscript"/>
                <w:lang w:val="fr-FR"/>
              </w:rPr>
              <w:t>n</w:t>
            </w:r>
            <w:r>
              <w:rPr>
                <w:rFonts w:hint="default"/>
                <w:color w:val="auto"/>
                <w:sz w:val="26"/>
                <w:szCs w:val="26"/>
                <w:highlight w:val="none"/>
                <w:lang w:val="fr-FR"/>
              </w:rPr>
              <w:t>——每种危险物质的最大存在总量，t；</w:t>
            </w:r>
          </w:p>
          <w:p w14:paraId="599C74D3">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lang w:val="fr-FR"/>
              </w:rPr>
            </w:pPr>
            <w:r>
              <w:rPr>
                <w:rFonts w:hint="default"/>
                <w:color w:val="auto"/>
                <w:sz w:val="26"/>
                <w:szCs w:val="26"/>
                <w:highlight w:val="none"/>
                <w:lang w:val="fr-FR"/>
              </w:rPr>
              <w:t xml:space="preserve">      Q</w:t>
            </w:r>
            <w:r>
              <w:rPr>
                <w:rFonts w:hint="default"/>
                <w:color w:val="auto"/>
                <w:sz w:val="26"/>
                <w:szCs w:val="26"/>
                <w:highlight w:val="none"/>
                <w:vertAlign w:val="subscript"/>
                <w:lang w:val="fr-FR"/>
              </w:rPr>
              <w:t>1</w:t>
            </w:r>
            <w:r>
              <w:rPr>
                <w:rFonts w:hint="default"/>
                <w:color w:val="auto"/>
                <w:sz w:val="26"/>
                <w:szCs w:val="26"/>
                <w:highlight w:val="none"/>
                <w:lang w:val="fr-FR"/>
              </w:rPr>
              <w:t>、Q</w:t>
            </w:r>
            <w:r>
              <w:rPr>
                <w:rFonts w:hint="default"/>
                <w:color w:val="auto"/>
                <w:sz w:val="26"/>
                <w:szCs w:val="26"/>
                <w:highlight w:val="none"/>
                <w:vertAlign w:val="subscript"/>
                <w:lang w:val="fr-FR"/>
              </w:rPr>
              <w:t>2</w:t>
            </w:r>
            <w:r>
              <w:rPr>
                <w:rFonts w:hint="default"/>
                <w:color w:val="auto"/>
                <w:sz w:val="26"/>
                <w:szCs w:val="26"/>
                <w:highlight w:val="none"/>
                <w:lang w:val="fr-FR"/>
              </w:rPr>
              <w:t>……Q</w:t>
            </w:r>
            <w:r>
              <w:rPr>
                <w:rFonts w:hint="default"/>
                <w:color w:val="auto"/>
                <w:sz w:val="26"/>
                <w:szCs w:val="26"/>
                <w:highlight w:val="none"/>
                <w:vertAlign w:val="subscript"/>
                <w:lang w:val="fr-FR"/>
              </w:rPr>
              <w:t>n</w:t>
            </w:r>
            <w:r>
              <w:rPr>
                <w:rFonts w:hint="default"/>
                <w:color w:val="auto"/>
                <w:sz w:val="26"/>
                <w:szCs w:val="26"/>
                <w:highlight w:val="none"/>
                <w:lang w:val="fr-FR"/>
              </w:rPr>
              <w:t>——每种危险物质的临界量，t。</w:t>
            </w:r>
          </w:p>
          <w:p w14:paraId="6C19C5AD">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lang w:val="fr-FR"/>
              </w:rPr>
            </w:pPr>
            <w:r>
              <w:rPr>
                <w:rFonts w:hint="default"/>
                <w:color w:val="auto"/>
                <w:sz w:val="26"/>
                <w:szCs w:val="26"/>
                <w:highlight w:val="none"/>
                <w:lang w:val="fr-FR"/>
              </w:rPr>
              <w:t>当Q＜1时，该项目的环境风险潜势为</w:t>
            </w:r>
            <w:r>
              <w:rPr>
                <w:rFonts w:hint="eastAsia" w:ascii="宋体" w:hAnsi="宋体" w:cs="宋体"/>
                <w:color w:val="auto"/>
                <w:sz w:val="26"/>
                <w:szCs w:val="26"/>
                <w:highlight w:val="none"/>
                <w:lang w:val="fr-FR"/>
              </w:rPr>
              <w:t>Ⅰ</w:t>
            </w:r>
            <w:r>
              <w:rPr>
                <w:rFonts w:hint="default"/>
                <w:color w:val="auto"/>
                <w:sz w:val="26"/>
                <w:szCs w:val="26"/>
                <w:highlight w:val="none"/>
                <w:lang w:val="fr-FR"/>
              </w:rPr>
              <w:t>；</w:t>
            </w:r>
          </w:p>
          <w:p w14:paraId="5D4DB6C0">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lang w:val="fr-FR"/>
              </w:rPr>
            </w:pPr>
            <w:r>
              <w:rPr>
                <w:rFonts w:hint="default"/>
                <w:color w:val="auto"/>
                <w:sz w:val="26"/>
                <w:szCs w:val="26"/>
                <w:highlight w:val="none"/>
                <w:lang w:val="fr-FR"/>
              </w:rPr>
              <w:t>当Q≥1时，将Q值划分为：</w:t>
            </w:r>
            <w:r>
              <w:rPr>
                <w:rFonts w:hint="eastAsia" w:ascii="宋体" w:hAnsi="宋体" w:cs="宋体"/>
                <w:color w:val="auto"/>
                <w:sz w:val="26"/>
                <w:szCs w:val="26"/>
                <w:highlight w:val="none"/>
                <w:lang w:val="fr-FR"/>
              </w:rPr>
              <w:t>①</w:t>
            </w:r>
            <w:r>
              <w:rPr>
                <w:rFonts w:hint="default"/>
                <w:color w:val="auto"/>
                <w:sz w:val="26"/>
                <w:szCs w:val="26"/>
                <w:highlight w:val="none"/>
                <w:lang w:val="fr-FR"/>
              </w:rPr>
              <w:t>1≤Q＜10；</w:t>
            </w:r>
            <w:r>
              <w:rPr>
                <w:rFonts w:hint="eastAsia" w:ascii="宋体" w:hAnsi="宋体" w:cs="宋体"/>
                <w:color w:val="auto"/>
                <w:sz w:val="26"/>
                <w:szCs w:val="26"/>
                <w:highlight w:val="none"/>
                <w:lang w:val="fr-FR"/>
              </w:rPr>
              <w:t>②</w:t>
            </w:r>
            <w:r>
              <w:rPr>
                <w:rFonts w:hint="default"/>
                <w:color w:val="auto"/>
                <w:sz w:val="26"/>
                <w:szCs w:val="26"/>
                <w:highlight w:val="none"/>
                <w:lang w:val="fr-FR"/>
              </w:rPr>
              <w:t>10≤Q＜100；</w:t>
            </w:r>
            <w:r>
              <w:rPr>
                <w:rFonts w:hint="eastAsia" w:ascii="宋体" w:hAnsi="宋体" w:cs="宋体"/>
                <w:color w:val="auto"/>
                <w:sz w:val="26"/>
                <w:szCs w:val="26"/>
                <w:highlight w:val="none"/>
                <w:lang w:val="fr-FR"/>
              </w:rPr>
              <w:t>③</w:t>
            </w:r>
            <w:r>
              <w:rPr>
                <w:rFonts w:hint="default"/>
                <w:color w:val="auto"/>
                <w:sz w:val="26"/>
                <w:szCs w:val="26"/>
                <w:highlight w:val="none"/>
                <w:lang w:val="fr-FR"/>
              </w:rPr>
              <w:t>Q≥100。</w:t>
            </w:r>
          </w:p>
          <w:p w14:paraId="16F58648">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default"/>
                <w:color w:val="auto"/>
                <w:sz w:val="26"/>
                <w:szCs w:val="26"/>
                <w:highlight w:val="none"/>
              </w:rPr>
              <w:t>危险性物质在厂内的存在总量及与其对应的临界量比值情况详见</w:t>
            </w:r>
            <w:r>
              <w:rPr>
                <w:rFonts w:hint="eastAsia"/>
                <w:color w:val="auto"/>
                <w:sz w:val="26"/>
                <w:szCs w:val="26"/>
                <w:highlight w:val="none"/>
              </w:rPr>
              <w:t>下表</w:t>
            </w:r>
            <w:r>
              <w:rPr>
                <w:rFonts w:hint="default"/>
                <w:color w:val="auto"/>
                <w:sz w:val="26"/>
                <w:szCs w:val="26"/>
                <w:highlight w:val="none"/>
              </w:rPr>
              <w:t>。</w:t>
            </w:r>
          </w:p>
          <w:p w14:paraId="27D8CAB8">
            <w:pPr>
              <w:pStyle w:val="50"/>
              <w:keepNext w:val="0"/>
              <w:keepLines w:val="0"/>
              <w:suppressLineNumbers w:val="0"/>
              <w:spacing w:before="0" w:beforeAutospacing="0" w:after="0" w:afterAutospacing="0"/>
              <w:ind w:left="0" w:right="0"/>
              <w:rPr>
                <w:rFonts w:hint="default"/>
                <w:color w:val="auto"/>
                <w:highlight w:val="none"/>
                <w:lang w:val="fr-FR"/>
              </w:rPr>
            </w:pPr>
          </w:p>
          <w:p w14:paraId="5BD9C138">
            <w:pPr>
              <w:keepNext w:val="0"/>
              <w:keepLines w:val="0"/>
              <w:suppressLineNumbers w:val="0"/>
              <w:autoSpaceDE w:val="0"/>
              <w:autoSpaceDN w:val="0"/>
              <w:adjustRightInd w:val="0"/>
              <w:snapToGrid w:val="0"/>
              <w:spacing w:before="0" w:beforeAutospacing="0" w:after="0" w:afterAutospacing="0"/>
              <w:ind w:left="0" w:right="0"/>
              <w:jc w:val="center"/>
              <w:textAlignment w:val="baseline"/>
              <w:rPr>
                <w:rFonts w:hint="default"/>
                <w:color w:val="auto"/>
                <w:kern w:val="0"/>
                <w:sz w:val="26"/>
                <w:szCs w:val="26"/>
                <w:highlight w:val="none"/>
                <w:lang w:val="fr-FR"/>
              </w:rPr>
            </w:pPr>
            <w:r>
              <w:rPr>
                <w:rFonts w:hint="default"/>
                <w:color w:val="auto"/>
                <w:kern w:val="0"/>
                <w:sz w:val="26"/>
                <w:szCs w:val="26"/>
                <w:highlight w:val="none"/>
                <w:lang w:val="fr-FR"/>
              </w:rPr>
              <w:t>表4.2-2</w:t>
            </w:r>
            <w:r>
              <w:rPr>
                <w:rFonts w:hint="eastAsia"/>
                <w:color w:val="auto"/>
                <w:kern w:val="0"/>
                <w:sz w:val="26"/>
                <w:szCs w:val="26"/>
                <w:highlight w:val="none"/>
                <w:lang w:val="en-US" w:eastAsia="zh-CN"/>
              </w:rPr>
              <w:t>0</w:t>
            </w:r>
            <w:r>
              <w:rPr>
                <w:rFonts w:hint="default"/>
                <w:color w:val="auto"/>
                <w:kern w:val="0"/>
                <w:sz w:val="26"/>
                <w:szCs w:val="26"/>
                <w:highlight w:val="none"/>
                <w:lang w:val="fr-FR"/>
              </w:rPr>
              <w:t xml:space="preserve">   运营期危险性物质的存在总量及Q值计算</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5"/>
              <w:gridCol w:w="1102"/>
              <w:gridCol w:w="1576"/>
              <w:gridCol w:w="1575"/>
              <w:gridCol w:w="1470"/>
            </w:tblGrid>
            <w:tr w14:paraId="3707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pct"/>
                  <w:vAlign w:val="center"/>
                </w:tcPr>
                <w:p w14:paraId="74A6603B">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危险物质名称</w:t>
                  </w:r>
                </w:p>
              </w:tc>
              <w:tc>
                <w:tcPr>
                  <w:tcW w:w="590" w:type="pct"/>
                  <w:vAlign w:val="center"/>
                </w:tcPr>
                <w:p w14:paraId="2699DC7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CAS号</w:t>
                  </w:r>
                </w:p>
              </w:tc>
              <w:tc>
                <w:tcPr>
                  <w:tcW w:w="843" w:type="pct"/>
                  <w:vAlign w:val="center"/>
                </w:tcPr>
                <w:p w14:paraId="45D8328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最大储存量q</w:t>
                  </w:r>
                </w:p>
              </w:tc>
              <w:tc>
                <w:tcPr>
                  <w:tcW w:w="843" w:type="pct"/>
                  <w:vAlign w:val="center"/>
                </w:tcPr>
                <w:p w14:paraId="3BE5659E">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临界量Q</w:t>
                  </w:r>
                </w:p>
              </w:tc>
              <w:tc>
                <w:tcPr>
                  <w:tcW w:w="787" w:type="pct"/>
                  <w:vAlign w:val="center"/>
                </w:tcPr>
                <w:p w14:paraId="6BCFCD58">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Q值</w:t>
                  </w:r>
                </w:p>
              </w:tc>
            </w:tr>
            <w:tr w14:paraId="11BB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pct"/>
                  <w:vAlign w:val="center"/>
                </w:tcPr>
                <w:p w14:paraId="1A1EB87D">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乙醇</w:t>
                  </w:r>
                </w:p>
              </w:tc>
              <w:tc>
                <w:tcPr>
                  <w:tcW w:w="590" w:type="pct"/>
                  <w:vAlign w:val="center"/>
                </w:tcPr>
                <w:p w14:paraId="4278B16B">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64-17-5</w:t>
                  </w:r>
                </w:p>
              </w:tc>
              <w:tc>
                <w:tcPr>
                  <w:tcW w:w="843" w:type="pct"/>
                  <w:vAlign w:val="center"/>
                </w:tcPr>
                <w:p w14:paraId="3AA59A01">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0.68t</w:t>
                  </w:r>
                </w:p>
              </w:tc>
              <w:tc>
                <w:tcPr>
                  <w:tcW w:w="843" w:type="pct"/>
                  <w:vAlign w:val="center"/>
                </w:tcPr>
                <w:p w14:paraId="446818A2">
                  <w:pPr>
                    <w:pStyle w:val="81"/>
                    <w:keepNext w:val="0"/>
                    <w:keepLines w:val="0"/>
                    <w:suppressLineNumbers w:val="0"/>
                    <w:bidi w:val="0"/>
                    <w:spacing w:before="0" w:beforeAutospacing="0" w:after="0" w:afterAutospacing="0"/>
                    <w:ind w:left="0" w:right="0"/>
                    <w:rPr>
                      <w:rFonts w:hint="eastAsia" w:eastAsia="宋体"/>
                      <w:color w:val="auto"/>
                      <w:highlight w:val="none"/>
                      <w:lang w:eastAsia="zh-CN"/>
                    </w:rPr>
                  </w:pPr>
                  <w:r>
                    <w:rPr>
                      <w:rFonts w:hint="eastAsia"/>
                      <w:color w:val="auto"/>
                      <w:highlight w:val="none"/>
                      <w:lang w:val="en-US" w:eastAsia="zh-CN"/>
                    </w:rPr>
                    <w:t>/</w:t>
                  </w:r>
                </w:p>
              </w:tc>
              <w:tc>
                <w:tcPr>
                  <w:tcW w:w="787" w:type="pct"/>
                  <w:vAlign w:val="center"/>
                </w:tcPr>
                <w:p w14:paraId="2F3ECFBF">
                  <w:pPr>
                    <w:keepNext w:val="0"/>
                    <w:keepLines w:val="0"/>
                    <w:suppressLineNumbers w:val="0"/>
                    <w:bidi w:val="0"/>
                    <w:spacing w:before="0" w:beforeAutospacing="0" w:after="0" w:afterAutospacing="0"/>
                    <w:ind w:left="0" w:right="0"/>
                    <w:jc w:val="center"/>
                    <w:rPr>
                      <w:rFonts w:hint="default"/>
                      <w:color w:val="auto"/>
                      <w:highlight w:val="none"/>
                      <w:lang w:val="en-US"/>
                    </w:rPr>
                  </w:pPr>
                  <w:r>
                    <w:rPr>
                      <w:rFonts w:hint="eastAsia"/>
                      <w:color w:val="auto"/>
                      <w:highlight w:val="none"/>
                      <w:lang w:val="en-US" w:eastAsia="zh-CN"/>
                    </w:rPr>
                    <w:t>/</w:t>
                  </w:r>
                </w:p>
              </w:tc>
            </w:tr>
            <w:tr w14:paraId="763C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935" w:type="pct"/>
                  <w:vAlign w:val="center"/>
                </w:tcPr>
                <w:p w14:paraId="22B679A1">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机油</w:t>
                  </w:r>
                </w:p>
              </w:tc>
              <w:tc>
                <w:tcPr>
                  <w:tcW w:w="590" w:type="pct"/>
                  <w:vAlign w:val="center"/>
                </w:tcPr>
                <w:p w14:paraId="108F1CF2">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w:t>
                  </w:r>
                </w:p>
              </w:tc>
              <w:tc>
                <w:tcPr>
                  <w:tcW w:w="843" w:type="pct"/>
                  <w:vAlign w:val="center"/>
                </w:tcPr>
                <w:p w14:paraId="02D70C5A">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0.1t</w:t>
                  </w:r>
                </w:p>
              </w:tc>
              <w:tc>
                <w:tcPr>
                  <w:tcW w:w="843" w:type="pct"/>
                  <w:vAlign w:val="center"/>
                </w:tcPr>
                <w:p w14:paraId="1B4119FF">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2500t</w:t>
                  </w:r>
                </w:p>
              </w:tc>
              <w:tc>
                <w:tcPr>
                  <w:tcW w:w="787" w:type="pct"/>
                  <w:vAlign w:val="center"/>
                </w:tcPr>
                <w:p w14:paraId="5E0F0E93">
                  <w:pPr>
                    <w:pStyle w:val="91"/>
                    <w:keepNext w:val="0"/>
                    <w:keepLines w:val="0"/>
                    <w:suppressLineNumbers w:val="0"/>
                    <w:bidi w:val="0"/>
                    <w:spacing w:before="0" w:beforeAutospacing="0" w:after="0" w:afterAutospacing="0"/>
                    <w:ind w:left="0" w:right="0"/>
                    <w:rPr>
                      <w:rFonts w:hint="default"/>
                      <w:color w:val="auto"/>
                      <w:highlight w:val="none"/>
                      <w:lang w:val="en-US"/>
                    </w:rPr>
                  </w:pPr>
                  <w:r>
                    <w:rPr>
                      <w:rFonts w:hint="default"/>
                      <w:color w:val="auto"/>
                      <w:highlight w:val="none"/>
                      <w:lang w:val="en-US" w:eastAsia="zh-CN"/>
                    </w:rPr>
                    <w:t>0.00004</w:t>
                  </w:r>
                </w:p>
              </w:tc>
            </w:tr>
            <w:tr w14:paraId="0EC8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935" w:type="pct"/>
                  <w:vAlign w:val="center"/>
                </w:tcPr>
                <w:p w14:paraId="513E6A9E">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脱模剂</w:t>
                  </w:r>
                </w:p>
              </w:tc>
              <w:tc>
                <w:tcPr>
                  <w:tcW w:w="590" w:type="pct"/>
                  <w:vAlign w:val="center"/>
                </w:tcPr>
                <w:p w14:paraId="1F0DC8DD">
                  <w:pPr>
                    <w:pStyle w:val="81"/>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843" w:type="pct"/>
                  <w:vAlign w:val="center"/>
                </w:tcPr>
                <w:p w14:paraId="76B94F19">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0.036t</w:t>
                  </w:r>
                </w:p>
              </w:tc>
              <w:tc>
                <w:tcPr>
                  <w:tcW w:w="843" w:type="pct"/>
                  <w:vAlign w:val="center"/>
                </w:tcPr>
                <w:p w14:paraId="11503A20">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2500t</w:t>
                  </w:r>
                </w:p>
              </w:tc>
              <w:tc>
                <w:tcPr>
                  <w:tcW w:w="787" w:type="pct"/>
                  <w:vAlign w:val="center"/>
                </w:tcPr>
                <w:p w14:paraId="1E4D1254">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0.000014</w:t>
                  </w:r>
                </w:p>
              </w:tc>
            </w:tr>
            <w:tr w14:paraId="60A7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pct"/>
                  <w:vAlign w:val="center"/>
                </w:tcPr>
                <w:p w14:paraId="29595D40">
                  <w:pPr>
                    <w:pStyle w:val="81"/>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液压油</w:t>
                  </w:r>
                </w:p>
              </w:tc>
              <w:tc>
                <w:tcPr>
                  <w:tcW w:w="590" w:type="pct"/>
                  <w:vAlign w:val="center"/>
                </w:tcPr>
                <w:p w14:paraId="01327B93">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w:t>
                  </w:r>
                </w:p>
              </w:tc>
              <w:tc>
                <w:tcPr>
                  <w:tcW w:w="843" w:type="pct"/>
                  <w:vAlign w:val="center"/>
                </w:tcPr>
                <w:p w14:paraId="3E13EC7B">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0.1t</w:t>
                  </w:r>
                </w:p>
              </w:tc>
              <w:tc>
                <w:tcPr>
                  <w:tcW w:w="843" w:type="pct"/>
                  <w:vAlign w:val="center"/>
                </w:tcPr>
                <w:p w14:paraId="539DD7BE">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color w:val="auto"/>
                      <w:highlight w:val="none"/>
                    </w:rPr>
                    <w:t>2500t</w:t>
                  </w:r>
                </w:p>
              </w:tc>
              <w:tc>
                <w:tcPr>
                  <w:tcW w:w="787" w:type="pct"/>
                  <w:vAlign w:val="center"/>
                </w:tcPr>
                <w:p w14:paraId="1D8CB577">
                  <w:pPr>
                    <w:pStyle w:val="9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lang w:val="en-US" w:eastAsia="zh-CN"/>
                    </w:rPr>
                    <w:t>0.00004</w:t>
                  </w:r>
                </w:p>
              </w:tc>
            </w:tr>
            <w:tr w14:paraId="07CF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35" w:type="pct"/>
                  <w:vAlign w:val="center"/>
                </w:tcPr>
                <w:p w14:paraId="61510163">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default" w:eastAsia="宋体"/>
                      <w:color w:val="auto"/>
                      <w:highlight w:val="none"/>
                      <w:lang w:val="en-US" w:eastAsia="zh-CN"/>
                    </w:rPr>
                    <w:t>废机油、废液压油、废油桶</w:t>
                  </w:r>
                  <w:r>
                    <w:rPr>
                      <w:rFonts w:hint="eastAsia"/>
                      <w:color w:val="auto"/>
                      <w:highlight w:val="none"/>
                      <w:lang w:val="en-US" w:eastAsia="zh-CN"/>
                    </w:rPr>
                    <w:t>等危险废物</w:t>
                  </w:r>
                </w:p>
              </w:tc>
              <w:tc>
                <w:tcPr>
                  <w:tcW w:w="590" w:type="pct"/>
                  <w:vAlign w:val="center"/>
                </w:tcPr>
                <w:p w14:paraId="37EBE909">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w:t>
                  </w:r>
                </w:p>
              </w:tc>
              <w:tc>
                <w:tcPr>
                  <w:tcW w:w="843" w:type="pct"/>
                  <w:vAlign w:val="center"/>
                </w:tcPr>
                <w:p w14:paraId="00FB9EDC">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0.8</w:t>
                  </w:r>
                </w:p>
              </w:tc>
              <w:tc>
                <w:tcPr>
                  <w:tcW w:w="843" w:type="pct"/>
                  <w:vAlign w:val="center"/>
                </w:tcPr>
                <w:p w14:paraId="32A2AFB5">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2500t</w:t>
                  </w:r>
                </w:p>
              </w:tc>
              <w:tc>
                <w:tcPr>
                  <w:tcW w:w="787" w:type="pct"/>
                  <w:vAlign w:val="center"/>
                </w:tcPr>
                <w:p w14:paraId="773B9D33">
                  <w:pPr>
                    <w:pStyle w:val="91"/>
                    <w:keepNext w:val="0"/>
                    <w:keepLines w:val="0"/>
                    <w:suppressLineNumbers w:val="0"/>
                    <w:bidi w:val="0"/>
                    <w:spacing w:before="0" w:beforeAutospacing="0" w:after="0" w:afterAutospacing="0"/>
                    <w:ind w:left="0" w:right="0"/>
                    <w:rPr>
                      <w:rFonts w:hint="default"/>
                      <w:color w:val="auto"/>
                      <w:highlight w:val="none"/>
                      <w:lang w:val="en-US"/>
                    </w:rPr>
                  </w:pPr>
                  <w:r>
                    <w:rPr>
                      <w:rFonts w:hint="eastAsia"/>
                      <w:color w:val="auto"/>
                      <w:highlight w:val="none"/>
                      <w:lang w:val="en-US" w:eastAsia="zh-CN"/>
                    </w:rPr>
                    <w:t>0.00032</w:t>
                  </w:r>
                </w:p>
              </w:tc>
            </w:tr>
            <w:tr w14:paraId="73B7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935" w:type="pct"/>
                  <w:vAlign w:val="center"/>
                </w:tcPr>
                <w:p w14:paraId="49FB2CB7">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乙醇吸收废水</w:t>
                  </w:r>
                </w:p>
              </w:tc>
              <w:tc>
                <w:tcPr>
                  <w:tcW w:w="590" w:type="pct"/>
                  <w:vAlign w:val="center"/>
                </w:tcPr>
                <w:p w14:paraId="701ED35D">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843" w:type="pct"/>
                  <w:vAlign w:val="center"/>
                </w:tcPr>
                <w:p w14:paraId="733CB314">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2.1</w:t>
                  </w:r>
                </w:p>
              </w:tc>
              <w:tc>
                <w:tcPr>
                  <w:tcW w:w="843" w:type="pct"/>
                  <w:vAlign w:val="center"/>
                </w:tcPr>
                <w:p w14:paraId="598C2665">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10t</w:t>
                  </w:r>
                </w:p>
              </w:tc>
              <w:tc>
                <w:tcPr>
                  <w:tcW w:w="787" w:type="pct"/>
                  <w:vAlign w:val="center"/>
                </w:tcPr>
                <w:p w14:paraId="081C5828">
                  <w:pPr>
                    <w:pStyle w:val="9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0.22</w:t>
                  </w:r>
                </w:p>
              </w:tc>
            </w:tr>
            <w:tr w14:paraId="5186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5" w:type="pct"/>
                  <w:vAlign w:val="center"/>
                </w:tcPr>
                <w:p w14:paraId="35628CF0">
                  <w:pPr>
                    <w:pStyle w:val="81"/>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废活性炭、废过滤棉、废油棉纱手套等危险废物</w:t>
                  </w:r>
                </w:p>
              </w:tc>
              <w:tc>
                <w:tcPr>
                  <w:tcW w:w="590" w:type="pct"/>
                  <w:vAlign w:val="center"/>
                </w:tcPr>
                <w:p w14:paraId="796A9C75">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843" w:type="pct"/>
                  <w:vAlign w:val="center"/>
                </w:tcPr>
                <w:p w14:paraId="2E408B30">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0.595</w:t>
                  </w:r>
                </w:p>
              </w:tc>
              <w:tc>
                <w:tcPr>
                  <w:tcW w:w="843" w:type="pct"/>
                  <w:vAlign w:val="center"/>
                </w:tcPr>
                <w:p w14:paraId="489704F7">
                  <w:pPr>
                    <w:pStyle w:val="8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50t</w:t>
                  </w:r>
                </w:p>
              </w:tc>
              <w:tc>
                <w:tcPr>
                  <w:tcW w:w="787" w:type="pct"/>
                  <w:vAlign w:val="center"/>
                </w:tcPr>
                <w:p w14:paraId="5ED83F41">
                  <w:pPr>
                    <w:pStyle w:val="91"/>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0.0119</w:t>
                  </w:r>
                </w:p>
              </w:tc>
            </w:tr>
            <w:tr w14:paraId="0BCE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35" w:type="pct"/>
                  <w:vAlign w:val="center"/>
                </w:tcPr>
                <w:p w14:paraId="7A1688E4">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清洗剂</w:t>
                  </w:r>
                </w:p>
              </w:tc>
              <w:tc>
                <w:tcPr>
                  <w:tcW w:w="590" w:type="pct"/>
                  <w:vAlign w:val="center"/>
                </w:tcPr>
                <w:p w14:paraId="3841A3DA">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843" w:type="pct"/>
                  <w:vAlign w:val="center"/>
                </w:tcPr>
                <w:p w14:paraId="5CFBFFE4">
                  <w:pPr>
                    <w:pStyle w:val="8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0.005</w:t>
                  </w:r>
                </w:p>
              </w:tc>
              <w:tc>
                <w:tcPr>
                  <w:tcW w:w="843" w:type="pct"/>
                  <w:vAlign w:val="center"/>
                </w:tcPr>
                <w:p w14:paraId="57169D95">
                  <w:pPr>
                    <w:pStyle w:val="81"/>
                    <w:keepNext w:val="0"/>
                    <w:keepLines w:val="0"/>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50t</w:t>
                  </w:r>
                </w:p>
              </w:tc>
              <w:tc>
                <w:tcPr>
                  <w:tcW w:w="787" w:type="pct"/>
                  <w:vAlign w:val="center"/>
                </w:tcPr>
                <w:p w14:paraId="1CFCBDF7">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0.0001</w:t>
                  </w:r>
                </w:p>
              </w:tc>
            </w:tr>
            <w:tr w14:paraId="6CD4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2" w:type="pct"/>
                  <w:gridSpan w:val="4"/>
                  <w:vAlign w:val="center"/>
                </w:tcPr>
                <w:p w14:paraId="4FBF8136">
                  <w:pPr>
                    <w:pStyle w:val="81"/>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项目Q值</w:t>
                  </w:r>
                </w:p>
              </w:tc>
              <w:tc>
                <w:tcPr>
                  <w:tcW w:w="787" w:type="pct"/>
                  <w:vAlign w:val="center"/>
                </w:tcPr>
                <w:p w14:paraId="45DF2E09">
                  <w:pPr>
                    <w:pStyle w:val="91"/>
                    <w:keepNext w:val="0"/>
                    <w:keepLines w:val="0"/>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0.2324</w:t>
                  </w:r>
                </w:p>
              </w:tc>
            </w:tr>
          </w:tbl>
          <w:p w14:paraId="26EEAE52">
            <w:pPr>
              <w:keepNext w:val="0"/>
              <w:keepLines w:val="0"/>
              <w:suppressLineNumbers w:val="0"/>
              <w:autoSpaceDE w:val="0"/>
              <w:autoSpaceDN w:val="0"/>
              <w:adjustRightInd w:val="0"/>
              <w:snapToGrid w:val="0"/>
              <w:spacing w:before="0" w:beforeAutospacing="0" w:after="0" w:afterAutospacing="0"/>
              <w:ind w:left="0" w:right="0"/>
              <w:textAlignment w:val="baseline"/>
              <w:rPr>
                <w:rFonts w:hint="default"/>
                <w:color w:val="auto"/>
                <w:highlight w:val="none"/>
                <w:lang w:val="en-US" w:eastAsia="zh-CN"/>
              </w:rPr>
            </w:pPr>
            <w:r>
              <w:rPr>
                <w:rFonts w:hint="eastAsia"/>
                <w:color w:val="auto"/>
                <w:kern w:val="0"/>
                <w:szCs w:val="21"/>
                <w:highlight w:val="none"/>
                <w:lang w:val="en-US" w:eastAsia="zh-CN"/>
              </w:rPr>
              <w:t>注：</w:t>
            </w:r>
            <w:r>
              <w:rPr>
                <w:rFonts w:hint="eastAsia"/>
                <w:color w:val="auto"/>
                <w:highlight w:val="none"/>
                <w:lang w:val="en-US" w:eastAsia="zh-CN"/>
              </w:rPr>
              <w:t>乙醇吸收废水参照COD</w:t>
            </w:r>
            <w:r>
              <w:rPr>
                <w:rFonts w:hint="eastAsia"/>
                <w:color w:val="auto"/>
                <w:highlight w:val="none"/>
                <w:vertAlign w:val="subscript"/>
                <w:lang w:val="en-US" w:eastAsia="zh-CN"/>
              </w:rPr>
              <w:t>cr</w:t>
            </w:r>
            <w:r>
              <w:rPr>
                <w:rFonts w:hint="eastAsia"/>
                <w:color w:val="auto"/>
                <w:highlight w:val="none"/>
                <w:lang w:val="en-US" w:eastAsia="zh-CN"/>
              </w:rPr>
              <w:t>浓度大于等于10000mg/L的有机废液的临界量，废活性炭、废过滤棉、废油棉纱手套等危险废物、清洗剂参照健康危险急性毒性物质（类别2，类别3）的临界量。乙醇未纳入附录B，识别为风险物质但不纳入Q值核算。</w:t>
            </w:r>
          </w:p>
          <w:p w14:paraId="1933BDC5">
            <w:pPr>
              <w:keepNext w:val="0"/>
              <w:keepLines w:val="0"/>
              <w:suppressLineNumbers w:val="0"/>
              <w:autoSpaceDE w:val="0"/>
              <w:autoSpaceDN w:val="0"/>
              <w:adjustRightInd w:val="0"/>
              <w:snapToGrid w:val="0"/>
              <w:spacing w:before="0" w:beforeAutospacing="0" w:after="0" w:afterAutospacing="0"/>
              <w:ind w:left="0" w:right="0"/>
              <w:textAlignment w:val="baseline"/>
              <w:rPr>
                <w:rFonts w:hint="default"/>
                <w:color w:val="auto"/>
                <w:highlight w:val="none"/>
                <w:lang w:val="en-US" w:eastAsia="zh-CN"/>
              </w:rPr>
            </w:pPr>
          </w:p>
          <w:p w14:paraId="46892643">
            <w:pPr>
              <w:keepNext w:val="0"/>
              <w:keepLines w:val="0"/>
              <w:suppressLineNumbers w:val="0"/>
              <w:snapToGrid w:val="0"/>
              <w:spacing w:before="0" w:beforeAutospacing="0" w:after="0" w:afterAutospacing="0" w:line="400" w:lineRule="atLeast"/>
              <w:ind w:left="0" w:right="0" w:firstLine="520" w:firstLineChars="200"/>
              <w:rPr>
                <w:rFonts w:hint="default"/>
                <w:color w:val="auto"/>
                <w:sz w:val="26"/>
                <w:szCs w:val="26"/>
                <w:highlight w:val="none"/>
              </w:rPr>
            </w:pPr>
            <w:r>
              <w:rPr>
                <w:rFonts w:hint="default"/>
                <w:color w:val="auto"/>
                <w:sz w:val="26"/>
                <w:szCs w:val="26"/>
                <w:highlight w:val="none"/>
              </w:rPr>
              <w:t>根据上述计算，本项目的Q＜1，故本项目的环境风险潜势为Ⅰ级。</w:t>
            </w:r>
          </w:p>
          <w:p w14:paraId="57A7D5E3">
            <w:pPr>
              <w:keepNext w:val="0"/>
              <w:keepLines w:val="0"/>
              <w:suppressLineNumbers w:val="0"/>
              <w:snapToGrid w:val="0"/>
              <w:spacing w:before="0" w:beforeAutospacing="0" w:after="0" w:afterAutospacing="0" w:line="400" w:lineRule="atLeast"/>
              <w:ind w:left="0" w:right="0" w:firstLine="522" w:firstLineChars="200"/>
              <w:outlineLvl w:val="3"/>
              <w:rPr>
                <w:rFonts w:hint="default"/>
                <w:b/>
                <w:color w:val="auto"/>
                <w:sz w:val="26"/>
                <w:szCs w:val="26"/>
                <w:highlight w:val="none"/>
              </w:rPr>
            </w:pPr>
            <w:r>
              <w:rPr>
                <w:rFonts w:hint="default"/>
                <w:b/>
                <w:color w:val="auto"/>
                <w:sz w:val="26"/>
                <w:szCs w:val="26"/>
                <w:highlight w:val="none"/>
              </w:rPr>
              <w:t>4.2.7.</w:t>
            </w:r>
            <w:r>
              <w:rPr>
                <w:rFonts w:hint="eastAsia"/>
                <w:b/>
                <w:color w:val="auto"/>
                <w:sz w:val="26"/>
                <w:szCs w:val="26"/>
                <w:highlight w:val="none"/>
                <w:lang w:val="en-US" w:eastAsia="zh-CN"/>
              </w:rPr>
              <w:t>3</w:t>
            </w:r>
            <w:r>
              <w:rPr>
                <w:rFonts w:hint="default"/>
                <w:b/>
                <w:color w:val="auto"/>
                <w:sz w:val="26"/>
                <w:szCs w:val="26"/>
                <w:highlight w:val="none"/>
              </w:rPr>
              <w:t xml:space="preserve"> 环境风险评价等级</w:t>
            </w:r>
          </w:p>
          <w:p w14:paraId="5917C1BB">
            <w:pPr>
              <w:keepNext w:val="0"/>
              <w:keepLines w:val="0"/>
              <w:suppressLineNumbers w:val="0"/>
              <w:snapToGrid w:val="0"/>
              <w:spacing w:before="0" w:beforeAutospacing="0" w:after="0" w:afterAutospacing="0" w:line="400" w:lineRule="atLeast"/>
              <w:ind w:left="0" w:right="0" w:firstLine="520" w:firstLineChars="200"/>
              <w:rPr>
                <w:rFonts w:hint="default"/>
                <w:color w:val="auto"/>
                <w:sz w:val="26"/>
                <w:szCs w:val="26"/>
                <w:highlight w:val="none"/>
              </w:rPr>
            </w:pPr>
            <w:r>
              <w:rPr>
                <w:rFonts w:hint="default"/>
                <w:color w:val="auto"/>
                <w:sz w:val="26"/>
                <w:szCs w:val="26"/>
                <w:highlight w:val="none"/>
              </w:rPr>
              <w:t>根据《建设项目环境风险评价技术导则》（HJ169-2018）中的规定，环境风险评价等级的划分按下表进行。</w:t>
            </w:r>
          </w:p>
          <w:p w14:paraId="683A0201">
            <w:pPr>
              <w:pStyle w:val="50"/>
              <w:keepNext w:val="0"/>
              <w:keepLines w:val="0"/>
              <w:suppressLineNumbers w:val="0"/>
              <w:spacing w:before="0" w:beforeAutospacing="0" w:after="0" w:afterAutospacing="0"/>
              <w:ind w:left="0" w:right="0"/>
              <w:rPr>
                <w:rFonts w:hint="default"/>
                <w:color w:val="auto"/>
                <w:highlight w:val="none"/>
              </w:rPr>
            </w:pPr>
          </w:p>
          <w:p w14:paraId="02FF53E3">
            <w:pPr>
              <w:keepNext w:val="0"/>
              <w:keepLines w:val="0"/>
              <w:suppressLineNumbers w:val="0"/>
              <w:snapToGrid w:val="0"/>
              <w:spacing w:before="0" w:beforeAutospacing="0" w:after="0" w:afterAutospacing="0"/>
              <w:ind w:left="0" w:right="0"/>
              <w:jc w:val="center"/>
              <w:rPr>
                <w:rFonts w:hint="default"/>
                <w:color w:val="auto"/>
                <w:sz w:val="26"/>
                <w:szCs w:val="26"/>
                <w:highlight w:val="none"/>
              </w:rPr>
            </w:pPr>
            <w:r>
              <w:rPr>
                <w:rFonts w:hint="default"/>
                <w:color w:val="auto"/>
                <w:sz w:val="26"/>
                <w:szCs w:val="26"/>
                <w:highlight w:val="none"/>
              </w:rPr>
              <w:t>表4.2-2</w:t>
            </w:r>
            <w:r>
              <w:rPr>
                <w:rFonts w:hint="eastAsia"/>
                <w:color w:val="auto"/>
                <w:sz w:val="26"/>
                <w:szCs w:val="26"/>
                <w:highlight w:val="none"/>
                <w:lang w:val="en-US" w:eastAsia="zh-CN"/>
              </w:rPr>
              <w:t>1</w:t>
            </w:r>
            <w:r>
              <w:rPr>
                <w:rFonts w:hint="default"/>
                <w:color w:val="auto"/>
                <w:sz w:val="26"/>
                <w:szCs w:val="26"/>
                <w:highlight w:val="none"/>
              </w:rPr>
              <w:t xml:space="preserve">   环境风险评价工作等级划分表</w:t>
            </w:r>
          </w:p>
          <w:tbl>
            <w:tblPr>
              <w:tblStyle w:val="25"/>
              <w:tblW w:w="48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1832"/>
              <w:gridCol w:w="1832"/>
              <w:gridCol w:w="1832"/>
              <w:gridCol w:w="1647"/>
            </w:tblGrid>
            <w:tr w14:paraId="02B95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1859" w:type="dxa"/>
                  <w:shd w:val="clear" w:color="auto" w:fill="auto"/>
                  <w:vAlign w:val="center"/>
                </w:tcPr>
                <w:p w14:paraId="33D7715B">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环境风险潜势</w:t>
                  </w:r>
                </w:p>
              </w:tc>
              <w:tc>
                <w:tcPr>
                  <w:tcW w:w="1775" w:type="dxa"/>
                  <w:shd w:val="clear" w:color="auto" w:fill="auto"/>
                  <w:vAlign w:val="center"/>
                </w:tcPr>
                <w:p w14:paraId="0379FB4A">
                  <w:pPr>
                    <w:keepNext w:val="0"/>
                    <w:keepLines w:val="0"/>
                    <w:suppressLineNumbers w:val="0"/>
                    <w:snapToGrid w:val="0"/>
                    <w:spacing w:before="0" w:beforeAutospacing="0" w:after="0" w:afterAutospacing="0"/>
                    <w:ind w:left="0" w:right="0"/>
                    <w:jc w:val="center"/>
                    <w:rPr>
                      <w:rFonts w:hint="default"/>
                      <w:color w:val="auto"/>
                      <w:sz w:val="22"/>
                      <w:szCs w:val="22"/>
                      <w:highlight w:val="none"/>
                      <w:vertAlign w:val="superscript"/>
                    </w:rPr>
                  </w:pPr>
                  <w:r>
                    <w:rPr>
                      <w:rFonts w:hint="default"/>
                      <w:color w:val="auto"/>
                      <w:sz w:val="22"/>
                      <w:szCs w:val="22"/>
                      <w:highlight w:val="none"/>
                    </w:rPr>
                    <w:t>Ⅳ、Ⅳ</w:t>
                  </w:r>
                  <w:r>
                    <w:rPr>
                      <w:rFonts w:hint="default"/>
                      <w:color w:val="auto"/>
                      <w:sz w:val="22"/>
                      <w:szCs w:val="22"/>
                      <w:highlight w:val="none"/>
                      <w:vertAlign w:val="superscript"/>
                    </w:rPr>
                    <w:t>+</w:t>
                  </w:r>
                </w:p>
              </w:tc>
              <w:tc>
                <w:tcPr>
                  <w:tcW w:w="1775" w:type="dxa"/>
                  <w:shd w:val="clear" w:color="auto" w:fill="auto"/>
                  <w:vAlign w:val="center"/>
                </w:tcPr>
                <w:p w14:paraId="0CE48BE9">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Ⅲ</w:t>
                  </w:r>
                </w:p>
              </w:tc>
              <w:tc>
                <w:tcPr>
                  <w:tcW w:w="1775" w:type="dxa"/>
                  <w:shd w:val="clear" w:color="auto" w:fill="auto"/>
                  <w:vAlign w:val="center"/>
                </w:tcPr>
                <w:p w14:paraId="75B33DCF">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Ⅱ</w:t>
                  </w:r>
                </w:p>
              </w:tc>
              <w:tc>
                <w:tcPr>
                  <w:tcW w:w="1595" w:type="dxa"/>
                  <w:shd w:val="clear" w:color="auto" w:fill="auto"/>
                  <w:vAlign w:val="center"/>
                </w:tcPr>
                <w:p w14:paraId="2091B969">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Ⅰ</w:t>
                  </w:r>
                </w:p>
              </w:tc>
            </w:tr>
            <w:tr w14:paraId="15BD6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exact"/>
                <w:jc w:val="center"/>
              </w:trPr>
              <w:tc>
                <w:tcPr>
                  <w:tcW w:w="1859" w:type="dxa"/>
                  <w:shd w:val="clear" w:color="auto" w:fill="auto"/>
                  <w:vAlign w:val="center"/>
                </w:tcPr>
                <w:p w14:paraId="636DA3E5">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评价工作等级</w:t>
                  </w:r>
                </w:p>
              </w:tc>
              <w:tc>
                <w:tcPr>
                  <w:tcW w:w="1775" w:type="dxa"/>
                  <w:shd w:val="clear" w:color="auto" w:fill="auto"/>
                  <w:vAlign w:val="center"/>
                </w:tcPr>
                <w:p w14:paraId="2DD9D64E">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一</w:t>
                  </w:r>
                </w:p>
              </w:tc>
              <w:tc>
                <w:tcPr>
                  <w:tcW w:w="1775" w:type="dxa"/>
                  <w:shd w:val="clear" w:color="auto" w:fill="auto"/>
                  <w:vAlign w:val="center"/>
                </w:tcPr>
                <w:p w14:paraId="4FF00B52">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二</w:t>
                  </w:r>
                </w:p>
              </w:tc>
              <w:tc>
                <w:tcPr>
                  <w:tcW w:w="1775" w:type="dxa"/>
                  <w:shd w:val="clear" w:color="auto" w:fill="auto"/>
                  <w:vAlign w:val="center"/>
                </w:tcPr>
                <w:p w14:paraId="54A8C378">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三</w:t>
                  </w:r>
                </w:p>
              </w:tc>
              <w:tc>
                <w:tcPr>
                  <w:tcW w:w="1595" w:type="dxa"/>
                  <w:shd w:val="clear" w:color="auto" w:fill="auto"/>
                  <w:vAlign w:val="center"/>
                </w:tcPr>
                <w:p w14:paraId="2F2B7D44">
                  <w:pPr>
                    <w:keepNext w:val="0"/>
                    <w:keepLines w:val="0"/>
                    <w:suppressLineNumbers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简单分析</w:t>
                  </w:r>
                </w:p>
              </w:tc>
            </w:tr>
          </w:tbl>
          <w:p w14:paraId="0EDBD149">
            <w:pPr>
              <w:pStyle w:val="50"/>
              <w:keepNext w:val="0"/>
              <w:keepLines w:val="0"/>
              <w:suppressLineNumbers w:val="0"/>
              <w:spacing w:before="0" w:beforeAutospacing="0" w:after="0" w:afterAutospacing="0"/>
              <w:ind w:left="0" w:right="0"/>
              <w:rPr>
                <w:rFonts w:hint="default"/>
                <w:color w:val="auto"/>
                <w:highlight w:val="none"/>
              </w:rPr>
            </w:pPr>
          </w:p>
          <w:p w14:paraId="4C4325E8">
            <w:pPr>
              <w:keepNext w:val="0"/>
              <w:keepLines w:val="0"/>
              <w:suppressLineNumbers w:val="0"/>
              <w:snapToGrid w:val="0"/>
              <w:spacing w:before="0" w:beforeAutospacing="0" w:after="0" w:afterAutospacing="0" w:line="400" w:lineRule="exact"/>
              <w:ind w:left="0" w:right="0" w:firstLine="520" w:firstLineChars="200"/>
              <w:rPr>
                <w:rFonts w:hint="default"/>
                <w:color w:val="auto"/>
                <w:sz w:val="26"/>
                <w:szCs w:val="26"/>
                <w:highlight w:val="none"/>
              </w:rPr>
            </w:pPr>
            <w:r>
              <w:rPr>
                <w:rFonts w:hint="default"/>
                <w:color w:val="auto"/>
                <w:sz w:val="26"/>
                <w:szCs w:val="26"/>
                <w:highlight w:val="none"/>
              </w:rPr>
              <w:t>本项目的环境风险潜势为Ⅰ级，故仅需对其进行简单分析，其分析内容按HJ169-2018中附录A的规定进行。</w:t>
            </w:r>
          </w:p>
          <w:p w14:paraId="526D8D94">
            <w:pPr>
              <w:keepNext w:val="0"/>
              <w:keepLines w:val="0"/>
              <w:suppressLineNumbers w:val="0"/>
              <w:snapToGrid w:val="0"/>
              <w:spacing w:before="0" w:beforeAutospacing="0" w:after="0" w:afterAutospacing="0" w:line="400" w:lineRule="exact"/>
              <w:ind w:left="0" w:right="0" w:firstLine="522" w:firstLineChars="200"/>
              <w:outlineLvl w:val="3"/>
              <w:rPr>
                <w:rFonts w:hint="default"/>
                <w:b/>
                <w:color w:val="auto"/>
                <w:sz w:val="26"/>
                <w:szCs w:val="26"/>
                <w:highlight w:val="none"/>
              </w:rPr>
            </w:pPr>
            <w:r>
              <w:rPr>
                <w:rFonts w:hint="default"/>
                <w:b/>
                <w:color w:val="auto"/>
                <w:sz w:val="26"/>
                <w:szCs w:val="26"/>
                <w:highlight w:val="none"/>
              </w:rPr>
              <w:t>4.2.7.</w:t>
            </w:r>
            <w:r>
              <w:rPr>
                <w:rFonts w:hint="eastAsia"/>
                <w:b/>
                <w:color w:val="auto"/>
                <w:sz w:val="26"/>
                <w:szCs w:val="26"/>
                <w:highlight w:val="none"/>
                <w:lang w:val="en-US" w:eastAsia="zh-CN"/>
              </w:rPr>
              <w:t>4</w:t>
            </w:r>
            <w:r>
              <w:rPr>
                <w:rFonts w:hint="default"/>
                <w:b/>
                <w:color w:val="auto"/>
                <w:sz w:val="26"/>
                <w:szCs w:val="26"/>
                <w:highlight w:val="none"/>
              </w:rPr>
              <w:t xml:space="preserve"> 风险防范措施</w:t>
            </w:r>
          </w:p>
          <w:p w14:paraId="2BFA0D38">
            <w:pPr>
              <w:keepNext w:val="0"/>
              <w:keepLines w:val="0"/>
              <w:suppressLineNumbers w:val="0"/>
              <w:snapToGrid w:val="0"/>
              <w:spacing w:before="0" w:beforeAutospacing="0" w:after="0" w:afterAutospacing="0" w:line="400" w:lineRule="exact"/>
              <w:ind w:left="0" w:right="0" w:firstLine="520" w:firstLineChars="200"/>
              <w:outlineLvl w:val="3"/>
              <w:rPr>
                <w:rFonts w:hint="default"/>
                <w:color w:val="auto"/>
                <w:sz w:val="26"/>
                <w:szCs w:val="26"/>
                <w:highlight w:val="none"/>
              </w:rPr>
            </w:pPr>
            <w:r>
              <w:rPr>
                <w:rFonts w:hint="eastAsia"/>
                <w:color w:val="auto"/>
                <w:sz w:val="26"/>
                <w:szCs w:val="26"/>
                <w:highlight w:val="none"/>
              </w:rPr>
              <w:t>项目的风险防范措施见下表。</w:t>
            </w:r>
          </w:p>
          <w:p w14:paraId="0CF8045E">
            <w:pPr>
              <w:pStyle w:val="50"/>
              <w:keepNext w:val="0"/>
              <w:keepLines w:val="0"/>
              <w:suppressLineNumbers w:val="0"/>
              <w:spacing w:before="0" w:beforeAutospacing="0" w:after="0" w:afterAutospacing="0"/>
              <w:ind w:left="0" w:right="0"/>
              <w:rPr>
                <w:rFonts w:hint="default"/>
                <w:color w:val="auto"/>
                <w:highlight w:val="none"/>
              </w:rPr>
            </w:pPr>
          </w:p>
          <w:p w14:paraId="4DB1D366">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6"/>
                <w:szCs w:val="26"/>
                <w:highlight w:val="none"/>
              </w:rPr>
            </w:pPr>
            <w:r>
              <w:rPr>
                <w:rFonts w:hint="default"/>
                <w:color w:val="auto"/>
                <w:kern w:val="0"/>
                <w:sz w:val="26"/>
                <w:szCs w:val="26"/>
                <w:highlight w:val="none"/>
              </w:rPr>
              <w:t>表4.2-2</w:t>
            </w:r>
            <w:r>
              <w:rPr>
                <w:rFonts w:hint="eastAsia"/>
                <w:color w:val="auto"/>
                <w:kern w:val="0"/>
                <w:sz w:val="26"/>
                <w:szCs w:val="26"/>
                <w:highlight w:val="none"/>
                <w:lang w:val="en-US" w:eastAsia="zh-CN"/>
              </w:rPr>
              <w:t>2</w:t>
            </w:r>
            <w:r>
              <w:rPr>
                <w:rFonts w:hint="default"/>
                <w:color w:val="auto"/>
                <w:kern w:val="0"/>
                <w:sz w:val="26"/>
                <w:szCs w:val="26"/>
                <w:highlight w:val="none"/>
              </w:rPr>
              <w:t xml:space="preserve"> 建设项目环境风险及风险防范措施</w:t>
            </w:r>
          </w:p>
          <w:tbl>
            <w:tblPr>
              <w:tblStyle w:val="26"/>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7243"/>
            </w:tblGrid>
            <w:tr w14:paraId="641C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742" w:type="dxa"/>
                  <w:vAlign w:val="center"/>
                </w:tcPr>
                <w:p w14:paraId="3A898738">
                  <w:pPr>
                    <w:keepNext w:val="0"/>
                    <w:keepLines w:val="0"/>
                    <w:suppressLineNumbers w:val="0"/>
                    <w:tabs>
                      <w:tab w:val="left" w:pos="1040"/>
                    </w:tabs>
                    <w:adjustRightInd w:val="0"/>
                    <w:snapToGrid w:val="0"/>
                    <w:spacing w:before="0" w:beforeAutospacing="0" w:after="0" w:afterAutospacing="0"/>
                    <w:ind w:left="0" w:right="0"/>
                    <w:rPr>
                      <w:rFonts w:hint="default"/>
                      <w:color w:val="auto"/>
                      <w:kern w:val="0"/>
                      <w:sz w:val="22"/>
                      <w:szCs w:val="22"/>
                      <w:highlight w:val="none"/>
                    </w:rPr>
                  </w:pPr>
                  <w:r>
                    <w:rPr>
                      <w:rFonts w:hint="default"/>
                      <w:color w:val="auto"/>
                      <w:kern w:val="0"/>
                      <w:sz w:val="22"/>
                      <w:szCs w:val="22"/>
                      <w:highlight w:val="none"/>
                    </w:rPr>
                    <w:t>主要危险物质及分布情况</w:t>
                  </w:r>
                </w:p>
              </w:tc>
              <w:tc>
                <w:tcPr>
                  <w:tcW w:w="6934" w:type="dxa"/>
                  <w:vAlign w:val="center"/>
                </w:tcPr>
                <w:p w14:paraId="5F2CEDB1">
                  <w:pPr>
                    <w:keepNext w:val="0"/>
                    <w:keepLines w:val="0"/>
                    <w:suppressLineNumbers w:val="0"/>
                    <w:tabs>
                      <w:tab w:val="left" w:pos="1040"/>
                    </w:tabs>
                    <w:adjustRightInd w:val="0"/>
                    <w:snapToGrid w:val="0"/>
                    <w:spacing w:before="0" w:beforeAutospacing="0" w:after="0" w:afterAutospacing="0"/>
                    <w:ind w:left="0" w:right="0"/>
                    <w:rPr>
                      <w:rFonts w:hint="eastAsia"/>
                      <w:color w:val="auto"/>
                      <w:sz w:val="22"/>
                      <w:szCs w:val="22"/>
                      <w:highlight w:val="none"/>
                      <w:lang w:val="en-US" w:eastAsia="zh-CN"/>
                    </w:rPr>
                  </w:pPr>
                  <w:r>
                    <w:rPr>
                      <w:rFonts w:hint="eastAsia"/>
                      <w:color w:val="auto"/>
                      <w:sz w:val="22"/>
                      <w:szCs w:val="22"/>
                      <w:highlight w:val="none"/>
                    </w:rPr>
                    <w:t>（1）</w:t>
                  </w:r>
                  <w:r>
                    <w:rPr>
                      <w:rFonts w:hint="eastAsia"/>
                      <w:color w:val="auto"/>
                      <w:sz w:val="22"/>
                      <w:szCs w:val="22"/>
                      <w:highlight w:val="none"/>
                      <w:lang w:val="en-US" w:eastAsia="zh-CN"/>
                    </w:rPr>
                    <w:t>液压油、机油</w:t>
                  </w:r>
                  <w:r>
                    <w:rPr>
                      <w:rFonts w:hint="eastAsia"/>
                      <w:color w:val="auto"/>
                      <w:sz w:val="22"/>
                      <w:szCs w:val="22"/>
                      <w:highlight w:val="none"/>
                    </w:rPr>
                    <w:t>，</w:t>
                  </w:r>
                  <w:r>
                    <w:rPr>
                      <w:rFonts w:hint="eastAsia"/>
                      <w:color w:val="auto"/>
                      <w:sz w:val="22"/>
                      <w:szCs w:val="22"/>
                      <w:highlight w:val="none"/>
                      <w:lang w:val="en-US" w:eastAsia="zh-CN"/>
                    </w:rPr>
                    <w:t>油料暂存区；</w:t>
                  </w:r>
                </w:p>
                <w:p w14:paraId="6C57D6BB">
                  <w:pPr>
                    <w:keepNext w:val="0"/>
                    <w:keepLines w:val="0"/>
                    <w:suppressLineNumbers w:val="0"/>
                    <w:tabs>
                      <w:tab w:val="left" w:pos="1040"/>
                    </w:tabs>
                    <w:adjustRightInd w:val="0"/>
                    <w:snapToGrid w:val="0"/>
                    <w:spacing w:before="0" w:beforeAutospacing="0" w:after="0" w:afterAutospacing="0"/>
                    <w:ind w:left="0" w:right="0"/>
                    <w:rPr>
                      <w:rFonts w:hint="eastAsia"/>
                      <w:color w:val="auto"/>
                      <w:sz w:val="22"/>
                      <w:szCs w:val="22"/>
                      <w:highlight w:val="none"/>
                      <w:lang w:val="en-US" w:eastAsia="zh-CN"/>
                    </w:rPr>
                  </w:pPr>
                  <w:r>
                    <w:rPr>
                      <w:rFonts w:hint="eastAsia"/>
                      <w:color w:val="auto"/>
                      <w:sz w:val="22"/>
                      <w:szCs w:val="22"/>
                      <w:highlight w:val="none"/>
                    </w:rPr>
                    <w:t>（2）</w:t>
                  </w:r>
                  <w:r>
                    <w:rPr>
                      <w:rFonts w:hint="eastAsia"/>
                      <w:color w:val="auto"/>
                      <w:sz w:val="22"/>
                      <w:szCs w:val="22"/>
                      <w:highlight w:val="none"/>
                      <w:lang w:val="en-US" w:eastAsia="zh-CN"/>
                    </w:rPr>
                    <w:t>乙醇、脱模剂</w:t>
                  </w:r>
                  <w:r>
                    <w:rPr>
                      <w:rFonts w:hint="eastAsia"/>
                      <w:color w:val="auto"/>
                      <w:sz w:val="22"/>
                      <w:szCs w:val="22"/>
                      <w:highlight w:val="none"/>
                    </w:rPr>
                    <w:t>，</w:t>
                  </w:r>
                  <w:r>
                    <w:rPr>
                      <w:rFonts w:hint="eastAsia"/>
                      <w:color w:val="auto"/>
                      <w:sz w:val="22"/>
                      <w:szCs w:val="22"/>
                      <w:highlight w:val="none"/>
                      <w:lang w:val="en-US" w:eastAsia="zh-CN"/>
                    </w:rPr>
                    <w:t>辅料库房；</w:t>
                  </w:r>
                </w:p>
                <w:p w14:paraId="54F6AAA5">
                  <w:pPr>
                    <w:keepNext w:val="0"/>
                    <w:keepLines w:val="0"/>
                    <w:suppressLineNumbers w:val="0"/>
                    <w:tabs>
                      <w:tab w:val="left" w:pos="1040"/>
                    </w:tabs>
                    <w:adjustRightInd w:val="0"/>
                    <w:snapToGrid w:val="0"/>
                    <w:spacing w:before="0" w:beforeAutospacing="0" w:after="0" w:afterAutospacing="0"/>
                    <w:ind w:left="0" w:right="0"/>
                    <w:rPr>
                      <w:rFonts w:hint="eastAsia"/>
                      <w:color w:val="auto"/>
                      <w:sz w:val="22"/>
                      <w:szCs w:val="22"/>
                      <w:highlight w:val="none"/>
                      <w:lang w:val="en-US" w:eastAsia="zh-CN"/>
                    </w:rPr>
                  </w:pPr>
                  <w:r>
                    <w:rPr>
                      <w:rFonts w:hint="eastAsia"/>
                      <w:color w:val="auto"/>
                      <w:sz w:val="22"/>
                      <w:szCs w:val="22"/>
                      <w:highlight w:val="none"/>
                      <w:lang w:val="en-US" w:eastAsia="zh-CN"/>
                    </w:rPr>
                    <w:t>（3）各类危险废物：2座危险废物贮存库。</w:t>
                  </w:r>
                </w:p>
                <w:p w14:paraId="47D87A43">
                  <w:pPr>
                    <w:keepNext w:val="0"/>
                    <w:keepLines w:val="0"/>
                    <w:suppressLineNumbers w:val="0"/>
                    <w:tabs>
                      <w:tab w:val="left" w:pos="1040"/>
                    </w:tabs>
                    <w:adjustRightInd w:val="0"/>
                    <w:snapToGrid w:val="0"/>
                    <w:spacing w:before="0" w:beforeAutospacing="0" w:after="0" w:afterAutospacing="0"/>
                    <w:ind w:left="0" w:right="0"/>
                    <w:rPr>
                      <w:rFonts w:hint="default"/>
                      <w:color w:val="auto"/>
                      <w:sz w:val="22"/>
                      <w:szCs w:val="22"/>
                      <w:highlight w:val="none"/>
                      <w:lang w:val="en-US" w:eastAsia="zh-CN"/>
                    </w:rPr>
                  </w:pPr>
                  <w:r>
                    <w:rPr>
                      <w:rFonts w:hint="eastAsia"/>
                      <w:color w:val="auto"/>
                      <w:sz w:val="22"/>
                      <w:szCs w:val="22"/>
                      <w:highlight w:val="none"/>
                      <w:lang w:val="en-US" w:eastAsia="zh-CN"/>
                    </w:rPr>
                    <w:t>（4）以铝、镁为主要成分的粉尘，抛丸、磨加工等生产设备、集尘器及管道、除尘系统等。</w:t>
                  </w:r>
                </w:p>
              </w:tc>
            </w:tr>
            <w:tr w14:paraId="73F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14:paraId="0E99ED88">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default"/>
                      <w:color w:val="auto"/>
                      <w:kern w:val="0"/>
                      <w:sz w:val="22"/>
                      <w:szCs w:val="22"/>
                      <w:highlight w:val="none"/>
                    </w:rPr>
                    <w:t>环境影响途径及危害后果</w:t>
                  </w:r>
                </w:p>
              </w:tc>
              <w:tc>
                <w:tcPr>
                  <w:tcW w:w="6934" w:type="dxa"/>
                  <w:vAlign w:val="center"/>
                </w:tcPr>
                <w:p w14:paraId="50352CFF">
                  <w:pPr>
                    <w:keepNext w:val="0"/>
                    <w:keepLines w:val="0"/>
                    <w:numPr>
                      <w:ilvl w:val="0"/>
                      <w:numId w:val="0"/>
                    </w:numPr>
                    <w:suppressLineNumbers w:val="0"/>
                    <w:tabs>
                      <w:tab w:val="left" w:pos="1040"/>
                    </w:tabs>
                    <w:adjustRightInd w:val="0"/>
                    <w:snapToGrid w:val="0"/>
                    <w:spacing w:before="0" w:beforeAutospacing="0" w:after="0" w:afterAutospacing="0"/>
                    <w:ind w:left="0" w:leftChars="0" w:right="0" w:rightChars="0"/>
                    <w:rPr>
                      <w:rFonts w:hint="eastAsia"/>
                      <w:color w:val="auto"/>
                      <w:sz w:val="22"/>
                      <w:szCs w:val="22"/>
                      <w:highlight w:val="none"/>
                      <w:lang w:val="en-US" w:eastAsia="zh-CN"/>
                    </w:rPr>
                  </w:pPr>
                  <w:r>
                    <w:rPr>
                      <w:rFonts w:hint="eastAsia" w:ascii="Times New Roman" w:hAnsi="Times New Roman" w:eastAsia="宋体" w:cs="Times New Roman"/>
                      <w:color w:val="auto"/>
                      <w:kern w:val="2"/>
                      <w:sz w:val="22"/>
                      <w:szCs w:val="22"/>
                      <w:lang w:val="en-US" w:eastAsia="zh-CN" w:bidi="ar-SA"/>
                    </w:rPr>
                    <w:t>（1）</w:t>
                  </w:r>
                  <w:r>
                    <w:rPr>
                      <w:rFonts w:hint="eastAsia"/>
                      <w:color w:val="auto"/>
                      <w:sz w:val="22"/>
                      <w:szCs w:val="22"/>
                      <w:highlight w:val="none"/>
                      <w:lang w:val="en-US" w:eastAsia="zh-CN"/>
                    </w:rPr>
                    <w:t>乙醇、脱模剂、机油、液压油、废机油、废液压油等，泄漏后遇明火、高热或与氧化剂接触可能引起燃烧爆炸的危险；泄漏后渗入土壤会污染土壤和地下水环境。</w:t>
                  </w:r>
                </w:p>
                <w:p w14:paraId="2A50724C">
                  <w:pPr>
                    <w:keepNext w:val="0"/>
                    <w:keepLines w:val="0"/>
                    <w:numPr>
                      <w:ilvl w:val="0"/>
                      <w:numId w:val="0"/>
                    </w:numPr>
                    <w:suppressLineNumbers w:val="0"/>
                    <w:tabs>
                      <w:tab w:val="left" w:pos="1040"/>
                    </w:tabs>
                    <w:adjustRightInd w:val="0"/>
                    <w:snapToGrid w:val="0"/>
                    <w:spacing w:before="0" w:beforeAutospacing="0" w:after="0" w:afterAutospacing="0"/>
                    <w:ind w:left="0" w:leftChars="0" w:right="0" w:rightChars="0"/>
                    <w:rPr>
                      <w:rFonts w:hint="default"/>
                      <w:color w:val="auto"/>
                      <w:sz w:val="22"/>
                      <w:szCs w:val="22"/>
                      <w:highlight w:val="none"/>
                      <w:lang w:val="en-US" w:eastAsia="zh-CN"/>
                    </w:rPr>
                  </w:pPr>
                  <w:r>
                    <w:rPr>
                      <w:rFonts w:hint="default" w:ascii="Times New Roman" w:hAnsi="Times New Roman" w:eastAsia="宋体" w:cs="Times New Roman"/>
                      <w:color w:val="auto"/>
                      <w:kern w:val="2"/>
                      <w:sz w:val="22"/>
                      <w:szCs w:val="22"/>
                      <w:lang w:val="en-US" w:eastAsia="zh-CN" w:bidi="ar-SA"/>
                    </w:rPr>
                    <w:t>（2）</w:t>
                  </w:r>
                  <w:r>
                    <w:rPr>
                      <w:rFonts w:hint="eastAsia"/>
                      <w:color w:val="auto"/>
                      <w:sz w:val="22"/>
                      <w:szCs w:val="22"/>
                      <w:highlight w:val="none"/>
                      <w:lang w:val="en-US" w:eastAsia="zh-CN"/>
                    </w:rPr>
                    <w:t>各类危险废物：泄漏后遇明火、高热或与氧化剂接触可能引起燃烧爆炸的危险；泄漏后渗入土壤会污染土壤和地下水环境；</w:t>
                  </w:r>
                </w:p>
                <w:p w14:paraId="278CDC2F">
                  <w:pPr>
                    <w:keepNext w:val="0"/>
                    <w:keepLines w:val="0"/>
                    <w:numPr>
                      <w:ilvl w:val="0"/>
                      <w:numId w:val="0"/>
                    </w:numPr>
                    <w:suppressLineNumbers w:val="0"/>
                    <w:tabs>
                      <w:tab w:val="left" w:pos="1040"/>
                    </w:tabs>
                    <w:adjustRightInd w:val="0"/>
                    <w:snapToGrid w:val="0"/>
                    <w:spacing w:before="0" w:beforeAutospacing="0" w:after="0" w:afterAutospacing="0"/>
                    <w:ind w:left="0" w:leftChars="0" w:right="0" w:rightChars="0"/>
                    <w:rPr>
                      <w:rFonts w:hint="default"/>
                      <w:color w:val="auto"/>
                      <w:sz w:val="22"/>
                      <w:szCs w:val="22"/>
                      <w:highlight w:val="none"/>
                      <w:lang w:val="en-US" w:eastAsia="zh-CN"/>
                    </w:rPr>
                  </w:pPr>
                  <w:r>
                    <w:rPr>
                      <w:rFonts w:hint="default" w:ascii="Times New Roman" w:hAnsi="Times New Roman" w:eastAsia="宋体" w:cs="Times New Roman"/>
                      <w:color w:val="auto"/>
                      <w:kern w:val="2"/>
                      <w:sz w:val="22"/>
                      <w:szCs w:val="22"/>
                      <w:lang w:val="en-US" w:eastAsia="zh-CN" w:bidi="ar-SA"/>
                    </w:rPr>
                    <w:t>（3）</w:t>
                  </w:r>
                  <w:r>
                    <w:rPr>
                      <w:rFonts w:hint="default"/>
                      <w:color w:val="auto"/>
                      <w:sz w:val="22"/>
                      <w:szCs w:val="22"/>
                      <w:highlight w:val="none"/>
                      <w:lang w:val="en-US" w:eastAsia="zh-CN"/>
                    </w:rPr>
                    <w:t>以铝、镁为主要成分的粉尘</w:t>
                  </w:r>
                  <w:r>
                    <w:rPr>
                      <w:rFonts w:hint="eastAsia"/>
                      <w:color w:val="auto"/>
                      <w:sz w:val="22"/>
                      <w:szCs w:val="22"/>
                      <w:highlight w:val="none"/>
                      <w:lang w:val="en-US" w:eastAsia="zh-CN"/>
                    </w:rPr>
                    <w:t>，粉尘悬浮在空气中遇点火源发生爆炸，或在密闭或半密闭设备内，爆炸压力和温度会急剧升高，发生爆炸；能与水或潮湿空气反应生成氢气，而氢气本身就是一种极易爆炸的气体，同时反应放热可能成为点火源。</w:t>
                  </w:r>
                </w:p>
              </w:tc>
            </w:tr>
            <w:tr w14:paraId="782E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2" w:type="dxa"/>
                  <w:vAlign w:val="center"/>
                </w:tcPr>
                <w:p w14:paraId="76EE544E">
                  <w:pPr>
                    <w:keepNext w:val="0"/>
                    <w:keepLines w:val="0"/>
                    <w:suppressLineNumbers w:val="0"/>
                    <w:tabs>
                      <w:tab w:val="left" w:pos="1040"/>
                    </w:tabs>
                    <w:adjustRightInd w:val="0"/>
                    <w:snapToGrid w:val="0"/>
                    <w:spacing w:before="0" w:beforeAutospacing="0" w:after="0" w:afterAutospacing="0"/>
                    <w:ind w:left="0" w:right="0"/>
                    <w:jc w:val="center"/>
                    <w:rPr>
                      <w:rFonts w:hint="default"/>
                      <w:color w:val="auto"/>
                      <w:kern w:val="0"/>
                      <w:sz w:val="22"/>
                      <w:szCs w:val="22"/>
                      <w:highlight w:val="none"/>
                    </w:rPr>
                  </w:pPr>
                  <w:r>
                    <w:rPr>
                      <w:rFonts w:hint="default"/>
                      <w:color w:val="auto"/>
                      <w:kern w:val="0"/>
                      <w:sz w:val="22"/>
                      <w:szCs w:val="22"/>
                      <w:highlight w:val="none"/>
                    </w:rPr>
                    <w:t>风险防范措施</w:t>
                  </w:r>
                </w:p>
              </w:tc>
              <w:tc>
                <w:tcPr>
                  <w:tcW w:w="6934" w:type="dxa"/>
                  <w:vAlign w:val="center"/>
                </w:tcPr>
                <w:p w14:paraId="612CE44B">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eastAsia"/>
                      <w:color w:val="auto"/>
                      <w:sz w:val="22"/>
                      <w:szCs w:val="22"/>
                      <w:highlight w:val="none"/>
                      <w:lang w:val="en-US" w:eastAsia="zh-CN"/>
                    </w:rPr>
                    <w:t>（1）配套金属粉尘的防爆措施：抛丸、磨加工设备安装有效的局部排风除尘系统，在所有产尘点设置吸风罩，确保粉尘被及时抽走，选用符合国家防爆标准、具有泄爆、隔爆或抑爆装置的集尘设备，配套使用防爆的除尘系统，除尘管道设计应避免死角，减少粉尘积聚，在管道和设备连接处安装隔爆阀。2号厂房内尤其抛丸、磨加工区域必须使用符合标准的防爆电气设备（如防爆电机、防爆开关、防爆灯具）。定期检查设备，防止因部件磨损、脱落或松动而产生摩擦碰撞火花。对所有相关员工进行铝镁粉尘爆炸危险性、安全操作规程和应急响应的定期培训，使其认识到风险并掌握防范技能。 在危险区域设置明确的警示标识，如“粉尘爆炸危险区”“禁止明火”“必须防静电”等。</w:t>
                  </w:r>
                </w:p>
                <w:p w14:paraId="211F06DE">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eastAsia"/>
                      <w:color w:val="auto"/>
                      <w:sz w:val="22"/>
                      <w:szCs w:val="22"/>
                      <w:highlight w:val="none"/>
                      <w:lang w:val="en-US" w:eastAsia="zh-CN"/>
                    </w:rPr>
                    <w:t>（2）防静电、防明火：</w:t>
                  </w:r>
                  <w:r>
                    <w:rPr>
                      <w:rFonts w:hint="default"/>
                      <w:color w:val="auto"/>
                      <w:sz w:val="22"/>
                      <w:szCs w:val="22"/>
                      <w:highlight w:val="none"/>
                      <w:lang w:val="en-US" w:eastAsia="zh-CN"/>
                    </w:rPr>
                    <w:t>厂房内生产区地面应按要求采取硬化处理，厂区内禁止明火。所有设备、管道、集尘器必须可靠接地</w:t>
                  </w:r>
                  <w:r>
                    <w:rPr>
                      <w:rFonts w:hint="eastAsia"/>
                      <w:color w:val="auto"/>
                      <w:sz w:val="22"/>
                      <w:szCs w:val="22"/>
                      <w:highlight w:val="none"/>
                      <w:lang w:val="en-US" w:eastAsia="zh-CN"/>
                    </w:rPr>
                    <w:t>，</w:t>
                  </w:r>
                  <w:r>
                    <w:rPr>
                      <w:rFonts w:hint="default"/>
                      <w:color w:val="auto"/>
                      <w:sz w:val="22"/>
                      <w:szCs w:val="22"/>
                      <w:highlight w:val="none"/>
                      <w:lang w:val="en-US" w:eastAsia="zh-CN"/>
                    </w:rPr>
                    <w:t>工作地面采用导电地面</w:t>
                  </w:r>
                  <w:r>
                    <w:rPr>
                      <w:rFonts w:hint="eastAsia"/>
                      <w:color w:val="auto"/>
                      <w:sz w:val="22"/>
                      <w:szCs w:val="22"/>
                      <w:highlight w:val="none"/>
                      <w:lang w:val="en-US" w:eastAsia="zh-CN"/>
                    </w:rPr>
                    <w:t>，</w:t>
                  </w:r>
                  <w:r>
                    <w:rPr>
                      <w:rFonts w:hint="default"/>
                      <w:color w:val="auto"/>
                      <w:sz w:val="22"/>
                      <w:szCs w:val="22"/>
                      <w:highlight w:val="none"/>
                      <w:lang w:val="en-US" w:eastAsia="zh-CN"/>
                    </w:rPr>
                    <w:t>员工穿戴防静电服和鞋</w:t>
                  </w:r>
                  <w:r>
                    <w:rPr>
                      <w:rFonts w:hint="eastAsia"/>
                      <w:color w:val="auto"/>
                      <w:sz w:val="22"/>
                      <w:szCs w:val="22"/>
                      <w:highlight w:val="none"/>
                      <w:lang w:val="en-US" w:eastAsia="zh-CN"/>
                    </w:rPr>
                    <w:t>，</w:t>
                  </w:r>
                  <w:r>
                    <w:rPr>
                      <w:rFonts w:hint="default"/>
                      <w:color w:val="auto"/>
                      <w:sz w:val="22"/>
                      <w:szCs w:val="22"/>
                      <w:highlight w:val="none"/>
                      <w:lang w:val="en-US" w:eastAsia="zh-CN"/>
                    </w:rPr>
                    <w:t>使用抗静电材料的工具和风管。</w:t>
                  </w:r>
                </w:p>
                <w:p w14:paraId="5E4E0E8F">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eastAsia"/>
                      <w:color w:val="auto"/>
                      <w:sz w:val="22"/>
                      <w:szCs w:val="22"/>
                      <w:highlight w:val="none"/>
                      <w:lang w:val="en-US" w:eastAsia="zh-CN"/>
                    </w:rPr>
                    <w:t>（3）2号厂房设置</w:t>
                  </w:r>
                  <w:r>
                    <w:rPr>
                      <w:rFonts w:hint="default"/>
                      <w:color w:val="auto"/>
                      <w:sz w:val="22"/>
                      <w:szCs w:val="22"/>
                      <w:highlight w:val="none"/>
                      <w:lang w:val="en-US" w:eastAsia="zh-CN"/>
                    </w:rPr>
                    <w:t>可燃气体检测报警器；凡容易发生事故或危及生命安全的场所、设备以及需要提醒操作人员注意的地方，应设置安全标志；配备足够的急救药品和现场救援器材、设备。</w:t>
                  </w:r>
                </w:p>
                <w:p w14:paraId="589F50D1">
                  <w:pPr>
                    <w:pStyle w:val="86"/>
                    <w:keepNext w:val="0"/>
                    <w:keepLines w:val="0"/>
                    <w:suppressLineNumbers w:val="0"/>
                    <w:bidi w:val="0"/>
                    <w:spacing w:before="0" w:beforeAutospacing="0" w:after="0" w:afterAutospacing="0"/>
                    <w:ind w:left="0" w:right="0"/>
                    <w:jc w:val="both"/>
                    <w:rPr>
                      <w:rFonts w:hint="eastAsia"/>
                      <w:color w:val="auto"/>
                      <w:sz w:val="22"/>
                      <w:szCs w:val="22"/>
                      <w:highlight w:val="none"/>
                      <w:lang w:val="en-US" w:eastAsia="zh-CN"/>
                    </w:rPr>
                  </w:pPr>
                  <w:r>
                    <w:rPr>
                      <w:rFonts w:hint="eastAsia"/>
                      <w:color w:val="auto"/>
                      <w:sz w:val="22"/>
                      <w:szCs w:val="22"/>
                      <w:highlight w:val="none"/>
                      <w:lang w:val="en-US" w:eastAsia="zh-CN"/>
                    </w:rPr>
                    <w:t>（4）对2号厂房及贮存铝灰渣的危险废物贮存库定期检查以确保屋顶、门窗密封良好，防止雨水渗入，从而避免水与设备、铝灰渣、车间内悬浮的粉尘直接接触产生氢气，车间加强通风。危废贮存库涉及镁锌铝合金产生的铝灰渣及除尘灰的贮存，应对危险废物贮存库增加废气收集系统及废气治理设施，确保危废库始终保持微负压，防止含氢、含粉尘的气体在室内积聚；并通过严格防潮防水的贮存措施，从根本上抑制氢气的产生。采用防爆、防静电的收集系统。末端治理的工艺上先干法除尘后干法净化，严禁用水，并全程配备安全监控与泄爆设施。</w:t>
                  </w:r>
                </w:p>
                <w:p w14:paraId="3070B288">
                  <w:pPr>
                    <w:pStyle w:val="86"/>
                    <w:keepNext w:val="0"/>
                    <w:keepLines w:val="0"/>
                    <w:suppressLineNumbers w:val="0"/>
                    <w:bidi w:val="0"/>
                    <w:spacing w:before="0" w:beforeAutospacing="0" w:after="0" w:afterAutospacing="0"/>
                    <w:ind w:left="0" w:right="0"/>
                    <w:jc w:val="both"/>
                    <w:rPr>
                      <w:rFonts w:hint="default"/>
                      <w:color w:val="auto"/>
                      <w:sz w:val="22"/>
                      <w:szCs w:val="22"/>
                      <w:highlight w:val="none"/>
                      <w:lang w:val="en-US" w:eastAsia="zh-CN"/>
                    </w:rPr>
                  </w:pPr>
                  <w:r>
                    <w:rPr>
                      <w:rFonts w:hint="default"/>
                      <w:color w:val="auto"/>
                      <w:sz w:val="22"/>
                      <w:szCs w:val="22"/>
                      <w:highlight w:val="none"/>
                      <w:lang w:val="en-US" w:eastAsia="zh-CN"/>
                    </w:rPr>
                    <w:t>（</w:t>
                  </w:r>
                  <w:r>
                    <w:rPr>
                      <w:rFonts w:hint="eastAsia"/>
                      <w:color w:val="auto"/>
                      <w:sz w:val="22"/>
                      <w:szCs w:val="22"/>
                      <w:highlight w:val="none"/>
                      <w:lang w:val="en-US" w:eastAsia="zh-CN"/>
                    </w:rPr>
                    <w:t>5</w:t>
                  </w:r>
                  <w:r>
                    <w:rPr>
                      <w:rFonts w:hint="default"/>
                      <w:color w:val="auto"/>
                      <w:sz w:val="22"/>
                      <w:szCs w:val="22"/>
                      <w:highlight w:val="none"/>
                      <w:lang w:val="en-US" w:eastAsia="zh-CN"/>
                    </w:rPr>
                    <w:t>）危废贮存库、辅料房、油料暂存间、离合器清洗区以及浸胶区采用防雨、防风、防晒、防渗漏措施，液体物料下方设置托盘，危废暂存区内堆放一定量的棉纱、砂石等，发生泄漏事故及时采用棉纱或砂纸进行吸附处理。</w:t>
                  </w:r>
                </w:p>
              </w:tc>
            </w:tr>
          </w:tbl>
          <w:p w14:paraId="5D3E2ED1">
            <w:pPr>
              <w:pStyle w:val="50"/>
              <w:keepNext w:val="0"/>
              <w:keepLines w:val="0"/>
              <w:suppressLineNumbers w:val="0"/>
              <w:spacing w:before="0" w:beforeAutospacing="0" w:after="0" w:afterAutospacing="0"/>
              <w:ind w:left="0" w:right="0"/>
              <w:rPr>
                <w:rFonts w:hint="default"/>
                <w:color w:val="auto"/>
                <w:highlight w:val="none"/>
              </w:rPr>
            </w:pPr>
          </w:p>
          <w:p w14:paraId="17DF23D5">
            <w:pPr>
              <w:keepNext w:val="0"/>
              <w:keepLines w:val="0"/>
              <w:suppressLineNumbers w:val="0"/>
              <w:tabs>
                <w:tab w:val="left" w:pos="1040"/>
              </w:tabs>
              <w:adjustRightInd w:val="0"/>
              <w:snapToGrid w:val="0"/>
              <w:spacing w:before="0" w:beforeAutospacing="0" w:after="0" w:afterAutospacing="0" w:line="400" w:lineRule="exact"/>
              <w:ind w:left="0" w:right="0" w:firstLine="522" w:firstLineChars="200"/>
              <w:rPr>
                <w:rFonts w:hint="default"/>
                <w:b/>
                <w:color w:val="auto"/>
                <w:kern w:val="0"/>
                <w:sz w:val="26"/>
                <w:szCs w:val="26"/>
                <w:highlight w:val="none"/>
              </w:rPr>
            </w:pPr>
            <w:r>
              <w:rPr>
                <w:rFonts w:hint="default"/>
                <w:b/>
                <w:color w:val="auto"/>
                <w:kern w:val="0"/>
                <w:sz w:val="26"/>
                <w:szCs w:val="26"/>
                <w:highlight w:val="none"/>
              </w:rPr>
              <w:t>4.</w:t>
            </w:r>
            <w:r>
              <w:rPr>
                <w:rFonts w:hint="eastAsia"/>
                <w:b/>
                <w:color w:val="auto"/>
                <w:kern w:val="0"/>
                <w:sz w:val="26"/>
                <w:szCs w:val="26"/>
                <w:highlight w:val="none"/>
              </w:rPr>
              <w:t>2</w:t>
            </w:r>
            <w:r>
              <w:rPr>
                <w:rFonts w:hint="default"/>
                <w:b/>
                <w:color w:val="auto"/>
                <w:kern w:val="0"/>
                <w:sz w:val="26"/>
                <w:szCs w:val="26"/>
                <w:highlight w:val="none"/>
              </w:rPr>
              <w:t>.8</w:t>
            </w:r>
            <w:r>
              <w:rPr>
                <w:rFonts w:hint="eastAsia"/>
                <w:b/>
                <w:color w:val="auto"/>
                <w:kern w:val="0"/>
                <w:sz w:val="26"/>
                <w:szCs w:val="26"/>
                <w:highlight w:val="none"/>
              </w:rPr>
              <w:t>电磁辐射</w:t>
            </w:r>
          </w:p>
          <w:p w14:paraId="2A3E7DA7">
            <w:pPr>
              <w:keepNext w:val="0"/>
              <w:keepLines w:val="0"/>
              <w:suppressLineNumbers w:val="0"/>
              <w:tabs>
                <w:tab w:val="left" w:pos="1040"/>
              </w:tabs>
              <w:adjustRightInd w:val="0"/>
              <w:snapToGrid w:val="0"/>
              <w:spacing w:before="0" w:beforeAutospacing="0" w:after="0" w:afterAutospacing="0" w:line="400" w:lineRule="exact"/>
              <w:ind w:left="0" w:right="0" w:firstLine="520" w:firstLineChars="200"/>
              <w:rPr>
                <w:rFonts w:hint="default"/>
                <w:color w:val="auto"/>
                <w:kern w:val="0"/>
                <w:sz w:val="26"/>
                <w:szCs w:val="26"/>
                <w:highlight w:val="none"/>
              </w:rPr>
            </w:pPr>
            <w:r>
              <w:rPr>
                <w:rFonts w:hint="eastAsia"/>
                <w:color w:val="auto"/>
                <w:kern w:val="0"/>
                <w:sz w:val="26"/>
                <w:szCs w:val="26"/>
                <w:highlight w:val="none"/>
              </w:rPr>
              <w:t>本项目不涉及电磁辐射。</w:t>
            </w:r>
          </w:p>
        </w:tc>
      </w:tr>
    </w:tbl>
    <w:p w14:paraId="5A93F314">
      <w:pPr>
        <w:tabs>
          <w:tab w:val="left" w:pos="2317"/>
        </w:tabs>
        <w:ind w:firstLine="420" w:firstLineChars="200"/>
        <w:rPr>
          <w:color w:val="auto"/>
          <w:szCs w:val="21"/>
          <w:highlight w:val="none"/>
        </w:rPr>
      </w:pPr>
    </w:p>
    <w:p w14:paraId="34E4E8BB">
      <w:pPr>
        <w:tabs>
          <w:tab w:val="left" w:pos="559"/>
        </w:tabs>
        <w:rPr>
          <w:color w:val="auto"/>
          <w:szCs w:val="21"/>
          <w:highlight w:val="none"/>
        </w:rPr>
        <w:sectPr>
          <w:pgSz w:w="11907" w:h="16840"/>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r>
        <w:rPr>
          <w:color w:val="auto"/>
          <w:szCs w:val="21"/>
          <w:highlight w:val="none"/>
        </w:rPr>
        <w:tab/>
      </w:r>
    </w:p>
    <w:p w14:paraId="6214F12F">
      <w:pPr>
        <w:pStyle w:val="23"/>
        <w:rPr>
          <w:snapToGrid w:val="0"/>
          <w:color w:val="auto"/>
          <w:highlight w:val="none"/>
        </w:rPr>
      </w:pPr>
      <w:r>
        <w:rPr>
          <w:snapToGrid w:val="0"/>
          <w:color w:val="auto"/>
          <w:highlight w:val="none"/>
        </w:rPr>
        <w:t>五、</w:t>
      </w:r>
      <w:bookmarkStart w:id="3" w:name="_Hlk54167917"/>
      <w:r>
        <w:rPr>
          <w:snapToGrid w:val="0"/>
          <w:color w:val="auto"/>
          <w:highlight w:val="none"/>
        </w:rPr>
        <w:t>环境保护措施监督检查清单</w:t>
      </w:r>
      <w:bookmarkEnd w:id="3"/>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5"/>
        <w:gridCol w:w="953"/>
        <w:gridCol w:w="1759"/>
        <w:gridCol w:w="145"/>
        <w:gridCol w:w="2300"/>
        <w:gridCol w:w="4610"/>
        <w:gridCol w:w="4085"/>
      </w:tblGrid>
      <w:tr w14:paraId="27103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tcBorders>
              <w:tl2br w:val="single" w:color="auto" w:sz="4" w:space="0"/>
            </w:tcBorders>
            <w:noWrap w:val="0"/>
            <w:vAlign w:val="center"/>
          </w:tcPr>
          <w:p w14:paraId="5CB4B1EB">
            <w:pPr>
              <w:keepNext w:val="0"/>
              <w:keepLines w:val="0"/>
              <w:suppressLineNumbers w:val="0"/>
              <w:adjustRightInd w:val="0"/>
              <w:snapToGrid w:val="0"/>
              <w:spacing w:before="0" w:beforeAutospacing="0" w:after="0" w:afterAutospacing="0"/>
              <w:ind w:left="0" w:right="0" w:firstLine="880" w:firstLineChars="400"/>
              <w:rPr>
                <w:rFonts w:hint="default"/>
                <w:color w:val="auto"/>
                <w:sz w:val="22"/>
                <w:szCs w:val="22"/>
                <w:highlight w:val="none"/>
              </w:rPr>
            </w:pPr>
            <w:r>
              <w:rPr>
                <w:rFonts w:hint="default"/>
                <w:color w:val="auto"/>
                <w:sz w:val="22"/>
                <w:szCs w:val="22"/>
                <w:highlight w:val="none"/>
              </w:rPr>
              <w:t>内容</w:t>
            </w:r>
          </w:p>
          <w:p w14:paraId="7146FF39">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要素</w:t>
            </w:r>
          </w:p>
        </w:tc>
        <w:tc>
          <w:tcPr>
            <w:tcW w:w="1904" w:type="dxa"/>
            <w:gridSpan w:val="2"/>
            <w:noWrap w:val="0"/>
            <w:vAlign w:val="center"/>
          </w:tcPr>
          <w:p w14:paraId="495B02C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排放口</w:t>
            </w:r>
            <w:r>
              <w:rPr>
                <w:rFonts w:hint="eastAsia"/>
                <w:color w:val="auto"/>
                <w:sz w:val="22"/>
                <w:szCs w:val="22"/>
                <w:highlight w:val="none"/>
                <w:lang w:eastAsia="zh-CN"/>
              </w:rPr>
              <w:t>（</w:t>
            </w:r>
            <w:r>
              <w:rPr>
                <w:rFonts w:hint="default"/>
                <w:color w:val="auto"/>
                <w:sz w:val="22"/>
                <w:szCs w:val="22"/>
                <w:highlight w:val="none"/>
              </w:rPr>
              <w:t>编号、名称</w:t>
            </w:r>
            <w:r>
              <w:rPr>
                <w:rFonts w:hint="eastAsia"/>
                <w:color w:val="auto"/>
                <w:sz w:val="22"/>
                <w:szCs w:val="22"/>
                <w:highlight w:val="none"/>
                <w:lang w:eastAsia="zh-CN"/>
              </w:rPr>
              <w:t>）</w:t>
            </w:r>
            <w:r>
              <w:rPr>
                <w:rFonts w:hint="default"/>
                <w:color w:val="auto"/>
                <w:sz w:val="22"/>
                <w:szCs w:val="22"/>
                <w:highlight w:val="none"/>
              </w:rPr>
              <w:t>/污染源</w:t>
            </w:r>
          </w:p>
        </w:tc>
        <w:tc>
          <w:tcPr>
            <w:tcW w:w="2300" w:type="dxa"/>
            <w:noWrap w:val="0"/>
            <w:vAlign w:val="center"/>
          </w:tcPr>
          <w:p w14:paraId="27B261B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污染物项目</w:t>
            </w:r>
          </w:p>
        </w:tc>
        <w:tc>
          <w:tcPr>
            <w:tcW w:w="4610" w:type="dxa"/>
            <w:noWrap w:val="0"/>
            <w:vAlign w:val="center"/>
          </w:tcPr>
          <w:p w14:paraId="0BCA92EE">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环境保护措施</w:t>
            </w:r>
          </w:p>
        </w:tc>
        <w:tc>
          <w:tcPr>
            <w:tcW w:w="4085" w:type="dxa"/>
            <w:noWrap w:val="0"/>
            <w:vAlign w:val="center"/>
          </w:tcPr>
          <w:p w14:paraId="62F9AF5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执行标准</w:t>
            </w:r>
          </w:p>
        </w:tc>
      </w:tr>
      <w:tr w14:paraId="7DF97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restart"/>
            <w:noWrap w:val="0"/>
            <w:vAlign w:val="center"/>
          </w:tcPr>
          <w:p w14:paraId="54EEEDAE">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大气环境</w:t>
            </w:r>
          </w:p>
        </w:tc>
        <w:tc>
          <w:tcPr>
            <w:tcW w:w="953" w:type="dxa"/>
            <w:vMerge w:val="restart"/>
            <w:noWrap w:val="0"/>
            <w:vAlign w:val="center"/>
          </w:tcPr>
          <w:p w14:paraId="64CD745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有组织</w:t>
            </w:r>
          </w:p>
        </w:tc>
        <w:tc>
          <w:tcPr>
            <w:tcW w:w="1904" w:type="dxa"/>
            <w:gridSpan w:val="2"/>
            <w:vMerge w:val="restart"/>
            <w:noWrap w:val="0"/>
            <w:vAlign w:val="center"/>
          </w:tcPr>
          <w:p w14:paraId="67B79A1C">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eastAsia"/>
                <w:b w:val="0"/>
                <w:color w:val="auto"/>
                <w:kern w:val="2"/>
                <w:sz w:val="22"/>
                <w:szCs w:val="22"/>
                <w:highlight w:val="none"/>
                <w:lang w:val="en-US" w:eastAsia="zh-CN"/>
              </w:rPr>
              <w:t>DA001</w:t>
            </w:r>
            <w:r>
              <w:rPr>
                <w:rFonts w:hint="default"/>
                <w:b w:val="0"/>
                <w:color w:val="auto"/>
                <w:kern w:val="2"/>
                <w:sz w:val="22"/>
                <w:szCs w:val="22"/>
                <w:highlight w:val="none"/>
              </w:rPr>
              <w:t>排气筒</w:t>
            </w:r>
          </w:p>
          <w:p w14:paraId="3E95DE7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eastAsia="宋体"/>
                <w:b w:val="0"/>
                <w:color w:val="auto"/>
                <w:kern w:val="2"/>
                <w:sz w:val="22"/>
                <w:szCs w:val="22"/>
                <w:highlight w:val="none"/>
                <w:lang w:val="en-US" w:eastAsia="zh-CN"/>
              </w:rPr>
            </w:pPr>
            <w:r>
              <w:rPr>
                <w:rFonts w:hint="default"/>
                <w:b w:val="0"/>
                <w:color w:val="auto"/>
                <w:kern w:val="2"/>
                <w:sz w:val="22"/>
                <w:szCs w:val="22"/>
                <w:highlight w:val="none"/>
              </w:rPr>
              <w:t>热熔</w:t>
            </w:r>
            <w:r>
              <w:rPr>
                <w:rFonts w:hint="eastAsia"/>
                <w:b w:val="0"/>
                <w:color w:val="auto"/>
                <w:kern w:val="2"/>
                <w:sz w:val="22"/>
                <w:szCs w:val="22"/>
                <w:highlight w:val="none"/>
                <w:lang w:eastAsia="zh-CN"/>
              </w:rPr>
              <w:t>、</w:t>
            </w:r>
            <w:r>
              <w:rPr>
                <w:rFonts w:hint="eastAsia"/>
                <w:b w:val="0"/>
                <w:color w:val="auto"/>
                <w:kern w:val="2"/>
                <w:sz w:val="22"/>
                <w:szCs w:val="22"/>
                <w:highlight w:val="none"/>
                <w:lang w:val="en-US" w:eastAsia="zh-CN"/>
              </w:rPr>
              <w:t>除渣废气</w:t>
            </w:r>
          </w:p>
        </w:tc>
        <w:tc>
          <w:tcPr>
            <w:tcW w:w="2300" w:type="dxa"/>
            <w:noWrap w:val="0"/>
            <w:vAlign w:val="center"/>
          </w:tcPr>
          <w:p w14:paraId="5E20C8F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eastAsia="宋体"/>
                <w:b w:val="0"/>
                <w:color w:val="auto"/>
                <w:kern w:val="2"/>
                <w:sz w:val="22"/>
                <w:szCs w:val="22"/>
                <w:highlight w:val="none"/>
                <w:lang w:val="en-US" w:eastAsia="zh-CN"/>
              </w:rPr>
            </w:pPr>
            <w:r>
              <w:rPr>
                <w:rFonts w:hint="default"/>
                <w:b w:val="0"/>
                <w:color w:val="auto"/>
                <w:kern w:val="2"/>
                <w:sz w:val="22"/>
                <w:szCs w:val="22"/>
                <w:highlight w:val="none"/>
              </w:rPr>
              <w:t>颗粒物</w:t>
            </w:r>
          </w:p>
        </w:tc>
        <w:tc>
          <w:tcPr>
            <w:tcW w:w="4610" w:type="dxa"/>
            <w:vMerge w:val="restart"/>
            <w:noWrap w:val="0"/>
            <w:vAlign w:val="center"/>
          </w:tcPr>
          <w:p w14:paraId="60180A39">
            <w:pPr>
              <w:keepNext w:val="0"/>
              <w:keepLines w:val="0"/>
              <w:suppressLineNumbers w:val="0"/>
              <w:adjustRightInd w:val="0"/>
              <w:snapToGrid w:val="0"/>
              <w:spacing w:before="0" w:beforeAutospacing="0" w:after="0" w:afterAutospacing="0"/>
              <w:ind w:left="0" w:right="0"/>
              <w:jc w:val="both"/>
              <w:rPr>
                <w:rFonts w:hint="default"/>
                <w:bCs/>
                <w:color w:val="auto"/>
                <w:sz w:val="22"/>
                <w:szCs w:val="22"/>
                <w:highlight w:val="none"/>
              </w:rPr>
            </w:pPr>
            <w:r>
              <w:rPr>
                <w:rFonts w:hint="eastAsia"/>
                <w:bCs/>
                <w:color w:val="auto"/>
                <w:sz w:val="22"/>
                <w:szCs w:val="22"/>
                <w:highlight w:val="none"/>
              </w:rPr>
              <w:t>热熔</w:t>
            </w:r>
            <w:r>
              <w:rPr>
                <w:rFonts w:hint="eastAsia"/>
                <w:bCs/>
                <w:color w:val="auto"/>
                <w:sz w:val="22"/>
                <w:szCs w:val="22"/>
                <w:highlight w:val="none"/>
                <w:lang w:eastAsia="zh-CN"/>
              </w:rPr>
              <w:t>、</w:t>
            </w:r>
            <w:r>
              <w:rPr>
                <w:rFonts w:hint="eastAsia"/>
                <w:bCs/>
                <w:color w:val="auto"/>
                <w:sz w:val="22"/>
                <w:szCs w:val="22"/>
                <w:highlight w:val="none"/>
                <w:lang w:val="en-US" w:eastAsia="zh-CN"/>
              </w:rPr>
              <w:t>除渣废气</w:t>
            </w:r>
            <w:r>
              <w:rPr>
                <w:rFonts w:hint="eastAsia"/>
                <w:bCs/>
                <w:color w:val="auto"/>
                <w:sz w:val="22"/>
                <w:szCs w:val="22"/>
                <w:highlight w:val="none"/>
              </w:rPr>
              <w:t>进入一套袋式除尘器处理后经1根15m高的排气筒DA001有组织排放</w:t>
            </w:r>
          </w:p>
        </w:tc>
        <w:tc>
          <w:tcPr>
            <w:tcW w:w="4085" w:type="dxa"/>
            <w:noWrap w:val="0"/>
            <w:vAlign w:val="center"/>
          </w:tcPr>
          <w:p w14:paraId="27969AE9">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《铸造工业大气污染物排放标准》（GB39726-2020）</w:t>
            </w:r>
          </w:p>
        </w:tc>
      </w:tr>
      <w:tr w14:paraId="679D7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28F6D46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2AD50CAE">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3A84A9F5">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1356F61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eastAsia"/>
                <w:b w:val="0"/>
                <w:color w:val="auto"/>
                <w:kern w:val="2"/>
                <w:sz w:val="22"/>
                <w:szCs w:val="22"/>
                <w:highlight w:val="none"/>
                <w:lang w:val="en-US" w:eastAsia="zh-CN"/>
              </w:rPr>
              <w:t>氯化氢</w:t>
            </w:r>
          </w:p>
        </w:tc>
        <w:tc>
          <w:tcPr>
            <w:tcW w:w="4610" w:type="dxa"/>
            <w:vMerge w:val="continue"/>
            <w:noWrap w:val="0"/>
            <w:vAlign w:val="center"/>
          </w:tcPr>
          <w:p w14:paraId="6653FFE6">
            <w:pPr>
              <w:keepNext w:val="0"/>
              <w:keepLines w:val="0"/>
              <w:suppressLineNumbers w:val="0"/>
              <w:adjustRightInd w:val="0"/>
              <w:snapToGrid w:val="0"/>
              <w:spacing w:before="0" w:beforeAutospacing="0" w:after="0" w:afterAutospacing="0"/>
              <w:ind w:left="0" w:right="0"/>
              <w:jc w:val="both"/>
              <w:rPr>
                <w:rFonts w:hint="eastAsia"/>
                <w:bCs/>
                <w:color w:val="auto"/>
                <w:sz w:val="22"/>
                <w:szCs w:val="22"/>
                <w:highlight w:val="none"/>
              </w:rPr>
            </w:pPr>
          </w:p>
        </w:tc>
        <w:tc>
          <w:tcPr>
            <w:tcW w:w="4085" w:type="dxa"/>
            <w:noWrap w:val="0"/>
            <w:vAlign w:val="center"/>
          </w:tcPr>
          <w:p w14:paraId="4A7A0513">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color w:val="auto"/>
                <w:sz w:val="22"/>
                <w:szCs w:val="22"/>
                <w:highlight w:val="none"/>
              </w:rPr>
              <w:t>《大气污染物综合排放标准》</w:t>
            </w:r>
            <w:r>
              <w:rPr>
                <w:rFonts w:hint="eastAsia"/>
                <w:color w:val="auto"/>
                <w:sz w:val="22"/>
                <w:szCs w:val="22"/>
                <w:highlight w:val="none"/>
                <w:lang w:eastAsia="zh-CN"/>
              </w:rPr>
              <w:t>（</w:t>
            </w:r>
            <w:r>
              <w:rPr>
                <w:rFonts w:hint="default"/>
                <w:color w:val="auto"/>
                <w:sz w:val="22"/>
                <w:szCs w:val="22"/>
                <w:highlight w:val="none"/>
              </w:rPr>
              <w:t>DB50/418-2016)</w:t>
            </w:r>
          </w:p>
        </w:tc>
      </w:tr>
      <w:tr w14:paraId="5568E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5EC3C50A">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6E0CED8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restart"/>
            <w:noWrap w:val="0"/>
            <w:vAlign w:val="center"/>
          </w:tcPr>
          <w:p w14:paraId="7C5DE497">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eastAsia"/>
                <w:b w:val="0"/>
                <w:color w:val="auto"/>
                <w:kern w:val="2"/>
                <w:sz w:val="22"/>
                <w:szCs w:val="22"/>
                <w:highlight w:val="none"/>
                <w:lang w:val="en-US" w:eastAsia="zh-CN"/>
              </w:rPr>
              <w:t>DA002</w:t>
            </w:r>
            <w:r>
              <w:rPr>
                <w:rFonts w:hint="default"/>
                <w:b w:val="0"/>
                <w:color w:val="auto"/>
                <w:kern w:val="2"/>
                <w:sz w:val="22"/>
                <w:szCs w:val="22"/>
                <w:highlight w:val="none"/>
              </w:rPr>
              <w:t>排气筒</w:t>
            </w:r>
          </w:p>
          <w:p w14:paraId="0C582933">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eastAsia="宋体"/>
                <w:b w:val="0"/>
                <w:color w:val="auto"/>
                <w:kern w:val="2"/>
                <w:sz w:val="22"/>
                <w:szCs w:val="22"/>
                <w:highlight w:val="none"/>
                <w:lang w:eastAsia="zh-CN"/>
              </w:rPr>
            </w:pPr>
            <w:r>
              <w:rPr>
                <w:rFonts w:hint="default"/>
                <w:b w:val="0"/>
                <w:color w:val="auto"/>
                <w:kern w:val="2"/>
                <w:sz w:val="22"/>
                <w:szCs w:val="22"/>
                <w:highlight w:val="none"/>
              </w:rPr>
              <w:t>乙醇废气、热压和固化废气</w:t>
            </w:r>
            <w:r>
              <w:rPr>
                <w:rFonts w:hint="eastAsia"/>
                <w:b w:val="0"/>
                <w:color w:val="auto"/>
                <w:kern w:val="2"/>
                <w:sz w:val="22"/>
                <w:szCs w:val="22"/>
                <w:highlight w:val="none"/>
                <w:lang w:eastAsia="zh-CN"/>
              </w:rPr>
              <w:t>、</w:t>
            </w:r>
            <w:r>
              <w:rPr>
                <w:rFonts w:hint="default"/>
                <w:b w:val="0"/>
                <w:color w:val="auto"/>
                <w:kern w:val="2"/>
                <w:sz w:val="22"/>
                <w:szCs w:val="22"/>
                <w:highlight w:val="none"/>
              </w:rPr>
              <w:t>压铸</w:t>
            </w:r>
            <w:r>
              <w:rPr>
                <w:rFonts w:hint="eastAsia"/>
                <w:b w:val="0"/>
                <w:color w:val="auto"/>
                <w:kern w:val="2"/>
                <w:sz w:val="22"/>
                <w:szCs w:val="22"/>
                <w:highlight w:val="none"/>
                <w:lang w:val="en-US" w:eastAsia="zh-CN"/>
              </w:rPr>
              <w:t>脱模</w:t>
            </w:r>
            <w:r>
              <w:rPr>
                <w:rFonts w:hint="default"/>
                <w:b w:val="0"/>
                <w:color w:val="auto"/>
                <w:kern w:val="2"/>
                <w:sz w:val="22"/>
                <w:szCs w:val="22"/>
                <w:highlight w:val="none"/>
              </w:rPr>
              <w:t>废气</w:t>
            </w:r>
          </w:p>
        </w:tc>
        <w:tc>
          <w:tcPr>
            <w:tcW w:w="2300" w:type="dxa"/>
            <w:noWrap w:val="0"/>
            <w:vAlign w:val="center"/>
          </w:tcPr>
          <w:p w14:paraId="7532E7FE">
            <w:pPr>
              <w:keepNext w:val="0"/>
              <w:keepLines w:val="0"/>
              <w:suppressLineNumbers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default"/>
                <w:color w:val="auto"/>
                <w:sz w:val="22"/>
                <w:szCs w:val="22"/>
                <w:highlight w:val="none"/>
              </w:rPr>
              <w:t>NMHC</w:t>
            </w:r>
          </w:p>
        </w:tc>
        <w:tc>
          <w:tcPr>
            <w:tcW w:w="4610" w:type="dxa"/>
            <w:vMerge w:val="restart"/>
            <w:noWrap w:val="0"/>
            <w:vAlign w:val="center"/>
          </w:tcPr>
          <w:p w14:paraId="7BE4C6FD">
            <w:pPr>
              <w:keepNext w:val="0"/>
              <w:keepLines w:val="0"/>
              <w:suppressLineNumbers w:val="0"/>
              <w:adjustRightInd w:val="0"/>
              <w:snapToGrid w:val="0"/>
              <w:spacing w:before="0" w:beforeAutospacing="0" w:after="0" w:afterAutospacing="0"/>
              <w:ind w:left="0" w:right="0"/>
              <w:jc w:val="both"/>
              <w:rPr>
                <w:rFonts w:hint="default"/>
                <w:bCs/>
                <w:color w:val="auto"/>
                <w:sz w:val="22"/>
                <w:szCs w:val="22"/>
                <w:highlight w:val="none"/>
              </w:rPr>
            </w:pPr>
            <w:r>
              <w:rPr>
                <w:rFonts w:hint="eastAsia"/>
                <w:bCs/>
                <w:color w:val="auto"/>
                <w:sz w:val="22"/>
                <w:szCs w:val="22"/>
                <w:highlight w:val="none"/>
              </w:rPr>
              <w:t>压铸脱模产生的有机废气（以非甲烷总烃计）进入1套“过滤棉+</w:t>
            </w:r>
            <w:r>
              <w:rPr>
                <w:rFonts w:hint="eastAsia"/>
                <w:bCs/>
                <w:color w:val="auto"/>
                <w:sz w:val="22"/>
                <w:szCs w:val="22"/>
                <w:highlight w:val="none"/>
                <w:lang w:val="en-US" w:eastAsia="zh-CN"/>
              </w:rPr>
              <w:t>除湿装置+</w:t>
            </w:r>
            <w:r>
              <w:rPr>
                <w:rFonts w:hint="eastAsia"/>
                <w:bCs/>
                <w:color w:val="auto"/>
                <w:sz w:val="22"/>
                <w:szCs w:val="22"/>
                <w:highlight w:val="none"/>
              </w:rPr>
              <w:t>两级活性炭吸附”处理，热压和固化产生的有机废气进入1套“干式过滤+两级活性炭吸附”装置处理，浸胶废气（主要成分为乙醇，以非甲烷总烃计）进入一套水喷淋塔处理，上述有机废气经处理后汇集经1根15m高的排气筒DA002有组织排放</w:t>
            </w:r>
          </w:p>
        </w:tc>
        <w:tc>
          <w:tcPr>
            <w:tcW w:w="4085" w:type="dxa"/>
            <w:noWrap w:val="0"/>
            <w:vAlign w:val="center"/>
          </w:tcPr>
          <w:p w14:paraId="2865EFA0">
            <w:pPr>
              <w:pStyle w:val="3"/>
              <w:keepNext w:val="0"/>
              <w:keepLines w:val="0"/>
              <w:suppressLineNumbers w:val="0"/>
              <w:snapToGrid w:val="0"/>
              <w:spacing w:before="0" w:beforeAutospacing="0" w:after="0" w:afterAutospacing="0" w:line="240" w:lineRule="auto"/>
              <w:ind w:left="0" w:right="0" w:firstLine="0" w:firstLineChars="0"/>
              <w:jc w:val="both"/>
              <w:textAlignment w:val="auto"/>
              <w:rPr>
                <w:rFonts w:hint="default"/>
                <w:b w:val="0"/>
                <w:color w:val="auto"/>
                <w:kern w:val="2"/>
                <w:sz w:val="22"/>
                <w:szCs w:val="22"/>
                <w:highlight w:val="none"/>
              </w:rPr>
            </w:pPr>
            <w:r>
              <w:rPr>
                <w:rFonts w:hint="default"/>
                <w:b w:val="0"/>
                <w:color w:val="auto"/>
                <w:kern w:val="2"/>
                <w:sz w:val="22"/>
                <w:szCs w:val="22"/>
                <w:highlight w:val="none"/>
              </w:rPr>
              <w:t>《大气污染物综合排放标准》（DB 50/418-2016）</w:t>
            </w:r>
          </w:p>
        </w:tc>
      </w:tr>
      <w:tr w14:paraId="78965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39DF3CB9">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953" w:type="dxa"/>
            <w:vMerge w:val="continue"/>
            <w:noWrap w:val="0"/>
            <w:vAlign w:val="center"/>
          </w:tcPr>
          <w:p w14:paraId="2C3FED53">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1904" w:type="dxa"/>
            <w:gridSpan w:val="2"/>
            <w:vMerge w:val="continue"/>
            <w:noWrap w:val="0"/>
            <w:vAlign w:val="center"/>
          </w:tcPr>
          <w:p w14:paraId="6B01EE8F">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2300" w:type="dxa"/>
            <w:noWrap w:val="0"/>
            <w:vAlign w:val="center"/>
          </w:tcPr>
          <w:p w14:paraId="4C0BFA61">
            <w:pPr>
              <w:keepNext w:val="0"/>
              <w:keepLines w:val="0"/>
              <w:suppressLineNumbers w:val="0"/>
              <w:adjustRightInd w:val="0"/>
              <w:snapToGrid w:val="0"/>
              <w:spacing w:before="0" w:beforeAutospacing="0" w:after="0" w:afterAutospacing="0"/>
              <w:ind w:left="0" w:right="0"/>
              <w:jc w:val="center"/>
              <w:rPr>
                <w:rFonts w:hint="eastAsia"/>
                <w:color w:val="auto"/>
                <w:sz w:val="22"/>
                <w:szCs w:val="22"/>
                <w:highlight w:val="none"/>
                <w:lang w:val="en-US" w:eastAsia="zh-CN"/>
              </w:rPr>
            </w:pPr>
            <w:r>
              <w:rPr>
                <w:rFonts w:hint="eastAsia"/>
                <w:color w:val="auto"/>
                <w:sz w:val="22"/>
                <w:szCs w:val="22"/>
                <w:highlight w:val="none"/>
                <w:lang w:val="en-US" w:eastAsia="zh-CN"/>
              </w:rPr>
              <w:t>（</w:t>
            </w:r>
            <w:r>
              <w:rPr>
                <w:rFonts w:hint="default"/>
                <w:b w:val="0"/>
                <w:color w:val="auto"/>
                <w:kern w:val="2"/>
                <w:sz w:val="22"/>
                <w:szCs w:val="22"/>
                <w:highlight w:val="none"/>
              </w:rPr>
              <w:t>压铸</w:t>
            </w:r>
            <w:r>
              <w:rPr>
                <w:rFonts w:hint="eastAsia"/>
                <w:b w:val="0"/>
                <w:color w:val="auto"/>
                <w:kern w:val="2"/>
                <w:sz w:val="22"/>
                <w:szCs w:val="22"/>
                <w:highlight w:val="none"/>
                <w:lang w:val="en-US" w:eastAsia="zh-CN"/>
              </w:rPr>
              <w:t>脱模产生</w:t>
            </w:r>
            <w:r>
              <w:rPr>
                <w:rFonts w:hint="eastAsia"/>
                <w:color w:val="auto"/>
                <w:sz w:val="22"/>
                <w:szCs w:val="22"/>
                <w:highlight w:val="none"/>
                <w:lang w:val="en-US" w:eastAsia="zh-CN"/>
              </w:rPr>
              <w:t>）极少量颗粒物</w:t>
            </w:r>
          </w:p>
        </w:tc>
        <w:tc>
          <w:tcPr>
            <w:tcW w:w="4610" w:type="dxa"/>
            <w:vMerge w:val="continue"/>
            <w:noWrap w:val="0"/>
            <w:vAlign w:val="center"/>
          </w:tcPr>
          <w:p w14:paraId="74EFA805">
            <w:pPr>
              <w:keepNext w:val="0"/>
              <w:keepLines w:val="0"/>
              <w:suppressLineNumbers w:val="0"/>
              <w:adjustRightInd w:val="0"/>
              <w:snapToGrid w:val="0"/>
              <w:spacing w:before="0" w:beforeAutospacing="0" w:after="0" w:afterAutospacing="0"/>
              <w:ind w:left="0" w:right="0"/>
              <w:jc w:val="center"/>
              <w:rPr>
                <w:rFonts w:hint="eastAsia"/>
                <w:color w:val="auto"/>
                <w:sz w:val="22"/>
                <w:szCs w:val="22"/>
                <w:highlight w:val="none"/>
                <w:lang w:val="en-US" w:eastAsia="zh-CN"/>
              </w:rPr>
            </w:pPr>
          </w:p>
        </w:tc>
        <w:tc>
          <w:tcPr>
            <w:tcW w:w="4085" w:type="dxa"/>
            <w:noWrap w:val="0"/>
            <w:vAlign w:val="center"/>
          </w:tcPr>
          <w:p w14:paraId="17016EB3">
            <w:pPr>
              <w:keepNext w:val="0"/>
              <w:keepLines w:val="0"/>
              <w:suppressLineNumbers w:val="0"/>
              <w:adjustRightInd w:val="0"/>
              <w:snapToGrid w:val="0"/>
              <w:spacing w:before="0" w:beforeAutospacing="0" w:after="0" w:afterAutospacing="0"/>
              <w:ind w:left="0" w:right="0"/>
              <w:jc w:val="center"/>
              <w:rPr>
                <w:rFonts w:hint="eastAsia"/>
                <w:color w:val="auto"/>
                <w:sz w:val="22"/>
                <w:szCs w:val="22"/>
                <w:highlight w:val="none"/>
                <w:lang w:val="en-US" w:eastAsia="zh-CN"/>
              </w:rPr>
            </w:pPr>
            <w:r>
              <w:rPr>
                <w:rFonts w:hint="default"/>
                <w:b w:val="0"/>
                <w:color w:val="auto"/>
                <w:kern w:val="2"/>
                <w:sz w:val="22"/>
                <w:szCs w:val="22"/>
                <w:highlight w:val="none"/>
              </w:rPr>
              <w:t>《铸造工业大气污染物排放标准》（GB39726-2020）</w:t>
            </w:r>
          </w:p>
        </w:tc>
      </w:tr>
      <w:tr w14:paraId="16F87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392C71B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78DF477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noWrap w:val="0"/>
            <w:vAlign w:val="center"/>
          </w:tcPr>
          <w:p w14:paraId="1A2D002B">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eastAsia"/>
                <w:b w:val="0"/>
                <w:color w:val="auto"/>
                <w:kern w:val="2"/>
                <w:sz w:val="22"/>
                <w:szCs w:val="22"/>
                <w:highlight w:val="none"/>
                <w:lang w:val="en-US" w:eastAsia="zh-CN"/>
              </w:rPr>
              <w:t>DA003</w:t>
            </w:r>
            <w:r>
              <w:rPr>
                <w:rFonts w:hint="default"/>
                <w:b w:val="0"/>
                <w:color w:val="auto"/>
                <w:kern w:val="2"/>
                <w:sz w:val="22"/>
                <w:szCs w:val="22"/>
                <w:highlight w:val="none"/>
              </w:rPr>
              <w:t>排气筒</w:t>
            </w:r>
          </w:p>
          <w:p w14:paraId="25541610">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抛丸粉尘、磨加工粉尘</w:t>
            </w:r>
          </w:p>
        </w:tc>
        <w:tc>
          <w:tcPr>
            <w:tcW w:w="2300" w:type="dxa"/>
            <w:noWrap w:val="0"/>
            <w:vAlign w:val="center"/>
          </w:tcPr>
          <w:p w14:paraId="4C5E042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颗粒物</w:t>
            </w:r>
          </w:p>
        </w:tc>
        <w:tc>
          <w:tcPr>
            <w:tcW w:w="4610" w:type="dxa"/>
            <w:noWrap w:val="0"/>
            <w:vAlign w:val="center"/>
          </w:tcPr>
          <w:p w14:paraId="102FCED0">
            <w:pPr>
              <w:keepNext w:val="0"/>
              <w:keepLines w:val="0"/>
              <w:suppressLineNumbers w:val="0"/>
              <w:adjustRightInd w:val="0"/>
              <w:snapToGrid w:val="0"/>
              <w:spacing w:before="0" w:beforeAutospacing="0" w:after="0" w:afterAutospacing="0"/>
              <w:ind w:left="0" w:right="0"/>
              <w:jc w:val="both"/>
              <w:rPr>
                <w:rFonts w:hint="eastAsia" w:eastAsia="宋体"/>
                <w:bCs/>
                <w:color w:val="auto"/>
                <w:sz w:val="22"/>
                <w:szCs w:val="22"/>
                <w:highlight w:val="none"/>
                <w:lang w:eastAsia="zh-CN"/>
              </w:rPr>
            </w:pPr>
            <w:r>
              <w:rPr>
                <w:rFonts w:hint="eastAsia" w:eastAsia="宋体"/>
                <w:bCs/>
                <w:color w:val="auto"/>
                <w:sz w:val="22"/>
                <w:szCs w:val="22"/>
                <w:highlight w:val="none"/>
                <w:lang w:eastAsia="zh-CN"/>
              </w:rPr>
              <w:t>4台抛丸机经设备自带的4套“旋风+滤筒”防爆除尘系统处理后经1根15m高的排气筒DA003有组织排放，其余1台抛丸机、其他磨加工设备产生的粉尘一起进入一套袋式防爆除尘系统（编号为2#）处理后经1根15m高的排气筒DA003有组织排放，另外一台磨加工设备产生的粉尘经单独的一套防爆袋式除尘系统（编号为1#）处理后接入排气筒DA003有组织排放。</w:t>
            </w:r>
          </w:p>
        </w:tc>
        <w:tc>
          <w:tcPr>
            <w:tcW w:w="4085" w:type="dxa"/>
            <w:noWrap w:val="0"/>
            <w:vAlign w:val="center"/>
          </w:tcPr>
          <w:p w14:paraId="50367604">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《铸造工业大气污染物排放标准》（GB39726-2020）</w:t>
            </w:r>
          </w:p>
        </w:tc>
      </w:tr>
      <w:tr w14:paraId="52383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5C1E081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7197EF0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restart"/>
            <w:noWrap w:val="0"/>
            <w:vAlign w:val="center"/>
          </w:tcPr>
          <w:p w14:paraId="672EE1F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b w:val="0"/>
                <w:color w:val="auto"/>
                <w:kern w:val="2"/>
                <w:sz w:val="22"/>
                <w:szCs w:val="22"/>
                <w:highlight w:val="none"/>
                <w:lang w:val="en-US" w:eastAsia="zh-CN"/>
              </w:rPr>
            </w:pPr>
            <w:r>
              <w:rPr>
                <w:rFonts w:hint="eastAsia"/>
                <w:b w:val="0"/>
                <w:color w:val="auto"/>
                <w:kern w:val="2"/>
                <w:sz w:val="22"/>
                <w:szCs w:val="22"/>
                <w:highlight w:val="none"/>
                <w:lang w:val="en-US" w:eastAsia="zh-CN"/>
              </w:rPr>
              <w:t>DA004排气筒</w:t>
            </w:r>
          </w:p>
          <w:p w14:paraId="14D48DD6">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lang w:val="en-US" w:eastAsia="zh-CN"/>
              </w:rPr>
            </w:pPr>
            <w:r>
              <w:rPr>
                <w:rFonts w:hint="eastAsia"/>
                <w:b w:val="0"/>
                <w:color w:val="auto"/>
                <w:kern w:val="2"/>
                <w:sz w:val="22"/>
                <w:szCs w:val="22"/>
                <w:highlight w:val="none"/>
                <w:lang w:val="en-US" w:eastAsia="zh-CN"/>
              </w:rPr>
              <w:t>搅拌、挤压废气</w:t>
            </w:r>
          </w:p>
        </w:tc>
        <w:tc>
          <w:tcPr>
            <w:tcW w:w="2300" w:type="dxa"/>
            <w:noWrap w:val="0"/>
            <w:vAlign w:val="center"/>
          </w:tcPr>
          <w:p w14:paraId="31D301C8">
            <w:pPr>
              <w:keepNext w:val="0"/>
              <w:keepLines w:val="0"/>
              <w:suppressLineNumbers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颗粒物、非甲烷总烃</w:t>
            </w:r>
          </w:p>
        </w:tc>
        <w:tc>
          <w:tcPr>
            <w:tcW w:w="4610" w:type="dxa"/>
            <w:vMerge w:val="restart"/>
            <w:noWrap w:val="0"/>
            <w:vAlign w:val="center"/>
          </w:tcPr>
          <w:p w14:paraId="359ABC74">
            <w:pPr>
              <w:keepNext w:val="0"/>
              <w:keepLines w:val="0"/>
              <w:suppressLineNumbers w:val="0"/>
              <w:adjustRightInd w:val="0"/>
              <w:snapToGrid w:val="0"/>
              <w:spacing w:before="0" w:beforeAutospacing="0" w:after="0" w:afterAutospacing="0"/>
              <w:ind w:left="0" w:right="0"/>
              <w:jc w:val="both"/>
              <w:rPr>
                <w:rFonts w:hint="eastAsia"/>
                <w:color w:val="auto"/>
                <w:kern w:val="0"/>
                <w:sz w:val="22"/>
                <w:szCs w:val="22"/>
                <w:highlight w:val="none"/>
              </w:rPr>
            </w:pPr>
            <w:r>
              <w:rPr>
                <w:rFonts w:hint="eastAsia"/>
                <w:color w:val="auto"/>
                <w:kern w:val="0"/>
                <w:sz w:val="22"/>
                <w:szCs w:val="22"/>
                <w:highlight w:val="none"/>
              </w:rPr>
              <w:t>搅拌机、挤压机产生的废气设置集气罩收集，废气收集后进入一套“滤筒除尘+两级活性炭吸附”系统处理后，接入1根15m高的排气筒DA004有组织排放。</w:t>
            </w:r>
          </w:p>
        </w:tc>
        <w:tc>
          <w:tcPr>
            <w:tcW w:w="4085" w:type="dxa"/>
            <w:noWrap w:val="0"/>
            <w:vAlign w:val="center"/>
          </w:tcPr>
          <w:p w14:paraId="7484C94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《橡胶制品工业污染物排放标准》（GB27632-2011）</w:t>
            </w:r>
          </w:p>
        </w:tc>
      </w:tr>
      <w:tr w14:paraId="27E6C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7387E894">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953" w:type="dxa"/>
            <w:vMerge w:val="continue"/>
            <w:noWrap w:val="0"/>
            <w:vAlign w:val="center"/>
          </w:tcPr>
          <w:p w14:paraId="038B1366">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1904" w:type="dxa"/>
            <w:gridSpan w:val="2"/>
            <w:vMerge w:val="continue"/>
            <w:noWrap w:val="0"/>
            <w:vAlign w:val="center"/>
          </w:tcPr>
          <w:p w14:paraId="242E8EF6">
            <w:pPr>
              <w:keepNext w:val="0"/>
              <w:keepLines w:val="0"/>
              <w:suppressLineNumbers w:val="0"/>
              <w:adjustRightInd w:val="0"/>
              <w:snapToGrid w:val="0"/>
              <w:spacing w:before="0" w:beforeAutospacing="0" w:after="0" w:afterAutospacing="0"/>
              <w:ind w:left="0" w:right="0"/>
              <w:jc w:val="center"/>
              <w:rPr>
                <w:rFonts w:hint="default"/>
                <w:color w:val="auto"/>
              </w:rPr>
            </w:pPr>
          </w:p>
        </w:tc>
        <w:tc>
          <w:tcPr>
            <w:tcW w:w="2300" w:type="dxa"/>
            <w:noWrap w:val="0"/>
            <w:vAlign w:val="center"/>
          </w:tcPr>
          <w:p w14:paraId="3740F69E">
            <w:pPr>
              <w:keepNext w:val="0"/>
              <w:keepLines w:val="0"/>
              <w:suppressLineNumbers w:val="0"/>
              <w:adjustRightInd w:val="0"/>
              <w:snapToGrid w:val="0"/>
              <w:spacing w:before="0" w:beforeAutospacing="0" w:after="0" w:afterAutospacing="0"/>
              <w:ind w:left="0" w:right="0"/>
              <w:jc w:val="center"/>
              <w:rPr>
                <w:rFonts w:hint="eastAsia"/>
                <w:color w:val="auto"/>
                <w:sz w:val="22"/>
                <w:szCs w:val="22"/>
                <w:highlight w:val="none"/>
                <w:lang w:val="en-US" w:eastAsia="zh-CN"/>
              </w:rPr>
            </w:pPr>
            <w:r>
              <w:rPr>
                <w:rFonts w:hint="eastAsia"/>
                <w:color w:val="auto"/>
                <w:sz w:val="22"/>
                <w:szCs w:val="22"/>
                <w:highlight w:val="none"/>
                <w:lang w:val="en-US" w:eastAsia="zh-CN"/>
              </w:rPr>
              <w:t>臭气浓度（无量纲）</w:t>
            </w:r>
          </w:p>
        </w:tc>
        <w:tc>
          <w:tcPr>
            <w:tcW w:w="4610" w:type="dxa"/>
            <w:vMerge w:val="continue"/>
            <w:noWrap w:val="0"/>
            <w:vAlign w:val="center"/>
          </w:tcPr>
          <w:p w14:paraId="46F6B938">
            <w:pPr>
              <w:keepNext w:val="0"/>
              <w:keepLines w:val="0"/>
              <w:suppressLineNumbers w:val="0"/>
              <w:adjustRightInd w:val="0"/>
              <w:snapToGrid w:val="0"/>
              <w:spacing w:before="0" w:beforeAutospacing="0" w:after="0" w:afterAutospacing="0"/>
              <w:ind w:left="0" w:right="0"/>
              <w:jc w:val="center"/>
              <w:rPr>
                <w:rFonts w:hint="eastAsia"/>
                <w:color w:val="auto"/>
                <w:sz w:val="22"/>
                <w:szCs w:val="22"/>
                <w:highlight w:val="none"/>
                <w:lang w:val="en-US" w:eastAsia="zh-CN"/>
              </w:rPr>
            </w:pPr>
          </w:p>
        </w:tc>
        <w:tc>
          <w:tcPr>
            <w:tcW w:w="4085" w:type="dxa"/>
            <w:noWrap w:val="0"/>
            <w:vAlign w:val="center"/>
          </w:tcPr>
          <w:p w14:paraId="33A23DB4">
            <w:pPr>
              <w:keepNext w:val="0"/>
              <w:keepLines w:val="0"/>
              <w:suppressLineNumbers w:val="0"/>
              <w:adjustRightInd w:val="0"/>
              <w:snapToGrid w:val="0"/>
              <w:spacing w:before="0" w:beforeAutospacing="0" w:after="0" w:afterAutospacing="0"/>
              <w:ind w:left="0" w:right="0"/>
              <w:jc w:val="center"/>
              <w:rPr>
                <w:rFonts w:hint="eastAsia"/>
                <w:color w:val="auto"/>
                <w:sz w:val="22"/>
                <w:szCs w:val="22"/>
                <w:highlight w:val="none"/>
                <w:lang w:val="en-US" w:eastAsia="zh-CN"/>
              </w:rPr>
            </w:pPr>
            <w:r>
              <w:rPr>
                <w:rFonts w:hint="default" w:ascii="Times New Roman" w:hAnsi="Times New Roman" w:eastAsia="宋体" w:cs="Times New Roman"/>
                <w:color w:val="auto"/>
                <w:sz w:val="21"/>
                <w:szCs w:val="21"/>
                <w:highlight w:val="none"/>
                <w:lang w:val="en-US" w:eastAsia="zh-CN"/>
              </w:rPr>
              <w:t>《恶臭污染物排放标准》（GB14554-93）</w:t>
            </w:r>
          </w:p>
        </w:tc>
      </w:tr>
      <w:tr w14:paraId="1A9A31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3D1B7F02">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58CDB4B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noWrap w:val="0"/>
            <w:vAlign w:val="center"/>
          </w:tcPr>
          <w:p w14:paraId="3E39EB1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b w:val="0"/>
                <w:color w:val="auto"/>
                <w:kern w:val="2"/>
                <w:sz w:val="22"/>
                <w:szCs w:val="22"/>
                <w:highlight w:val="none"/>
                <w:lang w:val="en-US" w:eastAsia="zh-CN"/>
              </w:rPr>
            </w:pPr>
            <w:r>
              <w:rPr>
                <w:rFonts w:hint="eastAsia"/>
                <w:b w:val="0"/>
                <w:color w:val="auto"/>
                <w:kern w:val="2"/>
                <w:sz w:val="22"/>
                <w:szCs w:val="22"/>
                <w:highlight w:val="none"/>
                <w:lang w:val="en-US" w:eastAsia="zh-CN"/>
              </w:rPr>
              <w:t>DA005排气筒</w:t>
            </w:r>
          </w:p>
          <w:p w14:paraId="09D317EB">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lang w:val="en-US" w:eastAsia="zh-CN"/>
              </w:rPr>
            </w:pPr>
            <w:r>
              <w:rPr>
                <w:rFonts w:hint="eastAsia"/>
                <w:b w:val="0"/>
                <w:color w:val="auto"/>
                <w:kern w:val="2"/>
                <w:sz w:val="22"/>
                <w:szCs w:val="22"/>
                <w:highlight w:val="none"/>
                <w:lang w:val="en-US" w:eastAsia="zh-CN"/>
              </w:rPr>
              <w:t>危废贮存库废气</w:t>
            </w:r>
          </w:p>
        </w:tc>
        <w:tc>
          <w:tcPr>
            <w:tcW w:w="2300" w:type="dxa"/>
            <w:noWrap w:val="0"/>
            <w:vAlign w:val="center"/>
          </w:tcPr>
          <w:p w14:paraId="7A911B2B">
            <w:pPr>
              <w:keepNext w:val="0"/>
              <w:keepLines w:val="0"/>
              <w:suppressLineNumbers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颗粒物、非甲烷总烃</w:t>
            </w:r>
          </w:p>
        </w:tc>
        <w:tc>
          <w:tcPr>
            <w:tcW w:w="4610" w:type="dxa"/>
            <w:noWrap w:val="0"/>
            <w:vAlign w:val="center"/>
          </w:tcPr>
          <w:p w14:paraId="33C788AF">
            <w:pPr>
              <w:keepNext w:val="0"/>
              <w:keepLines w:val="0"/>
              <w:suppressLineNumbers w:val="0"/>
              <w:adjustRightInd w:val="0"/>
              <w:snapToGrid w:val="0"/>
              <w:spacing w:before="0" w:beforeAutospacing="0" w:after="0" w:afterAutospacing="0"/>
              <w:ind w:left="0" w:right="0"/>
              <w:jc w:val="center"/>
              <w:rPr>
                <w:rFonts w:hint="eastAsia"/>
                <w:color w:val="auto"/>
                <w:kern w:val="0"/>
                <w:sz w:val="22"/>
                <w:szCs w:val="22"/>
                <w:highlight w:val="none"/>
              </w:rPr>
            </w:pPr>
            <w:r>
              <w:rPr>
                <w:rFonts w:hint="eastAsia"/>
                <w:color w:val="auto"/>
                <w:kern w:val="0"/>
                <w:sz w:val="22"/>
                <w:szCs w:val="22"/>
                <w:highlight w:val="none"/>
              </w:rPr>
              <w:t>2间危险废物贮存库设置整体抽气后进入1套“G4板式过滤器+两级活性炭”装置，处理后经1根15m高的排气筒DA005有组织排放。</w:t>
            </w:r>
          </w:p>
        </w:tc>
        <w:tc>
          <w:tcPr>
            <w:tcW w:w="4085" w:type="dxa"/>
            <w:noWrap w:val="0"/>
            <w:vAlign w:val="center"/>
          </w:tcPr>
          <w:p w14:paraId="5326F29C">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b w:val="0"/>
                <w:color w:val="auto"/>
                <w:kern w:val="2"/>
                <w:sz w:val="22"/>
                <w:szCs w:val="22"/>
                <w:highlight w:val="none"/>
              </w:rPr>
            </w:pPr>
            <w:r>
              <w:rPr>
                <w:rFonts w:hint="eastAsia"/>
                <w:b w:val="0"/>
                <w:color w:val="auto"/>
                <w:kern w:val="2"/>
                <w:sz w:val="22"/>
                <w:szCs w:val="22"/>
                <w:highlight w:val="none"/>
              </w:rPr>
              <w:t>《大气污染物综合排放标准》（DB50/418-2016)</w:t>
            </w:r>
          </w:p>
        </w:tc>
      </w:tr>
      <w:tr w14:paraId="1CD50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02224753">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1A858BBA">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noWrap w:val="0"/>
            <w:vAlign w:val="center"/>
          </w:tcPr>
          <w:p w14:paraId="3448195D">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食堂专用排烟管</w:t>
            </w:r>
          </w:p>
        </w:tc>
        <w:tc>
          <w:tcPr>
            <w:tcW w:w="2300" w:type="dxa"/>
            <w:noWrap w:val="0"/>
            <w:vAlign w:val="center"/>
          </w:tcPr>
          <w:p w14:paraId="6957E7D1">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食堂油烟、NMHC</w:t>
            </w:r>
          </w:p>
        </w:tc>
        <w:tc>
          <w:tcPr>
            <w:tcW w:w="4610" w:type="dxa"/>
            <w:noWrap w:val="0"/>
            <w:vAlign w:val="center"/>
          </w:tcPr>
          <w:p w14:paraId="31420CCF">
            <w:pPr>
              <w:keepNext w:val="0"/>
              <w:keepLines w:val="0"/>
              <w:suppressLineNumbers w:val="0"/>
              <w:adjustRightInd w:val="0"/>
              <w:snapToGrid w:val="0"/>
              <w:spacing w:before="0" w:beforeAutospacing="0" w:after="0" w:afterAutospacing="0"/>
              <w:ind w:left="0" w:right="0"/>
              <w:jc w:val="center"/>
              <w:rPr>
                <w:rFonts w:hint="eastAsia"/>
                <w:color w:val="auto"/>
                <w:kern w:val="0"/>
                <w:sz w:val="22"/>
                <w:szCs w:val="22"/>
                <w:highlight w:val="none"/>
              </w:rPr>
            </w:pPr>
            <w:r>
              <w:rPr>
                <w:rFonts w:hint="eastAsia"/>
                <w:color w:val="auto"/>
                <w:kern w:val="0"/>
                <w:sz w:val="22"/>
                <w:szCs w:val="22"/>
                <w:highlight w:val="none"/>
              </w:rPr>
              <w:t>油烟净化器+专用排烟管</w:t>
            </w:r>
          </w:p>
        </w:tc>
        <w:tc>
          <w:tcPr>
            <w:tcW w:w="4085" w:type="dxa"/>
            <w:noWrap w:val="0"/>
            <w:vAlign w:val="center"/>
          </w:tcPr>
          <w:p w14:paraId="6F992E48">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eastAsia"/>
                <w:b w:val="0"/>
                <w:color w:val="auto"/>
                <w:kern w:val="2"/>
                <w:sz w:val="22"/>
                <w:szCs w:val="22"/>
                <w:highlight w:val="none"/>
              </w:rPr>
              <w:t>《餐饮业大气污染物排放标准》（DB50/859-2018）</w:t>
            </w:r>
          </w:p>
        </w:tc>
      </w:tr>
      <w:tr w14:paraId="47C1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47DC7D1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restart"/>
            <w:noWrap w:val="0"/>
            <w:vAlign w:val="center"/>
          </w:tcPr>
          <w:p w14:paraId="51E3D5C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无组织</w:t>
            </w:r>
          </w:p>
        </w:tc>
        <w:tc>
          <w:tcPr>
            <w:tcW w:w="1904" w:type="dxa"/>
            <w:gridSpan w:val="2"/>
            <w:noWrap w:val="0"/>
            <w:vAlign w:val="center"/>
          </w:tcPr>
          <w:p w14:paraId="5B2FE888">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eastAsia="宋体"/>
                <w:b w:val="0"/>
                <w:color w:val="auto"/>
                <w:kern w:val="2"/>
                <w:sz w:val="22"/>
                <w:szCs w:val="22"/>
                <w:highlight w:val="none"/>
                <w:lang w:val="en-US" w:eastAsia="zh-CN"/>
              </w:rPr>
            </w:pPr>
            <w:r>
              <w:rPr>
                <w:rFonts w:hint="eastAsia"/>
                <w:b w:val="0"/>
                <w:color w:val="auto"/>
                <w:kern w:val="2"/>
                <w:sz w:val="22"/>
                <w:szCs w:val="22"/>
                <w:highlight w:val="none"/>
                <w:lang w:val="en-US" w:eastAsia="zh-CN"/>
              </w:rPr>
              <w:t>厂房外监控点</w:t>
            </w:r>
          </w:p>
        </w:tc>
        <w:tc>
          <w:tcPr>
            <w:tcW w:w="2300" w:type="dxa"/>
            <w:noWrap w:val="0"/>
            <w:vAlign w:val="center"/>
          </w:tcPr>
          <w:p w14:paraId="2D8F8105">
            <w:pPr>
              <w:keepNext w:val="0"/>
              <w:keepLines w:val="0"/>
              <w:suppressLineNumbers w:val="0"/>
              <w:spacing w:before="0" w:beforeAutospacing="0" w:after="0" w:afterAutospacing="0"/>
              <w:ind w:left="0" w:right="0"/>
              <w:jc w:val="center"/>
              <w:rPr>
                <w:rFonts w:hint="default" w:eastAsia="宋体"/>
                <w:color w:val="auto"/>
                <w:sz w:val="22"/>
                <w:szCs w:val="22"/>
                <w:highlight w:val="none"/>
                <w:lang w:val="en-US" w:eastAsia="zh-CN"/>
              </w:rPr>
            </w:pPr>
            <w:r>
              <w:rPr>
                <w:rFonts w:hint="default"/>
                <w:color w:val="auto"/>
                <w:sz w:val="22"/>
                <w:szCs w:val="22"/>
                <w:highlight w:val="none"/>
              </w:rPr>
              <w:t>颗粒物</w:t>
            </w:r>
            <w:r>
              <w:rPr>
                <w:rFonts w:hint="eastAsia"/>
                <w:color w:val="auto"/>
                <w:sz w:val="22"/>
                <w:szCs w:val="22"/>
                <w:highlight w:val="none"/>
                <w:lang w:eastAsia="zh-CN"/>
              </w:rPr>
              <w:t>、</w:t>
            </w:r>
            <w:r>
              <w:rPr>
                <w:rFonts w:hint="eastAsia"/>
                <w:color w:val="auto"/>
                <w:sz w:val="22"/>
                <w:szCs w:val="22"/>
                <w:highlight w:val="none"/>
                <w:lang w:val="en-US" w:eastAsia="zh-CN"/>
              </w:rPr>
              <w:t>非甲烷总烃</w:t>
            </w:r>
          </w:p>
        </w:tc>
        <w:tc>
          <w:tcPr>
            <w:tcW w:w="4610" w:type="dxa"/>
            <w:noWrap w:val="0"/>
            <w:vAlign w:val="center"/>
          </w:tcPr>
          <w:p w14:paraId="1BA31A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bCs/>
                <w:color w:val="auto"/>
                <w:sz w:val="22"/>
                <w:szCs w:val="22"/>
                <w:highlight w:val="none"/>
              </w:rPr>
              <w:t>车间通风</w:t>
            </w:r>
          </w:p>
        </w:tc>
        <w:tc>
          <w:tcPr>
            <w:tcW w:w="4085" w:type="dxa"/>
            <w:noWrap w:val="0"/>
            <w:vAlign w:val="center"/>
          </w:tcPr>
          <w:p w14:paraId="76ECB47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《铸造工业大气污染物排放标准》GB39726-2020</w:t>
            </w:r>
          </w:p>
        </w:tc>
      </w:tr>
      <w:tr w14:paraId="61550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1BA99C2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5C60D51E">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restart"/>
            <w:noWrap w:val="0"/>
            <w:vAlign w:val="center"/>
          </w:tcPr>
          <w:p w14:paraId="2DFFAE49">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eastAsia="宋体"/>
                <w:b w:val="0"/>
                <w:color w:val="auto"/>
                <w:kern w:val="2"/>
                <w:sz w:val="22"/>
                <w:szCs w:val="22"/>
                <w:highlight w:val="none"/>
                <w:lang w:val="en-US" w:eastAsia="zh-CN"/>
              </w:rPr>
            </w:pPr>
            <w:r>
              <w:rPr>
                <w:rFonts w:hint="eastAsia"/>
                <w:b w:val="0"/>
                <w:color w:val="auto"/>
                <w:kern w:val="2"/>
                <w:sz w:val="22"/>
                <w:szCs w:val="22"/>
                <w:highlight w:val="none"/>
                <w:lang w:val="en-US" w:eastAsia="zh-CN"/>
              </w:rPr>
              <w:t>厂界</w:t>
            </w:r>
          </w:p>
        </w:tc>
        <w:tc>
          <w:tcPr>
            <w:tcW w:w="2300" w:type="dxa"/>
            <w:noWrap w:val="0"/>
            <w:vAlign w:val="center"/>
          </w:tcPr>
          <w:p w14:paraId="2B0AD5C0">
            <w:pPr>
              <w:keepNext w:val="0"/>
              <w:keepLines w:val="0"/>
              <w:suppressLineNumbers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非甲烷总烃</w:t>
            </w:r>
          </w:p>
        </w:tc>
        <w:tc>
          <w:tcPr>
            <w:tcW w:w="4610" w:type="dxa"/>
            <w:vMerge w:val="restart"/>
            <w:noWrap w:val="0"/>
            <w:vAlign w:val="center"/>
          </w:tcPr>
          <w:p w14:paraId="356590C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bCs/>
                <w:color w:val="auto"/>
                <w:sz w:val="22"/>
                <w:szCs w:val="22"/>
                <w:highlight w:val="none"/>
              </w:rPr>
              <w:t>车间通风</w:t>
            </w:r>
          </w:p>
        </w:tc>
        <w:tc>
          <w:tcPr>
            <w:tcW w:w="4085" w:type="dxa"/>
            <w:vMerge w:val="restart"/>
            <w:noWrap w:val="0"/>
            <w:vAlign w:val="center"/>
          </w:tcPr>
          <w:p w14:paraId="26AC456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《大气污染物综合排放标准》</w:t>
            </w:r>
            <w:r>
              <w:rPr>
                <w:rFonts w:hint="eastAsia"/>
                <w:color w:val="auto"/>
                <w:sz w:val="22"/>
                <w:szCs w:val="22"/>
                <w:highlight w:val="none"/>
                <w:lang w:eastAsia="zh-CN"/>
              </w:rPr>
              <w:t>（</w:t>
            </w:r>
            <w:r>
              <w:rPr>
                <w:rFonts w:hint="default"/>
                <w:color w:val="auto"/>
                <w:sz w:val="22"/>
                <w:szCs w:val="22"/>
                <w:highlight w:val="none"/>
              </w:rPr>
              <w:t>DB50/418-2016)</w:t>
            </w:r>
          </w:p>
        </w:tc>
      </w:tr>
      <w:tr w14:paraId="6A673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5E1727DE">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6EA8178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6CD5FBB9">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b w:val="0"/>
                <w:color w:val="auto"/>
                <w:kern w:val="2"/>
                <w:sz w:val="22"/>
                <w:szCs w:val="22"/>
                <w:highlight w:val="none"/>
                <w:lang w:val="en-US" w:eastAsia="zh-CN"/>
              </w:rPr>
            </w:pPr>
          </w:p>
        </w:tc>
        <w:tc>
          <w:tcPr>
            <w:tcW w:w="2300" w:type="dxa"/>
            <w:noWrap w:val="0"/>
            <w:vAlign w:val="center"/>
          </w:tcPr>
          <w:p w14:paraId="281B0712">
            <w:pPr>
              <w:keepNext w:val="0"/>
              <w:keepLines w:val="0"/>
              <w:suppressLineNumbers w:val="0"/>
              <w:spacing w:before="0" w:beforeAutospacing="0" w:after="0" w:afterAutospacing="0"/>
              <w:ind w:left="0" w:right="0"/>
              <w:jc w:val="center"/>
              <w:rPr>
                <w:rFonts w:hint="eastAsia" w:eastAsia="宋体"/>
                <w:bCs/>
                <w:color w:val="auto"/>
                <w:sz w:val="22"/>
                <w:szCs w:val="22"/>
                <w:highlight w:val="none"/>
                <w:lang w:val="en-US" w:eastAsia="zh-CN"/>
              </w:rPr>
            </w:pPr>
            <w:r>
              <w:rPr>
                <w:rFonts w:hint="eastAsia"/>
                <w:bCs/>
                <w:color w:val="auto"/>
                <w:sz w:val="22"/>
                <w:szCs w:val="22"/>
                <w:highlight w:val="none"/>
                <w:lang w:val="en-US" w:eastAsia="zh-CN"/>
              </w:rPr>
              <w:t>氯化氢</w:t>
            </w:r>
          </w:p>
        </w:tc>
        <w:tc>
          <w:tcPr>
            <w:tcW w:w="4610" w:type="dxa"/>
            <w:vMerge w:val="continue"/>
            <w:noWrap w:val="0"/>
            <w:vAlign w:val="center"/>
          </w:tcPr>
          <w:p w14:paraId="50371F19">
            <w:pPr>
              <w:keepNext w:val="0"/>
              <w:keepLines w:val="0"/>
              <w:suppressLineNumbers w:val="0"/>
              <w:spacing w:before="0" w:beforeAutospacing="0" w:after="0" w:afterAutospacing="0"/>
              <w:ind w:left="0" w:right="0"/>
              <w:jc w:val="center"/>
              <w:rPr>
                <w:rFonts w:hint="default"/>
                <w:bCs/>
                <w:color w:val="auto"/>
                <w:sz w:val="22"/>
                <w:szCs w:val="22"/>
                <w:highlight w:val="none"/>
              </w:rPr>
            </w:pPr>
          </w:p>
        </w:tc>
        <w:tc>
          <w:tcPr>
            <w:tcW w:w="4085" w:type="dxa"/>
            <w:vMerge w:val="continue"/>
            <w:noWrap w:val="0"/>
            <w:vAlign w:val="center"/>
          </w:tcPr>
          <w:p w14:paraId="68B5C528">
            <w:pPr>
              <w:keepNext w:val="0"/>
              <w:keepLines w:val="0"/>
              <w:suppressLineNumbers w:val="0"/>
              <w:spacing w:before="0" w:beforeAutospacing="0" w:after="0" w:afterAutospacing="0"/>
              <w:ind w:left="0" w:right="0"/>
              <w:jc w:val="center"/>
              <w:rPr>
                <w:rFonts w:hint="default"/>
                <w:color w:val="auto"/>
                <w:sz w:val="22"/>
                <w:szCs w:val="22"/>
                <w:highlight w:val="none"/>
              </w:rPr>
            </w:pPr>
          </w:p>
        </w:tc>
      </w:tr>
      <w:tr w14:paraId="746F7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13FDCA4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77E94DF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3BE7FAB6">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789190F5">
            <w:pPr>
              <w:keepNext w:val="0"/>
              <w:keepLines w:val="0"/>
              <w:suppressLineNumbers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颗粒物</w:t>
            </w:r>
          </w:p>
        </w:tc>
        <w:tc>
          <w:tcPr>
            <w:tcW w:w="4610" w:type="dxa"/>
            <w:noWrap w:val="0"/>
            <w:vAlign w:val="center"/>
          </w:tcPr>
          <w:p w14:paraId="64FCBDA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bCs/>
                <w:color w:val="auto"/>
                <w:sz w:val="22"/>
                <w:szCs w:val="22"/>
                <w:highlight w:val="none"/>
              </w:rPr>
              <w:t>车间通风、抛丸密闭</w:t>
            </w:r>
          </w:p>
        </w:tc>
        <w:tc>
          <w:tcPr>
            <w:tcW w:w="4085" w:type="dxa"/>
            <w:vMerge w:val="continue"/>
            <w:noWrap w:val="0"/>
            <w:vAlign w:val="center"/>
          </w:tcPr>
          <w:p w14:paraId="19B3B5F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3C0F6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35" w:type="dxa"/>
            <w:vMerge w:val="continue"/>
            <w:noWrap w:val="0"/>
            <w:vAlign w:val="center"/>
          </w:tcPr>
          <w:p w14:paraId="58479D4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953" w:type="dxa"/>
            <w:vMerge w:val="continue"/>
            <w:noWrap w:val="0"/>
            <w:vAlign w:val="center"/>
          </w:tcPr>
          <w:p w14:paraId="20CB4851">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4D553D98">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4E8144A9">
            <w:pPr>
              <w:keepNext w:val="0"/>
              <w:keepLines w:val="0"/>
              <w:suppressLineNumbers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color w:val="auto"/>
                <w:sz w:val="22"/>
                <w:szCs w:val="22"/>
                <w:highlight w:val="none"/>
                <w:lang w:val="en-US" w:eastAsia="zh-CN"/>
              </w:rPr>
              <w:t>臭气浓度（无量纲）</w:t>
            </w:r>
          </w:p>
        </w:tc>
        <w:tc>
          <w:tcPr>
            <w:tcW w:w="4610" w:type="dxa"/>
            <w:noWrap w:val="0"/>
            <w:vAlign w:val="center"/>
          </w:tcPr>
          <w:p w14:paraId="5286A99C">
            <w:pPr>
              <w:keepNext w:val="0"/>
              <w:keepLines w:val="0"/>
              <w:suppressLineNumbers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车间通风、厂区绿化</w:t>
            </w:r>
          </w:p>
        </w:tc>
        <w:tc>
          <w:tcPr>
            <w:tcW w:w="4085" w:type="dxa"/>
            <w:noWrap w:val="0"/>
            <w:vAlign w:val="center"/>
          </w:tcPr>
          <w:p w14:paraId="733C47D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ascii="Times New Roman" w:hAnsi="Times New Roman" w:eastAsia="宋体" w:cs="Times New Roman"/>
                <w:color w:val="auto"/>
                <w:sz w:val="21"/>
                <w:szCs w:val="21"/>
                <w:highlight w:val="none"/>
                <w:lang w:val="en-US" w:eastAsia="zh-CN"/>
              </w:rPr>
              <w:t>《恶臭污染物排放标准》（GB14554-93）</w:t>
            </w:r>
          </w:p>
        </w:tc>
      </w:tr>
      <w:tr w14:paraId="7EBF3C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restart"/>
            <w:noWrap w:val="0"/>
            <w:vAlign w:val="center"/>
          </w:tcPr>
          <w:p w14:paraId="30F55E42">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地表水环境</w:t>
            </w:r>
          </w:p>
        </w:tc>
        <w:tc>
          <w:tcPr>
            <w:tcW w:w="1904" w:type="dxa"/>
            <w:gridSpan w:val="2"/>
            <w:vMerge w:val="restart"/>
            <w:noWrap w:val="0"/>
            <w:vAlign w:val="center"/>
          </w:tcPr>
          <w:p w14:paraId="4769E763">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eastAsia="宋体"/>
                <w:b w:val="0"/>
                <w:color w:val="auto"/>
                <w:kern w:val="2"/>
                <w:sz w:val="22"/>
                <w:szCs w:val="22"/>
                <w:highlight w:val="none"/>
                <w:lang w:val="en-US" w:eastAsia="zh-CN"/>
              </w:rPr>
            </w:pPr>
            <w:r>
              <w:rPr>
                <w:rFonts w:hint="default"/>
                <w:b w:val="0"/>
                <w:color w:val="auto"/>
                <w:kern w:val="2"/>
                <w:sz w:val="22"/>
                <w:szCs w:val="22"/>
                <w:highlight w:val="none"/>
              </w:rPr>
              <w:t>厂区总排口</w:t>
            </w:r>
            <w:r>
              <w:rPr>
                <w:rFonts w:hint="eastAsia"/>
                <w:b w:val="0"/>
                <w:color w:val="auto"/>
                <w:kern w:val="2"/>
                <w:sz w:val="22"/>
                <w:szCs w:val="22"/>
                <w:highlight w:val="none"/>
                <w:lang w:val="en-US" w:eastAsia="zh-CN"/>
              </w:rPr>
              <w:t>DW001</w:t>
            </w:r>
          </w:p>
          <w:p w14:paraId="2AB0D97E">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（综合废水）</w:t>
            </w:r>
          </w:p>
        </w:tc>
        <w:tc>
          <w:tcPr>
            <w:tcW w:w="2300" w:type="dxa"/>
            <w:noWrap w:val="0"/>
            <w:vAlign w:val="center"/>
          </w:tcPr>
          <w:p w14:paraId="1F37BA70">
            <w:pPr>
              <w:keepNext w:val="0"/>
              <w:keepLines w:val="0"/>
              <w:suppressLineNumbers w:val="0"/>
              <w:autoSpaceDN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pH</w:t>
            </w:r>
          </w:p>
        </w:tc>
        <w:tc>
          <w:tcPr>
            <w:tcW w:w="4610" w:type="dxa"/>
            <w:vMerge w:val="restart"/>
            <w:noWrap w:val="0"/>
            <w:vAlign w:val="center"/>
          </w:tcPr>
          <w:p w14:paraId="13543302">
            <w:pPr>
              <w:pStyle w:val="86"/>
              <w:keepNext w:val="0"/>
              <w:keepLines w:val="0"/>
              <w:suppressLineNumbers w:val="0"/>
              <w:bidi w:val="0"/>
              <w:spacing w:before="0" w:beforeAutospacing="0" w:after="0" w:afterAutospacing="0"/>
              <w:ind w:left="0" w:right="0"/>
              <w:jc w:val="both"/>
              <w:rPr>
                <w:rFonts w:hint="eastAsia"/>
                <w:color w:val="auto"/>
                <w:sz w:val="22"/>
                <w:szCs w:val="22"/>
                <w:highlight w:val="none"/>
                <w:lang w:eastAsia="zh-CN"/>
              </w:rPr>
            </w:pPr>
            <w:r>
              <w:rPr>
                <w:rFonts w:hint="default"/>
                <w:color w:val="auto"/>
                <w:sz w:val="22"/>
                <w:szCs w:val="22"/>
                <w:highlight w:val="none"/>
              </w:rPr>
              <w:t>厂区西南侧设1</w:t>
            </w:r>
            <w:r>
              <w:rPr>
                <w:rFonts w:hint="eastAsia"/>
                <w:color w:val="auto"/>
                <w:sz w:val="22"/>
                <w:szCs w:val="22"/>
                <w:highlight w:val="none"/>
                <w:lang w:val="en-US" w:eastAsia="zh-CN"/>
              </w:rPr>
              <w:t>座</w:t>
            </w:r>
            <w:r>
              <w:rPr>
                <w:rFonts w:hint="default"/>
                <w:color w:val="auto"/>
                <w:sz w:val="22"/>
                <w:szCs w:val="22"/>
                <w:highlight w:val="none"/>
              </w:rPr>
              <w:t>生化池（处理能力50m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val="en-US" w:eastAsia="zh-CN"/>
              </w:rPr>
              <w:t>厂区北侧设置1座“</w:t>
            </w:r>
            <w:r>
              <w:rPr>
                <w:rFonts w:hint="eastAsia"/>
                <w:color w:val="auto"/>
                <w:sz w:val="22"/>
                <w:szCs w:val="22"/>
                <w:highlight w:val="none"/>
                <w:vertAlign w:val="baseline"/>
                <w:lang w:val="en-US" w:eastAsia="zh-CN"/>
              </w:rPr>
              <w:t>酸碱中和+隔油”设备（</w:t>
            </w:r>
            <w:r>
              <w:rPr>
                <w:rFonts w:hint="default"/>
                <w:color w:val="auto"/>
                <w:sz w:val="22"/>
                <w:szCs w:val="22"/>
                <w:highlight w:val="none"/>
              </w:rPr>
              <w:t>处理能力</w:t>
            </w:r>
            <w:r>
              <w:rPr>
                <w:rFonts w:hint="eastAsia"/>
                <w:color w:val="auto"/>
                <w:sz w:val="22"/>
                <w:szCs w:val="22"/>
                <w:highlight w:val="none"/>
                <w:lang w:val="en-US" w:eastAsia="zh-CN"/>
              </w:rPr>
              <w:t>2</w:t>
            </w:r>
            <w:r>
              <w:rPr>
                <w:rFonts w:hint="default"/>
                <w:color w:val="auto"/>
                <w:sz w:val="22"/>
                <w:szCs w:val="22"/>
                <w:highlight w:val="none"/>
              </w:rPr>
              <w:t>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vertAlign w:val="baseline"/>
                <w:lang w:val="en-US" w:eastAsia="zh-CN"/>
              </w:rPr>
              <w:t>）、</w:t>
            </w:r>
            <w:r>
              <w:rPr>
                <w:rFonts w:hint="eastAsia"/>
                <w:color w:val="auto"/>
                <w:sz w:val="22"/>
                <w:szCs w:val="22"/>
                <w:highlight w:val="none"/>
                <w:lang w:val="en-US" w:eastAsia="zh-CN"/>
              </w:rPr>
              <w:t>1座隔油池</w:t>
            </w:r>
            <w:r>
              <w:rPr>
                <w:rFonts w:hint="default"/>
                <w:color w:val="auto"/>
                <w:sz w:val="22"/>
                <w:szCs w:val="22"/>
                <w:highlight w:val="none"/>
              </w:rPr>
              <w:t>（处理能力10m</w:t>
            </w:r>
            <w:r>
              <w:rPr>
                <w:rFonts w:hint="default"/>
                <w:color w:val="auto"/>
                <w:sz w:val="22"/>
                <w:szCs w:val="22"/>
                <w:highlight w:val="none"/>
                <w:vertAlign w:val="superscript"/>
              </w:rPr>
              <w:t>3</w:t>
            </w:r>
            <w:r>
              <w:rPr>
                <w:rFonts w:hint="default"/>
                <w:color w:val="auto"/>
                <w:sz w:val="22"/>
                <w:szCs w:val="22"/>
                <w:highlight w:val="none"/>
              </w:rPr>
              <w:t>/d）</w:t>
            </w:r>
            <w:r>
              <w:rPr>
                <w:rFonts w:hint="eastAsia"/>
                <w:color w:val="auto"/>
                <w:sz w:val="22"/>
                <w:szCs w:val="22"/>
                <w:highlight w:val="none"/>
                <w:lang w:eastAsia="zh-CN"/>
              </w:rPr>
              <w:t>、</w:t>
            </w:r>
            <w:r>
              <w:rPr>
                <w:rFonts w:hint="eastAsia"/>
                <w:color w:val="auto"/>
                <w:sz w:val="22"/>
                <w:szCs w:val="22"/>
                <w:highlight w:val="none"/>
                <w:lang w:val="en-US" w:eastAsia="zh-CN"/>
              </w:rPr>
              <w:t>1座生产废水预处理设施（处理能力0.1m</w:t>
            </w:r>
            <w:r>
              <w:rPr>
                <w:rFonts w:hint="eastAsia"/>
                <w:color w:val="auto"/>
                <w:sz w:val="22"/>
                <w:szCs w:val="22"/>
                <w:highlight w:val="none"/>
                <w:vertAlign w:val="superscript"/>
                <w:lang w:val="en-US" w:eastAsia="zh-CN"/>
              </w:rPr>
              <w:t>3</w:t>
            </w:r>
            <w:r>
              <w:rPr>
                <w:rFonts w:hint="eastAsia"/>
                <w:color w:val="auto"/>
                <w:sz w:val="22"/>
                <w:szCs w:val="22"/>
                <w:highlight w:val="none"/>
                <w:lang w:val="en-US" w:eastAsia="zh-CN"/>
              </w:rPr>
              <w:t>/d）</w:t>
            </w:r>
            <w:r>
              <w:rPr>
                <w:rFonts w:hint="eastAsia"/>
                <w:color w:val="auto"/>
                <w:sz w:val="22"/>
                <w:szCs w:val="22"/>
                <w:highlight w:val="none"/>
                <w:lang w:eastAsia="zh-CN"/>
              </w:rPr>
              <w:t>；</w:t>
            </w:r>
          </w:p>
          <w:p w14:paraId="5281ACED">
            <w:pPr>
              <w:pStyle w:val="86"/>
              <w:keepNext w:val="0"/>
              <w:keepLines w:val="0"/>
              <w:numPr>
                <w:ilvl w:val="0"/>
                <w:numId w:val="0"/>
              </w:numPr>
              <w:suppressLineNumbers w:val="0"/>
              <w:bidi w:val="0"/>
              <w:spacing w:before="0" w:beforeAutospacing="0" w:after="0" w:afterAutospacing="0"/>
              <w:ind w:left="0" w:leftChars="0" w:right="0" w:rightChars="0" w:firstLine="0" w:firstLineChars="0"/>
              <w:jc w:val="both"/>
              <w:rPr>
                <w:rFonts w:hint="eastAsia"/>
                <w:color w:val="auto"/>
                <w:sz w:val="22"/>
                <w:szCs w:val="22"/>
                <w:highlight w:val="none"/>
                <w:lang w:eastAsia="zh-CN"/>
              </w:rPr>
            </w:pPr>
            <w:r>
              <w:rPr>
                <w:rFonts w:hint="eastAsia" w:ascii="Times New Roman" w:hAnsi="Times New Roman" w:eastAsia="宋体" w:cs="Times New Roman"/>
                <w:color w:val="auto"/>
                <w:kern w:val="0"/>
                <w:sz w:val="22"/>
                <w:szCs w:val="22"/>
                <w:lang w:val="en-US" w:eastAsia="zh-CN" w:bidi="ar-SA"/>
              </w:rPr>
              <w:t>（1）</w:t>
            </w:r>
            <w:r>
              <w:rPr>
                <w:rFonts w:hint="eastAsia"/>
                <w:color w:val="auto"/>
                <w:sz w:val="22"/>
                <w:szCs w:val="22"/>
                <w:highlight w:val="none"/>
                <w:lang w:eastAsia="zh-CN"/>
              </w:rPr>
              <w:t>近期，北渡园区污水处理厂未正式投运前，近期，喷淋废水经一套生产废水处理设施（收集池+混凝沉淀+厌氧+好氧+MBR+紫外消毒）预处理，其他生产废水经酸碱中和+隔油预处理，而后一起由重庆宁态环保科技有限公司拉运并处置；近期的食堂餐饮废水进入隔油池预处理后餐饮废水与员工生活污水、综合楼地面清洁废水一同进入生化池处理达《橡胶制品工业污染物排放标准》（GB27632-2011）的间接排放标准后（“动植物油”执行《污水综合排放标准》（GB8978-1996）三级标准），接入旗能电铝污水处理站（接纳证明详见附件11）处理达标后回用，不外排。</w:t>
            </w:r>
          </w:p>
          <w:p w14:paraId="3BC4CD5A">
            <w:pPr>
              <w:pStyle w:val="3"/>
              <w:keepNext w:val="0"/>
              <w:keepLines w:val="0"/>
              <w:suppressLineNumbers w:val="0"/>
              <w:snapToGrid w:val="0"/>
              <w:spacing w:before="0" w:beforeAutospacing="0" w:after="0" w:afterAutospacing="0" w:line="240" w:lineRule="auto"/>
              <w:ind w:left="0" w:right="0" w:firstLine="0" w:firstLineChars="0"/>
              <w:jc w:val="both"/>
              <w:textAlignment w:val="auto"/>
              <w:rPr>
                <w:rFonts w:hint="default"/>
                <w:b w:val="0"/>
                <w:color w:val="auto"/>
                <w:kern w:val="2"/>
                <w:sz w:val="22"/>
                <w:szCs w:val="22"/>
                <w:highlight w:val="none"/>
              </w:rPr>
            </w:pPr>
            <w:r>
              <w:rPr>
                <w:rFonts w:hint="default" w:ascii="Times New Roman" w:hAnsi="Times New Roman" w:eastAsia="宋体" w:cs="Times New Roman"/>
                <w:color w:val="auto"/>
                <w:kern w:val="0"/>
                <w:sz w:val="22"/>
                <w:szCs w:val="22"/>
                <w:lang w:val="en-US" w:eastAsia="zh-CN" w:bidi="ar-SA"/>
              </w:rPr>
              <w:t>（2）</w:t>
            </w:r>
            <w:r>
              <w:rPr>
                <w:rFonts w:hint="eastAsia"/>
                <w:color w:val="auto"/>
                <w:sz w:val="22"/>
                <w:szCs w:val="22"/>
                <w:highlight w:val="none"/>
                <w:lang w:val="en-US" w:eastAsia="zh-CN"/>
              </w:rPr>
              <w:t>远期，北渡园区污水处理厂正式投运后，喷淋废水经一套生产废水处理设施（收集池+混凝沉淀+厌氧+好氧+MBR+紫外消毒）预处理，其他生产废水经酸碱中和+隔油预处理，而后一起经生产废水排放口排入园区污水处理厂；食堂含油废水一同隔油池处理后，而后同生活污水、综合楼地面清洁废水经生化池处理达参照执行的《橡胶制品工业污染物排放标准》（GB27632-2011）的间接排放标准（“动植物油”执行《污水综合排放标准》（GB8978-1996）三级标准）后，通过园区污水管网排入园区污水处理厂进一步处理达《城镇污水处理厂污染物排放标准》（GB18918-2002）一级B标后排入綦江河。</w:t>
            </w:r>
          </w:p>
        </w:tc>
        <w:tc>
          <w:tcPr>
            <w:tcW w:w="4085" w:type="dxa"/>
            <w:vMerge w:val="restart"/>
            <w:noWrap w:val="0"/>
            <w:vAlign w:val="center"/>
          </w:tcPr>
          <w:p w14:paraId="0C66FBE1">
            <w:pPr>
              <w:pStyle w:val="3"/>
              <w:keepNext w:val="0"/>
              <w:keepLines w:val="0"/>
              <w:suppressLineNumbers w:val="0"/>
              <w:snapToGrid w:val="0"/>
              <w:spacing w:before="0" w:beforeAutospacing="0" w:after="0" w:afterAutospacing="0" w:line="240" w:lineRule="auto"/>
              <w:ind w:left="0" w:right="0" w:firstLine="0" w:firstLineChars="0"/>
              <w:jc w:val="center"/>
              <w:rPr>
                <w:rFonts w:hint="eastAsia" w:eastAsia="宋体"/>
                <w:b w:val="0"/>
                <w:color w:val="auto"/>
                <w:kern w:val="2"/>
                <w:sz w:val="22"/>
                <w:szCs w:val="22"/>
                <w:highlight w:val="none"/>
                <w:lang w:eastAsia="zh-CN"/>
              </w:rPr>
            </w:pPr>
            <w:r>
              <w:rPr>
                <w:rFonts w:hint="eastAsia"/>
                <w:b w:val="0"/>
                <w:color w:val="auto"/>
                <w:kern w:val="2"/>
                <w:sz w:val="22"/>
                <w:szCs w:val="22"/>
                <w:highlight w:val="none"/>
                <w:lang w:val="en-US" w:eastAsia="zh-CN"/>
              </w:rPr>
              <w:t>参照执行</w:t>
            </w:r>
            <w:r>
              <w:rPr>
                <w:rFonts w:hint="default"/>
                <w:b w:val="0"/>
                <w:color w:val="auto"/>
                <w:kern w:val="2"/>
                <w:sz w:val="22"/>
                <w:szCs w:val="22"/>
                <w:highlight w:val="none"/>
              </w:rPr>
              <w:t>《橡胶制品工业污染物排放标准》（GB27632-2011）的间接排放标准</w:t>
            </w:r>
            <w:r>
              <w:rPr>
                <w:rFonts w:hint="eastAsia"/>
                <w:b w:val="0"/>
                <w:color w:val="auto"/>
                <w:kern w:val="2"/>
                <w:sz w:val="22"/>
                <w:szCs w:val="22"/>
                <w:highlight w:val="none"/>
                <w:lang w:eastAsia="zh-CN"/>
              </w:rPr>
              <w:t>（其中，该标准无的“动植物油”执行《污水综合排放标准》（GB897</w:t>
            </w:r>
            <w:r>
              <w:rPr>
                <w:rFonts w:hint="eastAsia"/>
                <w:b w:val="0"/>
                <w:color w:val="auto"/>
                <w:kern w:val="2"/>
                <w:sz w:val="22"/>
                <w:szCs w:val="22"/>
                <w:highlight w:val="none"/>
                <w:lang w:val="en-US" w:eastAsia="zh-CN"/>
              </w:rPr>
              <w:t>8</w:t>
            </w:r>
            <w:r>
              <w:rPr>
                <w:rFonts w:hint="eastAsia"/>
                <w:b w:val="0"/>
                <w:color w:val="auto"/>
                <w:kern w:val="2"/>
                <w:sz w:val="22"/>
                <w:szCs w:val="22"/>
                <w:highlight w:val="none"/>
                <w:lang w:eastAsia="zh-CN"/>
              </w:rPr>
              <w:t>-1996）三级标准）</w:t>
            </w:r>
          </w:p>
        </w:tc>
      </w:tr>
      <w:tr w14:paraId="650ED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2041A11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3BBCFAA8">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62010412">
            <w:pPr>
              <w:keepNext w:val="0"/>
              <w:keepLines w:val="0"/>
              <w:suppressLineNumbers w:val="0"/>
              <w:autoSpaceDN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COD</w:t>
            </w:r>
          </w:p>
        </w:tc>
        <w:tc>
          <w:tcPr>
            <w:tcW w:w="4610" w:type="dxa"/>
            <w:vMerge w:val="continue"/>
            <w:noWrap w:val="0"/>
            <w:vAlign w:val="center"/>
          </w:tcPr>
          <w:p w14:paraId="1F39DAD3">
            <w:pPr>
              <w:pStyle w:val="3"/>
              <w:keepNext w:val="0"/>
              <w:keepLines w:val="0"/>
              <w:suppressLineNumbers w:val="0"/>
              <w:snapToGrid w:val="0"/>
              <w:spacing w:before="0" w:beforeAutospacing="0" w:after="0" w:afterAutospacing="0" w:line="240" w:lineRule="auto"/>
              <w:ind w:left="0" w:right="0" w:firstLine="0" w:firstLineChars="0"/>
              <w:jc w:val="both"/>
              <w:textAlignment w:val="auto"/>
              <w:rPr>
                <w:rFonts w:hint="default"/>
                <w:b w:val="0"/>
                <w:color w:val="auto"/>
                <w:kern w:val="2"/>
                <w:sz w:val="22"/>
                <w:szCs w:val="22"/>
                <w:highlight w:val="none"/>
              </w:rPr>
            </w:pPr>
          </w:p>
        </w:tc>
        <w:tc>
          <w:tcPr>
            <w:tcW w:w="4085" w:type="dxa"/>
            <w:vMerge w:val="continue"/>
            <w:noWrap w:val="0"/>
            <w:vAlign w:val="center"/>
          </w:tcPr>
          <w:p w14:paraId="523E2F1A">
            <w:pPr>
              <w:pStyle w:val="3"/>
              <w:keepNext w:val="0"/>
              <w:keepLines w:val="0"/>
              <w:suppressLineNumbers w:val="0"/>
              <w:snapToGrid w:val="0"/>
              <w:spacing w:before="0" w:beforeAutospacing="0" w:after="0" w:afterAutospacing="0" w:line="240" w:lineRule="auto"/>
              <w:ind w:left="0" w:right="0" w:firstLine="0" w:firstLineChars="0"/>
              <w:jc w:val="center"/>
              <w:rPr>
                <w:rFonts w:hint="default"/>
                <w:b w:val="0"/>
                <w:color w:val="auto"/>
                <w:kern w:val="2"/>
                <w:sz w:val="22"/>
                <w:szCs w:val="22"/>
                <w:highlight w:val="none"/>
              </w:rPr>
            </w:pPr>
          </w:p>
        </w:tc>
      </w:tr>
      <w:tr w14:paraId="15FE3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5CC836C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097606BE">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7B4AD2C9">
            <w:pPr>
              <w:keepNext w:val="0"/>
              <w:keepLines w:val="0"/>
              <w:suppressLineNumbers w:val="0"/>
              <w:autoSpaceDN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BOD</w:t>
            </w:r>
            <w:r>
              <w:rPr>
                <w:rFonts w:hint="default"/>
                <w:color w:val="auto"/>
                <w:sz w:val="22"/>
                <w:szCs w:val="22"/>
                <w:highlight w:val="none"/>
                <w:vertAlign w:val="subscript"/>
              </w:rPr>
              <w:t>5</w:t>
            </w:r>
          </w:p>
        </w:tc>
        <w:tc>
          <w:tcPr>
            <w:tcW w:w="4610" w:type="dxa"/>
            <w:vMerge w:val="continue"/>
            <w:noWrap w:val="0"/>
            <w:vAlign w:val="center"/>
          </w:tcPr>
          <w:p w14:paraId="6BEE9C02">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4085" w:type="dxa"/>
            <w:vMerge w:val="continue"/>
            <w:noWrap w:val="0"/>
            <w:vAlign w:val="center"/>
          </w:tcPr>
          <w:p w14:paraId="6AF8377E">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r>
      <w:tr w14:paraId="2EB96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35B931B8">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51A840E9">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5A8CEBA9">
            <w:pPr>
              <w:keepNext w:val="0"/>
              <w:keepLines w:val="0"/>
              <w:suppressLineNumbers w:val="0"/>
              <w:autoSpaceDN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SS</w:t>
            </w:r>
          </w:p>
        </w:tc>
        <w:tc>
          <w:tcPr>
            <w:tcW w:w="4610" w:type="dxa"/>
            <w:vMerge w:val="continue"/>
            <w:noWrap w:val="0"/>
            <w:vAlign w:val="center"/>
          </w:tcPr>
          <w:p w14:paraId="2B5AC7AC">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4085" w:type="dxa"/>
            <w:vMerge w:val="continue"/>
            <w:noWrap w:val="0"/>
            <w:vAlign w:val="center"/>
          </w:tcPr>
          <w:p w14:paraId="2CB7B986">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r>
      <w:tr w14:paraId="5E5B6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35BF458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353719CC">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0A5FBB74">
            <w:pPr>
              <w:keepNext w:val="0"/>
              <w:keepLines w:val="0"/>
              <w:suppressLineNumbers w:val="0"/>
              <w:autoSpaceDN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NH</w:t>
            </w:r>
            <w:r>
              <w:rPr>
                <w:rFonts w:hint="default"/>
                <w:color w:val="auto"/>
                <w:sz w:val="22"/>
                <w:szCs w:val="22"/>
                <w:highlight w:val="none"/>
                <w:vertAlign w:val="subscript"/>
              </w:rPr>
              <w:t>3</w:t>
            </w:r>
            <w:r>
              <w:rPr>
                <w:rFonts w:hint="default"/>
                <w:color w:val="auto"/>
                <w:sz w:val="22"/>
                <w:szCs w:val="22"/>
                <w:highlight w:val="none"/>
              </w:rPr>
              <w:t>-N</w:t>
            </w:r>
          </w:p>
        </w:tc>
        <w:tc>
          <w:tcPr>
            <w:tcW w:w="4610" w:type="dxa"/>
            <w:vMerge w:val="continue"/>
            <w:noWrap w:val="0"/>
            <w:vAlign w:val="center"/>
          </w:tcPr>
          <w:p w14:paraId="0B1835F2">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4085" w:type="dxa"/>
            <w:vMerge w:val="continue"/>
            <w:noWrap w:val="0"/>
            <w:vAlign w:val="center"/>
          </w:tcPr>
          <w:p w14:paraId="1EDACF0E">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r>
      <w:tr w14:paraId="16DAA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0F4B809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28441FF1">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590BE59F">
            <w:pPr>
              <w:keepNext w:val="0"/>
              <w:keepLines w:val="0"/>
              <w:suppressLineNumbers w:val="0"/>
              <w:autoSpaceDN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动植物油</w:t>
            </w:r>
          </w:p>
        </w:tc>
        <w:tc>
          <w:tcPr>
            <w:tcW w:w="4610" w:type="dxa"/>
            <w:vMerge w:val="continue"/>
            <w:noWrap w:val="0"/>
            <w:vAlign w:val="center"/>
          </w:tcPr>
          <w:p w14:paraId="248B0792">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4085" w:type="dxa"/>
            <w:vMerge w:val="continue"/>
            <w:noWrap w:val="0"/>
            <w:vAlign w:val="center"/>
          </w:tcPr>
          <w:p w14:paraId="6023A8A3">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r>
      <w:tr w14:paraId="00206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69B542C4">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904" w:type="dxa"/>
            <w:gridSpan w:val="2"/>
            <w:vMerge w:val="continue"/>
            <w:noWrap w:val="0"/>
            <w:vAlign w:val="center"/>
          </w:tcPr>
          <w:p w14:paraId="545ECA0A">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300" w:type="dxa"/>
            <w:noWrap w:val="0"/>
            <w:vAlign w:val="center"/>
          </w:tcPr>
          <w:p w14:paraId="23A2996D">
            <w:pPr>
              <w:keepNext w:val="0"/>
              <w:keepLines w:val="0"/>
              <w:suppressLineNumbers w:val="0"/>
              <w:autoSpaceDN w:val="0"/>
              <w:adjustRightInd w:val="0"/>
              <w:snapToGrid w:val="0"/>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石油类</w:t>
            </w:r>
          </w:p>
        </w:tc>
        <w:tc>
          <w:tcPr>
            <w:tcW w:w="4610" w:type="dxa"/>
            <w:vMerge w:val="continue"/>
            <w:noWrap w:val="0"/>
            <w:vAlign w:val="center"/>
          </w:tcPr>
          <w:p w14:paraId="70563734">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4085" w:type="dxa"/>
            <w:vMerge w:val="continue"/>
            <w:noWrap w:val="0"/>
            <w:vAlign w:val="center"/>
          </w:tcPr>
          <w:p w14:paraId="52F20941">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r>
      <w:tr w14:paraId="1E742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noWrap w:val="0"/>
            <w:vAlign w:val="center"/>
          </w:tcPr>
          <w:p w14:paraId="1DCA84B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声环境</w:t>
            </w:r>
          </w:p>
        </w:tc>
        <w:tc>
          <w:tcPr>
            <w:tcW w:w="1904" w:type="dxa"/>
            <w:gridSpan w:val="2"/>
            <w:noWrap w:val="0"/>
            <w:vAlign w:val="center"/>
          </w:tcPr>
          <w:p w14:paraId="21720D9D">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设备</w:t>
            </w:r>
          </w:p>
        </w:tc>
        <w:tc>
          <w:tcPr>
            <w:tcW w:w="2300" w:type="dxa"/>
            <w:noWrap w:val="0"/>
            <w:vAlign w:val="center"/>
          </w:tcPr>
          <w:p w14:paraId="1586B072">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噪声</w:t>
            </w:r>
          </w:p>
        </w:tc>
        <w:tc>
          <w:tcPr>
            <w:tcW w:w="4610" w:type="dxa"/>
            <w:noWrap w:val="0"/>
            <w:vAlign w:val="center"/>
          </w:tcPr>
          <w:p w14:paraId="54DC962B">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合理布局噪声源，隔声、减震，确保厂界噪声达标</w:t>
            </w:r>
          </w:p>
        </w:tc>
        <w:tc>
          <w:tcPr>
            <w:tcW w:w="4085" w:type="dxa"/>
            <w:noWrap w:val="0"/>
            <w:vAlign w:val="center"/>
          </w:tcPr>
          <w:p w14:paraId="3C7B6D7A">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东、南、西、北厂界满足《工业企业厂界环境噪声排放标准》3类标准，昼间≤65dB，夜间≤55dB</w:t>
            </w:r>
          </w:p>
        </w:tc>
      </w:tr>
      <w:tr w14:paraId="00999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noWrap w:val="0"/>
            <w:vAlign w:val="center"/>
          </w:tcPr>
          <w:p w14:paraId="40FBFE32">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电磁辐射</w:t>
            </w:r>
          </w:p>
        </w:tc>
        <w:tc>
          <w:tcPr>
            <w:tcW w:w="12899" w:type="dxa"/>
            <w:gridSpan w:val="5"/>
            <w:noWrap w:val="0"/>
            <w:vAlign w:val="center"/>
          </w:tcPr>
          <w:p w14:paraId="7F0B5B9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w:t>
            </w:r>
          </w:p>
        </w:tc>
      </w:tr>
      <w:tr w14:paraId="2D4E7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restart"/>
            <w:noWrap w:val="0"/>
            <w:vAlign w:val="center"/>
          </w:tcPr>
          <w:p w14:paraId="11DD824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固体废物</w:t>
            </w:r>
          </w:p>
        </w:tc>
        <w:tc>
          <w:tcPr>
            <w:tcW w:w="1759" w:type="dxa"/>
            <w:noWrap w:val="0"/>
            <w:vAlign w:val="center"/>
          </w:tcPr>
          <w:p w14:paraId="575652F5">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员工生活</w:t>
            </w:r>
          </w:p>
        </w:tc>
        <w:tc>
          <w:tcPr>
            <w:tcW w:w="2445" w:type="dxa"/>
            <w:gridSpan w:val="2"/>
            <w:noWrap w:val="0"/>
            <w:vAlign w:val="center"/>
          </w:tcPr>
          <w:p w14:paraId="3DAD9588">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生活垃圾</w:t>
            </w:r>
          </w:p>
        </w:tc>
        <w:tc>
          <w:tcPr>
            <w:tcW w:w="4610" w:type="dxa"/>
            <w:noWrap w:val="0"/>
            <w:vAlign w:val="center"/>
          </w:tcPr>
          <w:p w14:paraId="13BB2A49">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环卫部门统一清运</w:t>
            </w:r>
          </w:p>
        </w:tc>
        <w:tc>
          <w:tcPr>
            <w:tcW w:w="4085" w:type="dxa"/>
            <w:vMerge w:val="restart"/>
            <w:noWrap w:val="0"/>
            <w:vAlign w:val="center"/>
          </w:tcPr>
          <w:p w14:paraId="60B90F0D">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去向明确，无遗留环境问题，不造成二次污染，满足环保要求</w:t>
            </w:r>
          </w:p>
        </w:tc>
      </w:tr>
      <w:tr w14:paraId="65317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408EC35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noWrap w:val="0"/>
            <w:vAlign w:val="center"/>
          </w:tcPr>
          <w:p w14:paraId="7E7D714B">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食堂</w:t>
            </w:r>
          </w:p>
        </w:tc>
        <w:tc>
          <w:tcPr>
            <w:tcW w:w="2445" w:type="dxa"/>
            <w:gridSpan w:val="2"/>
            <w:noWrap w:val="0"/>
            <w:vAlign w:val="center"/>
          </w:tcPr>
          <w:p w14:paraId="7A4CD0DB">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餐厨垃圾</w:t>
            </w:r>
          </w:p>
        </w:tc>
        <w:tc>
          <w:tcPr>
            <w:tcW w:w="4610" w:type="dxa"/>
            <w:noWrap w:val="0"/>
            <w:vAlign w:val="center"/>
          </w:tcPr>
          <w:p w14:paraId="61566454">
            <w:pPr>
              <w:keepNext w:val="0"/>
              <w:keepLines w:val="0"/>
              <w:suppressLineNumbers w:val="0"/>
              <w:adjustRightInd w:val="0"/>
              <w:snapToGrid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有资质单位回收处置</w:t>
            </w:r>
          </w:p>
        </w:tc>
        <w:tc>
          <w:tcPr>
            <w:tcW w:w="4085" w:type="dxa"/>
            <w:vMerge w:val="continue"/>
            <w:noWrap w:val="0"/>
            <w:vAlign w:val="center"/>
          </w:tcPr>
          <w:p w14:paraId="29430DA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00F88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09AE4CA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noWrap w:val="0"/>
            <w:vAlign w:val="center"/>
          </w:tcPr>
          <w:p w14:paraId="4E2E0E5F">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生化池</w:t>
            </w:r>
          </w:p>
        </w:tc>
        <w:tc>
          <w:tcPr>
            <w:tcW w:w="2445" w:type="dxa"/>
            <w:gridSpan w:val="2"/>
            <w:noWrap w:val="0"/>
            <w:vAlign w:val="center"/>
          </w:tcPr>
          <w:p w14:paraId="49165247">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生化池污泥</w:t>
            </w:r>
          </w:p>
        </w:tc>
        <w:tc>
          <w:tcPr>
            <w:tcW w:w="4610" w:type="dxa"/>
            <w:noWrap w:val="0"/>
            <w:vAlign w:val="center"/>
          </w:tcPr>
          <w:p w14:paraId="4857B602">
            <w:pPr>
              <w:keepNext w:val="0"/>
              <w:keepLines w:val="0"/>
              <w:suppressLineNumbers w:val="0"/>
              <w:adjustRightInd w:val="0"/>
              <w:snapToGrid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环卫吸粪车定期清理</w:t>
            </w:r>
          </w:p>
        </w:tc>
        <w:tc>
          <w:tcPr>
            <w:tcW w:w="4085" w:type="dxa"/>
            <w:vMerge w:val="continue"/>
            <w:noWrap w:val="0"/>
            <w:vAlign w:val="center"/>
          </w:tcPr>
          <w:p w14:paraId="24DB94F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093FB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36B8260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restart"/>
            <w:noWrap w:val="0"/>
            <w:vAlign w:val="center"/>
          </w:tcPr>
          <w:p w14:paraId="0ABAEE2D">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一般固废</w:t>
            </w:r>
          </w:p>
        </w:tc>
        <w:tc>
          <w:tcPr>
            <w:tcW w:w="2445" w:type="dxa"/>
            <w:gridSpan w:val="2"/>
            <w:noWrap w:val="0"/>
            <w:vAlign w:val="center"/>
          </w:tcPr>
          <w:p w14:paraId="16B8C053">
            <w:pPr>
              <w:keepNext w:val="0"/>
              <w:keepLines w:val="0"/>
              <w:suppressLineNumbers w:val="0"/>
              <w:tabs>
                <w:tab w:val="left" w:pos="2499"/>
              </w:tabs>
              <w:spacing w:before="0" w:beforeAutospacing="0" w:after="0" w:afterAutospacing="0"/>
              <w:ind w:left="0" w:right="0"/>
              <w:jc w:val="center"/>
              <w:rPr>
                <w:rFonts w:hint="default"/>
                <w:color w:val="auto"/>
                <w:sz w:val="22"/>
                <w:szCs w:val="22"/>
                <w:highlight w:val="none"/>
              </w:rPr>
            </w:pPr>
            <w:r>
              <w:rPr>
                <w:rFonts w:hint="default"/>
                <w:snapToGrid w:val="0"/>
                <w:color w:val="auto"/>
                <w:kern w:val="21"/>
                <w:sz w:val="22"/>
                <w:szCs w:val="22"/>
                <w:highlight w:val="none"/>
              </w:rPr>
              <w:t>废边角料</w:t>
            </w:r>
          </w:p>
        </w:tc>
        <w:tc>
          <w:tcPr>
            <w:tcW w:w="4610" w:type="dxa"/>
            <w:vMerge w:val="restart"/>
            <w:noWrap w:val="0"/>
            <w:vAlign w:val="center"/>
          </w:tcPr>
          <w:p w14:paraId="74C4DA26">
            <w:pPr>
              <w:keepNext w:val="0"/>
              <w:keepLines w:val="0"/>
              <w:suppressLineNumbers w:val="0"/>
              <w:tabs>
                <w:tab w:val="left" w:pos="2499"/>
              </w:tabs>
              <w:spacing w:before="0" w:beforeAutospacing="0" w:after="0" w:afterAutospacing="0"/>
              <w:ind w:left="0" w:right="0"/>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返回生产线利用</w:t>
            </w:r>
          </w:p>
        </w:tc>
        <w:tc>
          <w:tcPr>
            <w:tcW w:w="4085" w:type="dxa"/>
            <w:vMerge w:val="continue"/>
            <w:noWrap w:val="0"/>
            <w:vAlign w:val="center"/>
          </w:tcPr>
          <w:p w14:paraId="00282A7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2DE10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6618614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79864BA8">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445" w:type="dxa"/>
            <w:gridSpan w:val="2"/>
            <w:noWrap w:val="0"/>
            <w:vAlign w:val="center"/>
          </w:tcPr>
          <w:p w14:paraId="13701EB5">
            <w:pPr>
              <w:keepNext w:val="0"/>
              <w:keepLines w:val="0"/>
              <w:suppressLineNumbers w:val="0"/>
              <w:tabs>
                <w:tab w:val="left" w:pos="2499"/>
              </w:tabs>
              <w:spacing w:before="0" w:beforeAutospacing="0" w:after="0" w:afterAutospacing="0"/>
              <w:ind w:left="0" w:right="0"/>
              <w:jc w:val="center"/>
              <w:rPr>
                <w:rFonts w:hint="default"/>
                <w:snapToGrid w:val="0"/>
                <w:color w:val="auto"/>
                <w:kern w:val="21"/>
                <w:sz w:val="22"/>
                <w:szCs w:val="22"/>
                <w:highlight w:val="none"/>
              </w:rPr>
            </w:pPr>
            <w:r>
              <w:rPr>
                <w:rFonts w:hint="default"/>
                <w:snapToGrid w:val="0"/>
                <w:color w:val="auto"/>
                <w:kern w:val="21"/>
                <w:sz w:val="22"/>
                <w:szCs w:val="22"/>
                <w:highlight w:val="none"/>
              </w:rPr>
              <w:t>不合格产品离合器摩擦片</w:t>
            </w:r>
          </w:p>
        </w:tc>
        <w:tc>
          <w:tcPr>
            <w:tcW w:w="4610" w:type="dxa"/>
            <w:vMerge w:val="continue"/>
            <w:noWrap w:val="0"/>
            <w:vAlign w:val="center"/>
          </w:tcPr>
          <w:p w14:paraId="5715D1E4">
            <w:pPr>
              <w:keepNext w:val="0"/>
              <w:keepLines w:val="0"/>
              <w:suppressLineNumbers w:val="0"/>
              <w:tabs>
                <w:tab w:val="left" w:pos="2499"/>
              </w:tabs>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30C7C0E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6CC46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7CF6D66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1E850EE0">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p>
        </w:tc>
        <w:tc>
          <w:tcPr>
            <w:tcW w:w="2445" w:type="dxa"/>
            <w:gridSpan w:val="2"/>
            <w:noWrap w:val="0"/>
            <w:vAlign w:val="center"/>
          </w:tcPr>
          <w:p w14:paraId="0A0A3622">
            <w:pPr>
              <w:keepNext w:val="0"/>
              <w:keepLines w:val="0"/>
              <w:suppressLineNumbers w:val="0"/>
              <w:tabs>
                <w:tab w:val="left" w:pos="2499"/>
              </w:tabs>
              <w:spacing w:before="0" w:beforeAutospacing="0" w:after="0" w:afterAutospacing="0"/>
              <w:ind w:left="0" w:right="0"/>
              <w:jc w:val="center"/>
              <w:rPr>
                <w:rFonts w:hint="eastAsia" w:eastAsia="宋体"/>
                <w:snapToGrid w:val="0"/>
                <w:color w:val="auto"/>
                <w:kern w:val="21"/>
                <w:sz w:val="22"/>
                <w:szCs w:val="22"/>
                <w:highlight w:val="none"/>
                <w:lang w:eastAsia="zh-CN"/>
              </w:rPr>
            </w:pPr>
            <w:r>
              <w:rPr>
                <w:rFonts w:hint="default"/>
                <w:snapToGrid w:val="0"/>
                <w:color w:val="auto"/>
                <w:kern w:val="21"/>
                <w:sz w:val="22"/>
                <w:szCs w:val="22"/>
                <w:highlight w:val="none"/>
              </w:rPr>
              <w:t>除尘器收集粉尘</w:t>
            </w:r>
            <w:r>
              <w:rPr>
                <w:rFonts w:hint="eastAsia"/>
                <w:snapToGrid w:val="0"/>
                <w:color w:val="auto"/>
                <w:kern w:val="21"/>
                <w:sz w:val="22"/>
                <w:szCs w:val="22"/>
                <w:highlight w:val="none"/>
                <w:lang w:eastAsia="zh-CN"/>
              </w:rPr>
              <w:t>（</w:t>
            </w:r>
            <w:r>
              <w:rPr>
                <w:rFonts w:hint="eastAsia"/>
                <w:snapToGrid w:val="0"/>
                <w:color w:val="auto"/>
                <w:kern w:val="21"/>
                <w:sz w:val="22"/>
                <w:szCs w:val="22"/>
                <w:highlight w:val="none"/>
                <w:lang w:val="en-US" w:eastAsia="zh-CN"/>
              </w:rPr>
              <w:t>橡胶粉尘</w:t>
            </w:r>
            <w:r>
              <w:rPr>
                <w:rFonts w:hint="eastAsia"/>
                <w:snapToGrid w:val="0"/>
                <w:color w:val="auto"/>
                <w:kern w:val="21"/>
                <w:sz w:val="22"/>
                <w:szCs w:val="22"/>
                <w:highlight w:val="none"/>
                <w:lang w:eastAsia="zh-CN"/>
              </w:rPr>
              <w:t>）</w:t>
            </w:r>
          </w:p>
        </w:tc>
        <w:tc>
          <w:tcPr>
            <w:tcW w:w="4610" w:type="dxa"/>
            <w:vMerge w:val="continue"/>
            <w:noWrap w:val="0"/>
            <w:vAlign w:val="center"/>
          </w:tcPr>
          <w:p w14:paraId="7ACF6D87">
            <w:pPr>
              <w:keepNext w:val="0"/>
              <w:keepLines w:val="0"/>
              <w:suppressLineNumbers w:val="0"/>
              <w:tabs>
                <w:tab w:val="left" w:pos="2499"/>
              </w:tabs>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58ADE388">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29C80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5AF2F19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7436D171">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2FA35FEA">
            <w:pPr>
              <w:pStyle w:val="50"/>
              <w:keepNext w:val="0"/>
              <w:keepLines w:val="0"/>
              <w:suppressLineNumbers w:val="0"/>
              <w:spacing w:before="0" w:beforeLines="0" w:beforeAutospacing="0" w:after="0" w:afterLines="0" w:afterAutospacing="0" w:line="240" w:lineRule="auto"/>
              <w:ind w:left="0" w:right="0"/>
              <w:rPr>
                <w:rFonts w:hint="default" w:ascii="Times New Roman"/>
                <w:color w:val="auto"/>
                <w:sz w:val="22"/>
                <w:szCs w:val="22"/>
                <w:highlight w:val="none"/>
              </w:rPr>
            </w:pPr>
            <w:r>
              <w:rPr>
                <w:rFonts w:hint="default" w:ascii="Times New Roman"/>
                <w:snapToGrid w:val="0"/>
                <w:color w:val="auto"/>
                <w:kern w:val="21"/>
                <w:sz w:val="22"/>
                <w:szCs w:val="22"/>
                <w:highlight w:val="none"/>
              </w:rPr>
              <w:t>不合格产品离合器</w:t>
            </w:r>
          </w:p>
        </w:tc>
        <w:tc>
          <w:tcPr>
            <w:tcW w:w="4610" w:type="dxa"/>
            <w:vMerge w:val="restart"/>
            <w:noWrap w:val="0"/>
            <w:vAlign w:val="center"/>
          </w:tcPr>
          <w:p w14:paraId="32E2F571">
            <w:pPr>
              <w:keepNext w:val="0"/>
              <w:keepLines w:val="0"/>
              <w:suppressLineNumbers w:val="0"/>
              <w:tabs>
                <w:tab w:val="left" w:pos="2499"/>
              </w:tabs>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外卖物资回收公司综合利用</w:t>
            </w:r>
          </w:p>
        </w:tc>
        <w:tc>
          <w:tcPr>
            <w:tcW w:w="4085" w:type="dxa"/>
            <w:vMerge w:val="continue"/>
            <w:noWrap w:val="0"/>
            <w:vAlign w:val="center"/>
          </w:tcPr>
          <w:p w14:paraId="154F527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42393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58ECC70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12EE1EA3">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63C395B4">
            <w:pPr>
              <w:pStyle w:val="50"/>
              <w:keepNext w:val="0"/>
              <w:keepLines w:val="0"/>
              <w:suppressLineNumbers w:val="0"/>
              <w:spacing w:before="0" w:beforeLines="0" w:beforeAutospacing="0" w:after="0" w:afterLines="0" w:afterAutospacing="0" w:line="240" w:lineRule="auto"/>
              <w:ind w:left="0" w:right="0"/>
              <w:rPr>
                <w:rFonts w:hint="default" w:ascii="Times New Roman"/>
                <w:snapToGrid w:val="0"/>
                <w:color w:val="auto"/>
                <w:kern w:val="21"/>
                <w:sz w:val="22"/>
                <w:szCs w:val="22"/>
                <w:highlight w:val="none"/>
              </w:rPr>
            </w:pPr>
            <w:r>
              <w:rPr>
                <w:rFonts w:hint="default" w:ascii="Times New Roman"/>
                <w:snapToGrid w:val="0"/>
                <w:color w:val="auto"/>
                <w:kern w:val="21"/>
                <w:sz w:val="22"/>
                <w:szCs w:val="22"/>
                <w:highlight w:val="none"/>
              </w:rPr>
              <w:t>废包装</w:t>
            </w:r>
          </w:p>
        </w:tc>
        <w:tc>
          <w:tcPr>
            <w:tcW w:w="4610" w:type="dxa"/>
            <w:vMerge w:val="continue"/>
            <w:noWrap w:val="0"/>
            <w:vAlign w:val="center"/>
          </w:tcPr>
          <w:p w14:paraId="2CC881C7">
            <w:pPr>
              <w:keepNext w:val="0"/>
              <w:keepLines w:val="0"/>
              <w:suppressLineNumbers w:val="0"/>
              <w:tabs>
                <w:tab w:val="left" w:pos="2499"/>
              </w:tabs>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6C274983">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60053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568228E2">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4616F0A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0FABC82D">
            <w:pPr>
              <w:pStyle w:val="50"/>
              <w:keepNext w:val="0"/>
              <w:keepLines w:val="0"/>
              <w:suppressLineNumbers w:val="0"/>
              <w:spacing w:before="0" w:beforeLines="0" w:beforeAutospacing="0" w:after="0" w:afterLines="0" w:afterAutospacing="0" w:line="240" w:lineRule="auto"/>
              <w:ind w:left="0" w:right="0"/>
              <w:rPr>
                <w:rFonts w:hint="default" w:ascii="Times New Roman"/>
                <w:snapToGrid w:val="0"/>
                <w:color w:val="auto"/>
                <w:kern w:val="21"/>
                <w:sz w:val="22"/>
                <w:szCs w:val="22"/>
                <w:highlight w:val="none"/>
              </w:rPr>
            </w:pPr>
            <w:r>
              <w:rPr>
                <w:rFonts w:hint="default" w:ascii="Times New Roman"/>
                <w:snapToGrid w:val="0"/>
                <w:color w:val="auto"/>
                <w:kern w:val="21"/>
                <w:sz w:val="22"/>
                <w:szCs w:val="22"/>
                <w:highlight w:val="none"/>
              </w:rPr>
              <w:t>废钢珠</w:t>
            </w:r>
          </w:p>
        </w:tc>
        <w:tc>
          <w:tcPr>
            <w:tcW w:w="4610" w:type="dxa"/>
            <w:vMerge w:val="continue"/>
            <w:noWrap w:val="0"/>
            <w:vAlign w:val="center"/>
          </w:tcPr>
          <w:p w14:paraId="32FF00BD">
            <w:pPr>
              <w:keepNext w:val="0"/>
              <w:keepLines w:val="0"/>
              <w:suppressLineNumbers w:val="0"/>
              <w:tabs>
                <w:tab w:val="left" w:pos="2499"/>
              </w:tabs>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6E82FD6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34BA0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7D00DC5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restart"/>
            <w:noWrap w:val="0"/>
            <w:vAlign w:val="center"/>
          </w:tcPr>
          <w:p w14:paraId="544F53BD">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default"/>
                <w:b w:val="0"/>
                <w:color w:val="auto"/>
                <w:kern w:val="2"/>
                <w:sz w:val="22"/>
                <w:szCs w:val="22"/>
                <w:highlight w:val="none"/>
              </w:rPr>
            </w:pPr>
            <w:r>
              <w:rPr>
                <w:rFonts w:hint="default"/>
                <w:b w:val="0"/>
                <w:color w:val="auto"/>
                <w:kern w:val="2"/>
                <w:sz w:val="22"/>
                <w:szCs w:val="22"/>
                <w:highlight w:val="none"/>
              </w:rPr>
              <w:t>危险废物</w:t>
            </w:r>
          </w:p>
        </w:tc>
        <w:tc>
          <w:tcPr>
            <w:tcW w:w="2445" w:type="dxa"/>
            <w:gridSpan w:val="2"/>
            <w:noWrap w:val="0"/>
            <w:vAlign w:val="center"/>
          </w:tcPr>
          <w:p w14:paraId="7100C90E">
            <w:pPr>
              <w:keepNext w:val="0"/>
              <w:keepLines w:val="0"/>
              <w:suppressLineNumbers w:val="0"/>
              <w:adjustRightInd w:val="0"/>
              <w:snapToGrid w:val="0"/>
              <w:spacing w:before="0" w:beforeAutospacing="0" w:after="0" w:afterAutospacing="0"/>
              <w:ind w:left="0" w:right="0"/>
              <w:jc w:val="center"/>
              <w:rPr>
                <w:rFonts w:hint="default" w:eastAsia="宋体"/>
                <w:bCs/>
                <w:color w:val="auto"/>
                <w:sz w:val="22"/>
                <w:szCs w:val="22"/>
                <w:highlight w:val="none"/>
                <w:lang w:val="en-US" w:eastAsia="zh-CN"/>
              </w:rPr>
            </w:pPr>
            <w:r>
              <w:rPr>
                <w:rFonts w:hint="default"/>
                <w:bCs/>
                <w:color w:val="auto"/>
                <w:sz w:val="22"/>
                <w:szCs w:val="22"/>
                <w:highlight w:val="none"/>
              </w:rPr>
              <w:t>废过滤棉</w:t>
            </w:r>
            <w:r>
              <w:rPr>
                <w:rFonts w:hint="eastAsia"/>
                <w:bCs/>
                <w:color w:val="auto"/>
                <w:sz w:val="22"/>
                <w:szCs w:val="22"/>
                <w:highlight w:val="none"/>
                <w:lang w:eastAsia="zh-CN"/>
              </w:rPr>
              <w:t>、</w:t>
            </w:r>
            <w:r>
              <w:rPr>
                <w:rFonts w:hint="eastAsia"/>
                <w:bCs/>
                <w:color w:val="auto"/>
                <w:sz w:val="22"/>
                <w:szCs w:val="22"/>
                <w:highlight w:val="none"/>
                <w:lang w:val="en-US" w:eastAsia="zh-CN"/>
              </w:rPr>
              <w:t>废过滤材料</w:t>
            </w:r>
          </w:p>
        </w:tc>
        <w:tc>
          <w:tcPr>
            <w:tcW w:w="4610" w:type="dxa"/>
            <w:vMerge w:val="restart"/>
            <w:noWrap w:val="0"/>
            <w:vAlign w:val="center"/>
          </w:tcPr>
          <w:p w14:paraId="3F7151F9">
            <w:pPr>
              <w:pStyle w:val="3"/>
              <w:keepNext w:val="0"/>
              <w:keepLines w:val="0"/>
              <w:suppressLineNumbers w:val="0"/>
              <w:snapToGrid w:val="0"/>
              <w:spacing w:before="0" w:beforeAutospacing="0" w:after="0" w:afterAutospacing="0" w:line="240" w:lineRule="auto"/>
              <w:ind w:left="0" w:right="0" w:firstLine="0" w:firstLineChars="0"/>
              <w:jc w:val="center"/>
              <w:textAlignment w:val="auto"/>
              <w:rPr>
                <w:rFonts w:hint="eastAsia" w:eastAsia="宋体"/>
                <w:b w:val="0"/>
                <w:color w:val="auto"/>
                <w:kern w:val="2"/>
                <w:sz w:val="22"/>
                <w:szCs w:val="22"/>
                <w:highlight w:val="none"/>
                <w:lang w:val="en-US" w:eastAsia="zh-CN"/>
              </w:rPr>
            </w:pPr>
            <w:r>
              <w:rPr>
                <w:rFonts w:hint="default"/>
                <w:b w:val="0"/>
                <w:color w:val="auto"/>
                <w:kern w:val="2"/>
                <w:sz w:val="22"/>
                <w:szCs w:val="22"/>
                <w:highlight w:val="none"/>
              </w:rPr>
              <w:t>分类收集后暂存于</w:t>
            </w:r>
            <w:r>
              <w:rPr>
                <w:rFonts w:hint="eastAsia"/>
                <w:b w:val="0"/>
                <w:color w:val="auto"/>
                <w:kern w:val="2"/>
                <w:sz w:val="22"/>
                <w:szCs w:val="22"/>
                <w:highlight w:val="none"/>
                <w:lang w:val="en-US" w:eastAsia="zh-CN"/>
              </w:rPr>
              <w:t>2座</w:t>
            </w:r>
            <w:r>
              <w:rPr>
                <w:rFonts w:hint="default"/>
                <w:b w:val="0"/>
                <w:color w:val="auto"/>
                <w:kern w:val="2"/>
                <w:sz w:val="22"/>
                <w:szCs w:val="22"/>
                <w:highlight w:val="none"/>
              </w:rPr>
              <w:t>危险废物</w:t>
            </w:r>
            <w:r>
              <w:rPr>
                <w:rFonts w:hint="eastAsia"/>
                <w:b w:val="0"/>
                <w:color w:val="auto"/>
                <w:kern w:val="2"/>
                <w:sz w:val="22"/>
                <w:szCs w:val="22"/>
                <w:highlight w:val="none"/>
                <w:lang w:val="en-US" w:eastAsia="zh-CN"/>
              </w:rPr>
              <w:t>贮存库内</w:t>
            </w:r>
            <w:r>
              <w:rPr>
                <w:rFonts w:hint="default"/>
                <w:b w:val="0"/>
                <w:color w:val="auto"/>
                <w:kern w:val="2"/>
                <w:sz w:val="22"/>
                <w:szCs w:val="22"/>
                <w:highlight w:val="none"/>
              </w:rPr>
              <w:t>，定期交有资质的单位</w:t>
            </w:r>
            <w:r>
              <w:rPr>
                <w:rFonts w:hint="eastAsia"/>
                <w:b w:val="0"/>
                <w:color w:val="auto"/>
                <w:kern w:val="2"/>
                <w:sz w:val="22"/>
                <w:szCs w:val="22"/>
                <w:highlight w:val="none"/>
                <w:lang w:val="en-US" w:eastAsia="zh-CN"/>
              </w:rPr>
              <w:t>处置</w:t>
            </w:r>
          </w:p>
        </w:tc>
        <w:tc>
          <w:tcPr>
            <w:tcW w:w="4085" w:type="dxa"/>
            <w:vMerge w:val="continue"/>
            <w:noWrap w:val="0"/>
            <w:vAlign w:val="center"/>
          </w:tcPr>
          <w:p w14:paraId="353D444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00AF2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3E16393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1B547AB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1CAE013C">
            <w:pPr>
              <w:keepNext w:val="0"/>
              <w:keepLines w:val="0"/>
              <w:suppressLineNumbers w:val="0"/>
              <w:adjustRightInd w:val="0"/>
              <w:snapToGrid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废活性炭</w:t>
            </w:r>
          </w:p>
        </w:tc>
        <w:tc>
          <w:tcPr>
            <w:tcW w:w="4610" w:type="dxa"/>
            <w:vMerge w:val="continue"/>
            <w:noWrap w:val="0"/>
            <w:vAlign w:val="center"/>
          </w:tcPr>
          <w:p w14:paraId="468CDBD0">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29C6377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0516E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28C2EC5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59BF0068">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433865CC">
            <w:pPr>
              <w:keepNext w:val="0"/>
              <w:keepLines w:val="0"/>
              <w:suppressLineNumbers w:val="0"/>
              <w:adjustRightInd w:val="0"/>
              <w:snapToGrid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废紫外灯管</w:t>
            </w:r>
          </w:p>
        </w:tc>
        <w:tc>
          <w:tcPr>
            <w:tcW w:w="4610" w:type="dxa"/>
            <w:vMerge w:val="continue"/>
            <w:noWrap w:val="0"/>
            <w:vAlign w:val="center"/>
          </w:tcPr>
          <w:p w14:paraId="17043EB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0721D02A">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38970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1F759F5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3D9E7EA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4D4CD8FC">
            <w:pPr>
              <w:keepNext w:val="0"/>
              <w:keepLines w:val="0"/>
              <w:suppressLineNumbers w:val="0"/>
              <w:adjustRightInd w:val="0"/>
              <w:snapToGrid w:val="0"/>
              <w:spacing w:before="0" w:beforeAutospacing="0" w:after="0" w:afterAutospacing="0"/>
              <w:ind w:left="0" w:right="0"/>
              <w:jc w:val="center"/>
              <w:rPr>
                <w:rFonts w:hint="default"/>
                <w:bCs/>
                <w:color w:val="auto"/>
                <w:sz w:val="22"/>
                <w:szCs w:val="22"/>
                <w:highlight w:val="none"/>
              </w:rPr>
            </w:pPr>
            <w:r>
              <w:rPr>
                <w:rFonts w:hint="default"/>
                <w:color w:val="auto"/>
                <w:sz w:val="22"/>
                <w:szCs w:val="22"/>
                <w:highlight w:val="none"/>
              </w:rPr>
              <w:t>废液压油</w:t>
            </w:r>
          </w:p>
        </w:tc>
        <w:tc>
          <w:tcPr>
            <w:tcW w:w="4610" w:type="dxa"/>
            <w:vMerge w:val="continue"/>
            <w:noWrap w:val="0"/>
            <w:vAlign w:val="center"/>
          </w:tcPr>
          <w:p w14:paraId="2DAAD808">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4CA1A89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4525A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3CE5981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20E7ABD2">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213FEE47">
            <w:pPr>
              <w:keepNext w:val="0"/>
              <w:keepLines w:val="0"/>
              <w:suppressLineNumbers w:val="0"/>
              <w:adjustRightInd w:val="0"/>
              <w:snapToGrid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废机油</w:t>
            </w:r>
          </w:p>
        </w:tc>
        <w:tc>
          <w:tcPr>
            <w:tcW w:w="4610" w:type="dxa"/>
            <w:vMerge w:val="continue"/>
            <w:noWrap w:val="0"/>
            <w:vAlign w:val="center"/>
          </w:tcPr>
          <w:p w14:paraId="22D04BE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5FA6DB0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24A39A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3B028574">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727C9B98">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1D60B20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bCs/>
                <w:color w:val="auto"/>
                <w:sz w:val="22"/>
                <w:szCs w:val="22"/>
                <w:highlight w:val="none"/>
              </w:rPr>
              <w:t>废油桶</w:t>
            </w:r>
          </w:p>
        </w:tc>
        <w:tc>
          <w:tcPr>
            <w:tcW w:w="4610" w:type="dxa"/>
            <w:vMerge w:val="continue"/>
            <w:noWrap w:val="0"/>
            <w:vAlign w:val="center"/>
          </w:tcPr>
          <w:p w14:paraId="214DD8CB">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26B91A0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6C23A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257174C2">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58DFD31A">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25AE5FD2">
            <w:pPr>
              <w:keepNext w:val="0"/>
              <w:keepLines w:val="0"/>
              <w:suppressLineNumbers w:val="0"/>
              <w:spacing w:before="0" w:beforeAutospacing="0" w:after="0" w:afterAutospacing="0"/>
              <w:ind w:left="0" w:right="0"/>
              <w:jc w:val="center"/>
              <w:rPr>
                <w:rFonts w:hint="default"/>
                <w:bCs/>
                <w:color w:val="auto"/>
                <w:sz w:val="22"/>
                <w:szCs w:val="22"/>
                <w:highlight w:val="none"/>
              </w:rPr>
            </w:pPr>
            <w:r>
              <w:rPr>
                <w:rFonts w:hint="default"/>
                <w:bCs/>
                <w:color w:val="auto"/>
                <w:sz w:val="22"/>
                <w:szCs w:val="22"/>
                <w:highlight w:val="none"/>
              </w:rPr>
              <w:t>废弃含油抹布、劳保用品</w:t>
            </w:r>
          </w:p>
        </w:tc>
        <w:tc>
          <w:tcPr>
            <w:tcW w:w="4610" w:type="dxa"/>
            <w:vMerge w:val="continue"/>
            <w:noWrap w:val="0"/>
            <w:vAlign w:val="center"/>
          </w:tcPr>
          <w:p w14:paraId="674EE806">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0BE8D0D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32487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4B7BB1EC">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7F22A4D5">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04DC5B2C">
            <w:pPr>
              <w:keepNext w:val="0"/>
              <w:keepLines w:val="0"/>
              <w:suppressLineNumbers w:val="0"/>
              <w:spacing w:before="0" w:beforeAutospacing="0" w:after="0" w:afterAutospacing="0"/>
              <w:ind w:left="0" w:right="0"/>
              <w:jc w:val="center"/>
              <w:rPr>
                <w:rFonts w:hint="eastAsia" w:eastAsia="宋体"/>
                <w:bCs/>
                <w:color w:val="auto"/>
                <w:sz w:val="22"/>
                <w:szCs w:val="22"/>
                <w:highlight w:val="none"/>
                <w:lang w:val="en-US" w:eastAsia="zh-CN"/>
              </w:rPr>
            </w:pPr>
            <w:r>
              <w:rPr>
                <w:rFonts w:hint="eastAsia"/>
                <w:bCs/>
                <w:color w:val="auto"/>
                <w:sz w:val="22"/>
                <w:szCs w:val="22"/>
                <w:highlight w:val="none"/>
                <w:lang w:val="en-US" w:eastAsia="zh-CN"/>
              </w:rPr>
              <w:t>浮渣（铝灰渣）</w:t>
            </w:r>
          </w:p>
        </w:tc>
        <w:tc>
          <w:tcPr>
            <w:tcW w:w="4610" w:type="dxa"/>
            <w:vMerge w:val="continue"/>
            <w:noWrap w:val="0"/>
            <w:vAlign w:val="center"/>
          </w:tcPr>
          <w:p w14:paraId="1A46EBDE">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68AFA123">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5A7C8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vMerge w:val="continue"/>
            <w:noWrap w:val="0"/>
            <w:vAlign w:val="center"/>
          </w:tcPr>
          <w:p w14:paraId="715266D7">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1759" w:type="dxa"/>
            <w:vMerge w:val="continue"/>
            <w:noWrap w:val="0"/>
            <w:vAlign w:val="center"/>
          </w:tcPr>
          <w:p w14:paraId="74CF2A4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2445" w:type="dxa"/>
            <w:gridSpan w:val="2"/>
            <w:noWrap w:val="0"/>
            <w:vAlign w:val="center"/>
          </w:tcPr>
          <w:p w14:paraId="5525CA55">
            <w:pPr>
              <w:keepNext w:val="0"/>
              <w:keepLines w:val="0"/>
              <w:suppressLineNumbers w:val="0"/>
              <w:spacing w:before="0" w:beforeAutospacing="0" w:after="0" w:afterAutospacing="0"/>
              <w:ind w:left="0" w:right="0"/>
              <w:jc w:val="center"/>
              <w:rPr>
                <w:rFonts w:hint="default" w:eastAsia="宋体"/>
                <w:bCs/>
                <w:color w:val="auto"/>
                <w:sz w:val="22"/>
                <w:szCs w:val="22"/>
                <w:highlight w:val="none"/>
                <w:lang w:val="en-US" w:eastAsia="zh-CN"/>
              </w:rPr>
            </w:pPr>
            <w:r>
              <w:rPr>
                <w:rFonts w:hint="eastAsia"/>
                <w:bCs/>
                <w:color w:val="auto"/>
                <w:sz w:val="22"/>
                <w:szCs w:val="22"/>
                <w:highlight w:val="none"/>
                <w:lang w:val="en-US" w:eastAsia="zh-CN"/>
              </w:rPr>
              <w:t>除尘灰（铝灰）</w:t>
            </w:r>
          </w:p>
        </w:tc>
        <w:tc>
          <w:tcPr>
            <w:tcW w:w="4610" w:type="dxa"/>
            <w:vMerge w:val="continue"/>
            <w:noWrap w:val="0"/>
            <w:vAlign w:val="center"/>
          </w:tcPr>
          <w:p w14:paraId="244117C9">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c>
          <w:tcPr>
            <w:tcW w:w="4085" w:type="dxa"/>
            <w:vMerge w:val="continue"/>
            <w:noWrap w:val="0"/>
            <w:vAlign w:val="center"/>
          </w:tcPr>
          <w:p w14:paraId="7150D31A">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p>
        </w:tc>
      </w:tr>
      <w:tr w14:paraId="278A4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noWrap w:val="0"/>
            <w:vAlign w:val="center"/>
          </w:tcPr>
          <w:p w14:paraId="0D211E94">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土壤及地下水污染防治措施</w:t>
            </w:r>
          </w:p>
        </w:tc>
        <w:tc>
          <w:tcPr>
            <w:tcW w:w="12899" w:type="dxa"/>
            <w:gridSpan w:val="5"/>
            <w:noWrap w:val="0"/>
            <w:vAlign w:val="center"/>
          </w:tcPr>
          <w:p w14:paraId="211E5427">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rPr>
              <w:t>①</w:t>
            </w:r>
            <w:r>
              <w:rPr>
                <w:rFonts w:hint="default"/>
                <w:color w:val="auto"/>
                <w:sz w:val="22"/>
                <w:szCs w:val="22"/>
                <w:highlight w:val="none"/>
              </w:rPr>
              <w:t>按照“源头控制、分区防控、污染监控、应急响应”原则，将项目所在区域划分为重点防渗区、一般防渗区。</w:t>
            </w:r>
          </w:p>
          <w:p w14:paraId="35B58A33">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rPr>
              <w:t>②</w:t>
            </w:r>
            <w:r>
              <w:rPr>
                <w:rFonts w:hint="default"/>
                <w:color w:val="auto"/>
                <w:sz w:val="22"/>
                <w:szCs w:val="22"/>
                <w:highlight w:val="none"/>
              </w:rPr>
              <w:t>建立土壤和地下水污染隐患排查治理制度，定期对重点区域，重点设施开展隐患排查。发现污染隐患的，应当制定整改方案，及时采取技术、治理措施消除隐患。隐患排查、治理情况应当如实记录并建立档案。</w:t>
            </w:r>
          </w:p>
          <w:p w14:paraId="4B106AD1">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rPr>
              <w:t>③</w:t>
            </w:r>
            <w:r>
              <w:rPr>
                <w:rFonts w:hint="default"/>
                <w:color w:val="auto"/>
                <w:sz w:val="22"/>
                <w:szCs w:val="22"/>
                <w:highlight w:val="none"/>
              </w:rPr>
              <w:t>厂区内</w:t>
            </w:r>
            <w:r>
              <w:rPr>
                <w:rFonts w:hint="default"/>
                <w:snapToGrid w:val="0"/>
                <w:color w:val="auto"/>
                <w:sz w:val="22"/>
                <w:szCs w:val="22"/>
                <w:highlight w:val="none"/>
              </w:rPr>
              <w:t>危险废物贮存库、浸胶生产区、油料暂存区、辅料库房、离合器清洗区、隔油池、生产废水预处理设施、“中和+隔油”处理设施</w:t>
            </w:r>
            <w:r>
              <w:rPr>
                <w:rFonts w:hint="default"/>
                <w:color w:val="auto"/>
                <w:sz w:val="22"/>
                <w:szCs w:val="22"/>
                <w:highlight w:val="none"/>
              </w:rPr>
              <w:t>等存在土壤、地下水污染风险的设施进行重点防渗处理（等效黏土防渗层Mb≥6.0m，K≤1.0×10</w:t>
            </w:r>
            <w:r>
              <w:rPr>
                <w:rFonts w:hint="default"/>
                <w:color w:val="auto"/>
                <w:sz w:val="22"/>
                <w:szCs w:val="22"/>
                <w:highlight w:val="none"/>
                <w:vertAlign w:val="superscript"/>
              </w:rPr>
              <w:t>-7</w:t>
            </w:r>
            <w:r>
              <w:rPr>
                <w:rFonts w:hint="default"/>
                <w:color w:val="auto"/>
                <w:sz w:val="22"/>
                <w:szCs w:val="22"/>
                <w:highlight w:val="none"/>
              </w:rPr>
              <w:t>cm/s），生产车间除重点防渗区外的区域进行一般防渗处理，防止有毒有害物质污染土壤和地下水。</w:t>
            </w:r>
          </w:p>
        </w:tc>
      </w:tr>
      <w:tr w14:paraId="483499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noWrap w:val="0"/>
            <w:vAlign w:val="center"/>
          </w:tcPr>
          <w:p w14:paraId="7995D9AF">
            <w:pPr>
              <w:keepNext w:val="0"/>
              <w:keepLines w:val="0"/>
              <w:suppressLineNumbers w:val="0"/>
              <w:adjustRightInd w:val="0"/>
              <w:snapToGrid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生态保护措施</w:t>
            </w:r>
          </w:p>
        </w:tc>
        <w:tc>
          <w:tcPr>
            <w:tcW w:w="12899" w:type="dxa"/>
            <w:gridSpan w:val="5"/>
            <w:noWrap w:val="0"/>
            <w:vAlign w:val="center"/>
          </w:tcPr>
          <w:p w14:paraId="5F30B8AF">
            <w:pPr>
              <w:keepNext w:val="0"/>
              <w:keepLines w:val="0"/>
              <w:suppressLineNumbers w:val="0"/>
              <w:adjustRightInd w:val="0"/>
              <w:snapToGrid w:val="0"/>
              <w:spacing w:before="0" w:beforeAutospacing="0" w:after="0" w:afterAutospacing="0"/>
              <w:ind w:left="0" w:right="0"/>
              <w:jc w:val="center"/>
              <w:rPr>
                <w:rFonts w:hint="eastAsia" w:eastAsia="宋体"/>
                <w:color w:val="auto"/>
                <w:sz w:val="22"/>
                <w:szCs w:val="22"/>
                <w:highlight w:val="none"/>
                <w:lang w:val="en-US" w:eastAsia="zh-CN"/>
              </w:rPr>
            </w:pPr>
            <w:r>
              <w:rPr>
                <w:rFonts w:hint="eastAsia"/>
                <w:color w:val="auto"/>
                <w:sz w:val="22"/>
                <w:szCs w:val="22"/>
                <w:highlight w:val="none"/>
                <w:lang w:val="en-US" w:eastAsia="zh-CN"/>
              </w:rPr>
              <w:t>不涉及</w:t>
            </w:r>
          </w:p>
        </w:tc>
      </w:tr>
      <w:tr w14:paraId="3EAEE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noWrap w:val="0"/>
            <w:vAlign w:val="center"/>
          </w:tcPr>
          <w:p w14:paraId="6766DD5B">
            <w:pPr>
              <w:keepNext w:val="0"/>
              <w:keepLines w:val="0"/>
              <w:suppressLineNumbers w:val="0"/>
              <w:adjustRightInd w:val="0"/>
              <w:snapToGrid w:val="0"/>
              <w:spacing w:before="0" w:beforeAutospacing="0" w:after="0" w:afterAutospacing="0"/>
              <w:ind w:left="0" w:right="0"/>
              <w:jc w:val="center"/>
              <w:rPr>
                <w:rFonts w:hint="default"/>
                <w:color w:val="auto"/>
                <w:spacing w:val="-8"/>
                <w:sz w:val="22"/>
                <w:szCs w:val="22"/>
                <w:highlight w:val="none"/>
              </w:rPr>
            </w:pPr>
            <w:r>
              <w:rPr>
                <w:rFonts w:hint="default"/>
                <w:color w:val="auto"/>
                <w:spacing w:val="-8"/>
                <w:sz w:val="22"/>
                <w:szCs w:val="22"/>
                <w:highlight w:val="none"/>
              </w:rPr>
              <w:t>环境风险防范措施</w:t>
            </w:r>
          </w:p>
        </w:tc>
        <w:tc>
          <w:tcPr>
            <w:tcW w:w="12899" w:type="dxa"/>
            <w:gridSpan w:val="5"/>
            <w:noWrap w:val="0"/>
            <w:vAlign w:val="center"/>
          </w:tcPr>
          <w:p w14:paraId="1C71DB0A">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1）配套金属粉尘的防爆措施：抛丸、磨加工设备安装有效的局部排风除尘系统，在所有产尘点设置吸风罩，确保粉尘被及时抽走，选用符合国家防爆标准、具有泄爆、隔爆或抑爆装置的集尘设备，配套使用防爆的除尘系统，除尘管道设计应避免死角，减少粉尘积聚，在管道和设备连接处安装隔爆阀。2号厂房内尤其抛丸、磨加工区域必须使用符合标准的防爆电气设备（如防爆电机、防爆开关、防爆灯具）。定期检查设备，防止因部件磨损、脱落或松动而产生摩擦碰撞火花。对所有相关员工进行铝镁粉尘爆炸危险性、安全操作规程和应急响应的定期培训，使其认识到风险并掌握防范技能。 在危险区域设置明确的警示标识，如“粉尘爆炸危险区</w:t>
            </w:r>
            <w:r>
              <w:rPr>
                <w:rFonts w:hint="eastAsia"/>
                <w:color w:val="auto"/>
                <w:sz w:val="22"/>
                <w:szCs w:val="22"/>
                <w:highlight w:val="none"/>
                <w:lang w:eastAsia="zh-CN"/>
              </w:rPr>
              <w:t>”“</w:t>
            </w:r>
            <w:r>
              <w:rPr>
                <w:rFonts w:hint="default"/>
                <w:color w:val="auto"/>
                <w:sz w:val="22"/>
                <w:szCs w:val="22"/>
                <w:highlight w:val="none"/>
              </w:rPr>
              <w:t>禁止明火</w:t>
            </w:r>
            <w:r>
              <w:rPr>
                <w:rFonts w:hint="eastAsia"/>
                <w:color w:val="auto"/>
                <w:sz w:val="22"/>
                <w:szCs w:val="22"/>
                <w:highlight w:val="none"/>
                <w:lang w:eastAsia="zh-CN"/>
              </w:rPr>
              <w:t>”“</w:t>
            </w:r>
            <w:r>
              <w:rPr>
                <w:rFonts w:hint="default"/>
                <w:color w:val="auto"/>
                <w:sz w:val="22"/>
                <w:szCs w:val="22"/>
                <w:highlight w:val="none"/>
              </w:rPr>
              <w:t>必须防静电”等。</w:t>
            </w:r>
          </w:p>
          <w:p w14:paraId="1332F67F">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（2）防静电、防明火：厂房内生产区地面应按要求采取硬化处理，厂区内禁止明火。所有设备、管道、集尘器必须可靠接地，工作地面采用导电地面，员工穿戴防静电服和鞋，使用抗静电材料的工具和风管。</w:t>
            </w:r>
          </w:p>
          <w:p w14:paraId="08F58CF1">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（3）2号厂房设置可燃气体检测报警器；凡容易发生事故或危及生命安全的场所、设备以及需要提醒操作人员注意的地方，应设置安全标志；配备足够的急救药品和现场救援器材、设备。</w:t>
            </w:r>
          </w:p>
          <w:p w14:paraId="499B074C">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4）对2号厂房及贮存铝灰渣的危险废物贮存库定期检查以确保屋顶、门窗密封良好，防止雨水渗入，从而避免水与设备、铝灰渣、车间内悬浮的粉尘直接接触产生氢气，车间加强通风。危废贮存库涉及镁锌铝合金产生的铝灰渣及除尘灰的贮存，应对危险废物贮存库增加废气收集系统及废气治理设施，确保危废库始终保持微负压，防止含氢、含粉尘的气体在室内积聚；并通过严格防潮防水的贮存措施，从根本上抑制氢气的产生。采用防爆、防静电的收集系统。末端治理的工艺上先干法除尘后干法净化，严禁用水，并全程配备安全监控与泄爆设施。</w:t>
            </w:r>
          </w:p>
          <w:p w14:paraId="6359B3E6">
            <w:pPr>
              <w:keepNext w:val="0"/>
              <w:keepLines w:val="0"/>
              <w:suppressLineNumbers w:val="0"/>
              <w:adjustRightInd w:val="0"/>
              <w:snapToGrid w:val="0"/>
              <w:spacing w:before="0" w:beforeAutospacing="0" w:after="0" w:afterAutospacing="0"/>
              <w:ind w:left="0" w:right="0"/>
              <w:rPr>
                <w:rFonts w:hint="default"/>
                <w:color w:val="auto"/>
                <w:sz w:val="22"/>
                <w:szCs w:val="22"/>
                <w:highlight w:val="none"/>
              </w:rPr>
            </w:pPr>
            <w:r>
              <w:rPr>
                <w:rFonts w:hint="default"/>
                <w:color w:val="auto"/>
                <w:sz w:val="22"/>
                <w:szCs w:val="22"/>
                <w:highlight w:val="none"/>
              </w:rPr>
              <w:t>（5）危废贮存库、辅料房、油料暂存间、离合器清洗区以及浸胶区采用防雨、防风、防晒、防渗漏措施，液体物料下方设置托盘，危废暂存区内堆放一定量的棉纱、砂石等，发生泄漏事故及时采用棉纱或砂纸进行吸附处理。</w:t>
            </w:r>
          </w:p>
        </w:tc>
      </w:tr>
      <w:tr w14:paraId="2CEB2A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8" w:type="dxa"/>
            <w:gridSpan w:val="2"/>
            <w:noWrap w:val="0"/>
            <w:vAlign w:val="center"/>
          </w:tcPr>
          <w:p w14:paraId="23B61F78">
            <w:pPr>
              <w:keepNext w:val="0"/>
              <w:keepLines w:val="0"/>
              <w:suppressLineNumbers w:val="0"/>
              <w:adjustRightInd w:val="0"/>
              <w:snapToGrid w:val="0"/>
              <w:spacing w:before="0" w:beforeAutospacing="0" w:after="0" w:afterAutospacing="0"/>
              <w:ind w:left="0" w:right="0"/>
              <w:jc w:val="center"/>
              <w:rPr>
                <w:rFonts w:hint="default"/>
                <w:color w:val="auto"/>
                <w:spacing w:val="-8"/>
                <w:sz w:val="22"/>
                <w:szCs w:val="22"/>
                <w:highlight w:val="none"/>
              </w:rPr>
            </w:pPr>
            <w:r>
              <w:rPr>
                <w:rFonts w:hint="default"/>
                <w:color w:val="auto"/>
                <w:spacing w:val="-8"/>
                <w:sz w:val="22"/>
                <w:szCs w:val="22"/>
                <w:highlight w:val="none"/>
              </w:rPr>
              <w:t>其他环境管理要求</w:t>
            </w:r>
          </w:p>
        </w:tc>
        <w:tc>
          <w:tcPr>
            <w:tcW w:w="12899" w:type="dxa"/>
            <w:gridSpan w:val="5"/>
            <w:noWrap w:val="0"/>
            <w:vAlign w:val="center"/>
          </w:tcPr>
          <w:p w14:paraId="6CC02477">
            <w:pPr>
              <w:keepNext w:val="0"/>
              <w:keepLines w:val="0"/>
              <w:numPr>
                <w:ilvl w:val="0"/>
                <w:numId w:val="0"/>
              </w:numPr>
              <w:suppressLineNumbers w:val="0"/>
              <w:adjustRightInd w:val="0"/>
              <w:snapToGrid w:val="0"/>
              <w:spacing w:before="0" w:beforeAutospacing="0" w:after="0" w:afterAutospacing="0"/>
              <w:ind w:left="0" w:leftChars="0" w:right="0" w:rightChars="0"/>
              <w:jc w:val="both"/>
              <w:rPr>
                <w:rFonts w:hint="default"/>
                <w:b/>
                <w:bCs/>
                <w:color w:val="auto"/>
                <w:sz w:val="22"/>
                <w:szCs w:val="22"/>
                <w:highlight w:val="none"/>
              </w:rPr>
            </w:pPr>
            <w:r>
              <w:rPr>
                <w:rFonts w:hint="eastAsia" w:ascii="Times New Roman" w:hAnsi="Times New Roman" w:eastAsia="宋体" w:cs="Times New Roman"/>
                <w:b/>
                <w:bCs/>
                <w:color w:val="auto"/>
                <w:kern w:val="2"/>
                <w:sz w:val="22"/>
                <w:szCs w:val="22"/>
                <w:lang w:val="en-US" w:eastAsia="zh-CN" w:bidi="ar-SA"/>
              </w:rPr>
              <w:t>（一）</w:t>
            </w:r>
            <w:r>
              <w:rPr>
                <w:rFonts w:hint="eastAsia"/>
                <w:b/>
                <w:bCs/>
                <w:color w:val="auto"/>
                <w:sz w:val="22"/>
                <w:szCs w:val="22"/>
                <w:highlight w:val="none"/>
                <w:lang w:val="en-US" w:eastAsia="zh-CN"/>
              </w:rPr>
              <w:t>环境管理要求、环境信息公开要求：</w:t>
            </w:r>
          </w:p>
          <w:p w14:paraId="095E061A">
            <w:pPr>
              <w:keepNext w:val="0"/>
              <w:keepLines w:val="0"/>
              <w:numPr>
                <w:ilvl w:val="0"/>
                <w:numId w:val="0"/>
              </w:numPr>
              <w:suppressLineNumbers w:val="0"/>
              <w:adjustRightInd w:val="0"/>
              <w:snapToGrid w:val="0"/>
              <w:spacing w:before="0" w:beforeAutospacing="0" w:after="0" w:afterAutospacing="0"/>
              <w:ind w:left="0" w:right="0" w:rightChars="0"/>
              <w:jc w:val="both"/>
              <w:rPr>
                <w:rFonts w:hint="default"/>
                <w:color w:val="auto"/>
                <w:sz w:val="22"/>
                <w:szCs w:val="22"/>
                <w:highlight w:val="none"/>
              </w:rPr>
            </w:pPr>
            <w:r>
              <w:rPr>
                <w:rFonts w:hint="default"/>
                <w:color w:val="auto"/>
                <w:sz w:val="22"/>
                <w:szCs w:val="22"/>
                <w:highlight w:val="none"/>
              </w:rPr>
              <w:t>加强操作人员安全生产和环境保护知识，制定严格的安全环保操作规程防止意外事故的发生；按规定办理排污许可证，按照危废管理类别建立危废台账，建立废气治理设施运行制度，建立废气治理设施运行台账，定期检修废气治理设施，保证废气治理设施正常运行，确保达标排放；按照相关规定设置标识标牌；按照《《排污许可证申请与核发技术规范 铁路、船舶、航空航天和其他运输设备制造业》（HJ1124-2020）、《排污单位自行监测技术指南 金属铸造工业》（HJ 1251-2022）、《排污许可证申请与核发  技术规范 金属铸造工业》（HJ1115-2020）、《排污许可证申请与核发技术规范 橡胶和塑料制品工业》（HJ1122-2020）、《排污单位自行监测技术指南 橡胶和塑料制品》（HJ1207-2021）、《企业事业单位环境信息公开办法》（环境保护部令 第31号）要求开展日常环境监管及信息公开。按照环保相关要求组织生产和经营，运营期若发生因本项目导致的环保投诉事件，自愿承担相应责任，采取停产整改等方式进行处理。</w:t>
            </w:r>
          </w:p>
          <w:p w14:paraId="2DA0EA46">
            <w:pPr>
              <w:keepNext w:val="0"/>
              <w:keepLines w:val="0"/>
              <w:numPr>
                <w:ilvl w:val="0"/>
                <w:numId w:val="0"/>
              </w:numPr>
              <w:suppressLineNumbers w:val="0"/>
              <w:adjustRightInd w:val="0"/>
              <w:snapToGrid w:val="0"/>
              <w:spacing w:before="0" w:beforeAutospacing="0" w:after="0" w:afterAutospacing="0"/>
              <w:ind w:left="0" w:leftChars="0" w:right="0" w:rightChars="0"/>
              <w:jc w:val="both"/>
              <w:rPr>
                <w:rFonts w:hint="default"/>
                <w:b/>
                <w:bCs/>
                <w:color w:val="auto"/>
                <w:sz w:val="22"/>
                <w:szCs w:val="22"/>
                <w:highlight w:val="none"/>
              </w:rPr>
            </w:pPr>
            <w:r>
              <w:rPr>
                <w:rFonts w:hint="eastAsia" w:ascii="Times New Roman" w:hAnsi="Times New Roman" w:eastAsia="宋体" w:cs="Times New Roman"/>
                <w:b/>
                <w:bCs/>
                <w:color w:val="auto"/>
                <w:kern w:val="2"/>
                <w:sz w:val="22"/>
                <w:szCs w:val="22"/>
                <w:lang w:val="en-US" w:eastAsia="zh-CN" w:bidi="ar-SA"/>
              </w:rPr>
              <w:t>（二）</w:t>
            </w:r>
            <w:r>
              <w:rPr>
                <w:rFonts w:hint="eastAsia"/>
                <w:b/>
                <w:bCs/>
                <w:color w:val="auto"/>
                <w:sz w:val="22"/>
                <w:szCs w:val="22"/>
                <w:highlight w:val="none"/>
                <w:lang w:val="en-US" w:eastAsia="zh-CN"/>
              </w:rPr>
              <w:t>厂区内已建内容的环境问题及整改要求：</w:t>
            </w:r>
          </w:p>
          <w:p w14:paraId="7A52FEB4">
            <w:pPr>
              <w:keepNext w:val="0"/>
              <w:keepLines w:val="0"/>
              <w:numPr>
                <w:ilvl w:val="0"/>
                <w:numId w:val="2"/>
              </w:numPr>
              <w:suppressLineNumbers w:val="0"/>
              <w:adjustRightInd w:val="0"/>
              <w:snapToGrid w:val="0"/>
              <w:spacing w:before="0" w:beforeAutospacing="0" w:after="0" w:afterAutospacing="0"/>
              <w:ind w:left="0" w:right="0" w:rightChars="0"/>
              <w:jc w:val="both"/>
              <w:rPr>
                <w:rFonts w:hint="eastAsia"/>
                <w:color w:val="auto"/>
                <w:sz w:val="22"/>
                <w:szCs w:val="22"/>
                <w:highlight w:val="none"/>
                <w:lang w:val="en-US" w:eastAsia="zh-CN"/>
              </w:rPr>
            </w:pPr>
            <w:r>
              <w:rPr>
                <w:rFonts w:hint="eastAsia"/>
                <w:color w:val="auto"/>
                <w:sz w:val="22"/>
                <w:szCs w:val="22"/>
                <w:highlight w:val="none"/>
                <w:lang w:val="en-US" w:eastAsia="zh-CN"/>
              </w:rPr>
              <w:t>厂区内现阶段未建设酸碱中和池，无法实现清洗废水的预处理后达到间接排放标准或进水水质标准；因此本次提出整改要求：新建1座酸碱中和+隔油设施。</w:t>
            </w:r>
          </w:p>
          <w:p w14:paraId="19B1A564">
            <w:pPr>
              <w:keepNext w:val="0"/>
              <w:keepLines w:val="0"/>
              <w:numPr>
                <w:ilvl w:val="0"/>
                <w:numId w:val="2"/>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eastAsia"/>
                <w:color w:val="auto"/>
                <w:sz w:val="22"/>
                <w:szCs w:val="22"/>
                <w:highlight w:val="none"/>
                <w:lang w:val="en-US" w:eastAsia="zh-CN"/>
              </w:rPr>
              <w:t>油料暂存区未规范贮存、未完善重点防渗措施，本次提出整改要求：油料暂存区进行重点防渗、并规范存放。</w:t>
            </w:r>
          </w:p>
          <w:p w14:paraId="5C4DF5DB">
            <w:pPr>
              <w:keepNext w:val="0"/>
              <w:keepLines w:val="0"/>
              <w:numPr>
                <w:ilvl w:val="0"/>
                <w:numId w:val="2"/>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eastAsia"/>
                <w:color w:val="auto"/>
                <w:sz w:val="22"/>
                <w:szCs w:val="22"/>
                <w:highlight w:val="none"/>
                <w:lang w:val="en-US" w:eastAsia="zh-CN"/>
              </w:rPr>
              <w:t>压铸脱模废气的已建治理设施为“过滤棉+两级活性炭吸附”，由于脱模剂与水配比后脱模废气中含湿量较大（水蒸气），未考虑活性炭箱前除湿措施，本次提出整改要求：活性炭箱前增加除湿装置（改造为“过滤棉+除湿装置+两级活性炭吸附”），确保不影响活性炭的使用效果。</w:t>
            </w:r>
          </w:p>
          <w:p w14:paraId="4C3C44BF">
            <w:pPr>
              <w:keepNext w:val="0"/>
              <w:keepLines w:val="0"/>
              <w:numPr>
                <w:ilvl w:val="0"/>
                <w:numId w:val="2"/>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eastAsia"/>
                <w:color w:val="auto"/>
                <w:sz w:val="22"/>
                <w:szCs w:val="22"/>
                <w:highlight w:val="none"/>
                <w:lang w:val="en-US" w:eastAsia="zh-CN"/>
              </w:rPr>
              <w:t>抛丸、磨加工的粉尘收集系统、管路、治理设施未考虑防爆设计，本次提出要求对其进行防爆设计改造。</w:t>
            </w:r>
          </w:p>
          <w:p w14:paraId="7B22AC8C">
            <w:pPr>
              <w:keepNext w:val="0"/>
              <w:keepLines w:val="0"/>
              <w:numPr>
                <w:ilvl w:val="0"/>
                <w:numId w:val="2"/>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eastAsia"/>
                <w:color w:val="auto"/>
                <w:sz w:val="22"/>
                <w:szCs w:val="22"/>
                <w:highlight w:val="none"/>
                <w:lang w:val="en-US" w:eastAsia="zh-CN"/>
              </w:rPr>
              <w:t>搅拌、挤压产生的配套废气治理设施为“UV+单级活性炭吸附”，不满足现有环保要求，本次提出措施整改要求，将其改造为“滤筒除尘+两级活性炭吸附”。</w:t>
            </w:r>
          </w:p>
          <w:p w14:paraId="3D349E0C">
            <w:pPr>
              <w:keepNext w:val="0"/>
              <w:keepLines w:val="0"/>
              <w:numPr>
                <w:ilvl w:val="0"/>
                <w:numId w:val="2"/>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eastAsia"/>
                <w:color w:val="auto"/>
                <w:sz w:val="22"/>
                <w:szCs w:val="22"/>
                <w:highlight w:val="none"/>
                <w:lang w:val="en-US" w:eastAsia="zh-CN"/>
              </w:rPr>
              <w:t>现有危险废物贮存库不完全满足《危险废物贮存污染控制标准》（GB18597-2023）的相关要求，不同贮存分区之间未采取隔离措施、涉及液态危险废物贮存未配套设置堵截设施，本次提出整改要求：1）由于涉及液态危险废物的贮存，危险废物贮存库应设置液体泄漏堵截设施，堵截设施最小容积不应低于对应贮存区域最大液态废物容器容积或液态废物总储量1/10（二者取较大者）；2）贮存库内不同贮存分区之间应采取隔离措施。隔离措施可根据危险废物特性采用过道、隔板或隔墙等方式。</w:t>
            </w:r>
          </w:p>
          <w:p w14:paraId="0A48D4D1">
            <w:pPr>
              <w:keepNext w:val="0"/>
              <w:keepLines w:val="0"/>
              <w:numPr>
                <w:ilvl w:val="0"/>
                <w:numId w:val="2"/>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eastAsia"/>
                <w:color w:val="auto"/>
                <w:sz w:val="22"/>
                <w:szCs w:val="22"/>
                <w:highlight w:val="none"/>
                <w:lang w:val="en-US" w:eastAsia="zh-CN"/>
              </w:rPr>
              <w:t>金属粉尘的防爆措施不完善，本次提出整改要求：</w:t>
            </w:r>
          </w:p>
          <w:p w14:paraId="27EACA76">
            <w:pPr>
              <w:keepNext w:val="0"/>
              <w:keepLines w:val="0"/>
              <w:numPr>
                <w:ilvl w:val="0"/>
                <w:numId w:val="0"/>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default"/>
                <w:color w:val="auto"/>
                <w:sz w:val="22"/>
                <w:szCs w:val="22"/>
                <w:highlight w:val="none"/>
                <w:lang w:val="en-US" w:eastAsia="zh-CN"/>
              </w:rPr>
              <w:t>1）配套金属粉尘的防爆措施：抛丸、磨加工设备安装有效的局部排风除尘系统，在所有产尘点设置吸风罩，确保粉尘被及时抽走，选用符合国家防爆标准、具有泄爆、隔爆或抑爆装置的集尘设备，配套使用防爆的除尘系统，除尘管道设计应避免死角，减少粉尘积聚，在管道和设备连接处安装隔爆阀。2号厂房内尤其抛丸、磨加工区域必须使用符合标准的防爆电气设备（如防爆电机、防爆开关、防爆灯具）。定期检查设备，防止因部件磨损、脱落或松动而产生摩擦碰撞火花。对所有相关员工进行铝镁粉尘爆炸危险性、安全操作规程和应急响应的定期培训，使其认识到风险并掌握防范技能。 在危险区域设置明确的警示标识，如“粉尘爆炸危险区</w:t>
            </w:r>
            <w:r>
              <w:rPr>
                <w:rFonts w:hint="eastAsia"/>
                <w:color w:val="auto"/>
                <w:sz w:val="22"/>
                <w:szCs w:val="22"/>
                <w:highlight w:val="none"/>
                <w:lang w:val="en-US" w:eastAsia="zh-CN"/>
              </w:rPr>
              <w:t>”“</w:t>
            </w:r>
            <w:r>
              <w:rPr>
                <w:rFonts w:hint="default"/>
                <w:color w:val="auto"/>
                <w:sz w:val="22"/>
                <w:szCs w:val="22"/>
                <w:highlight w:val="none"/>
                <w:lang w:val="en-US" w:eastAsia="zh-CN"/>
              </w:rPr>
              <w:t>禁止明火</w:t>
            </w:r>
            <w:r>
              <w:rPr>
                <w:rFonts w:hint="eastAsia"/>
                <w:color w:val="auto"/>
                <w:sz w:val="22"/>
                <w:szCs w:val="22"/>
                <w:highlight w:val="none"/>
                <w:lang w:val="en-US" w:eastAsia="zh-CN"/>
              </w:rPr>
              <w:t>”“</w:t>
            </w:r>
            <w:r>
              <w:rPr>
                <w:rFonts w:hint="default"/>
                <w:color w:val="auto"/>
                <w:sz w:val="22"/>
                <w:szCs w:val="22"/>
                <w:highlight w:val="none"/>
                <w:lang w:val="en-US" w:eastAsia="zh-CN"/>
              </w:rPr>
              <w:t>必须防静电”等。</w:t>
            </w:r>
          </w:p>
          <w:p w14:paraId="58859FB3">
            <w:pPr>
              <w:keepNext w:val="0"/>
              <w:keepLines w:val="0"/>
              <w:numPr>
                <w:ilvl w:val="0"/>
                <w:numId w:val="0"/>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default"/>
                <w:color w:val="auto"/>
                <w:sz w:val="22"/>
                <w:szCs w:val="22"/>
                <w:highlight w:val="none"/>
                <w:lang w:val="en-US" w:eastAsia="zh-CN"/>
              </w:rPr>
              <w:t>2）防静电、防明火：厂房内生产区地面应按要求采取硬化处理，厂区内禁止明火。所有设备、管道、集尘器必须可靠接地，工作地面采用导电地面，员工穿戴防静电服和鞋，使用抗静电材料的工具和风管。</w:t>
            </w:r>
          </w:p>
          <w:p w14:paraId="5DC1496C">
            <w:pPr>
              <w:keepNext w:val="0"/>
              <w:keepLines w:val="0"/>
              <w:numPr>
                <w:ilvl w:val="0"/>
                <w:numId w:val="0"/>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default"/>
                <w:color w:val="auto"/>
                <w:sz w:val="22"/>
                <w:szCs w:val="22"/>
                <w:highlight w:val="none"/>
                <w:lang w:val="en-US" w:eastAsia="zh-CN"/>
              </w:rPr>
              <w:t>3）2号厂房设置可燃气体检测报警器；凡容易发生事故或危及生命安全的场所、设备以及需要提醒操作人员注意的地方，应设置安全标志；配备足够的急救药品和现场救援器材、设备。</w:t>
            </w:r>
          </w:p>
          <w:p w14:paraId="54BE4E9D">
            <w:pPr>
              <w:keepNext w:val="0"/>
              <w:keepLines w:val="0"/>
              <w:numPr>
                <w:ilvl w:val="0"/>
                <w:numId w:val="0"/>
              </w:numPr>
              <w:suppressLineNumbers w:val="0"/>
              <w:adjustRightInd w:val="0"/>
              <w:snapToGrid w:val="0"/>
              <w:spacing w:before="0" w:beforeAutospacing="0" w:after="0" w:afterAutospacing="0"/>
              <w:ind w:left="0" w:right="0" w:rightChars="0"/>
              <w:jc w:val="both"/>
              <w:rPr>
                <w:rFonts w:hint="default"/>
                <w:color w:val="auto"/>
                <w:sz w:val="22"/>
                <w:szCs w:val="22"/>
                <w:highlight w:val="none"/>
                <w:lang w:val="en-US" w:eastAsia="zh-CN"/>
              </w:rPr>
            </w:pPr>
            <w:r>
              <w:rPr>
                <w:rFonts w:hint="default"/>
                <w:color w:val="auto"/>
                <w:sz w:val="22"/>
                <w:szCs w:val="22"/>
                <w:highlight w:val="none"/>
                <w:lang w:val="en-US" w:eastAsia="zh-CN"/>
              </w:rPr>
              <w:t>4）对2号厂房及贮存铝灰渣的危险废物贮存库定期检查以确保屋顶、门窗密封良好，防止雨水渗入，从而避免水与设备、铝灰渣、车间内悬浮的粉尘直接接触产生氢气，车间加强通风。危废贮存库涉及镁锌铝合金产生的铝灰渣及除尘灰的贮存，应对危险废物贮存库增加废气收集系统及废气治理设施，确保危废库始终保持微负压，防止含氢、含粉尘的气体在室内积聚；并通过严格防潮防水的贮存措施，从根本上抑制氢气的产生。采用防爆、防静电的收集系统。末端治理的工艺上先干法除尘后干法净化，严禁用水，并全程配备安全监控与泄爆设施。</w:t>
            </w:r>
          </w:p>
        </w:tc>
      </w:tr>
    </w:tbl>
    <w:p w14:paraId="58C28020">
      <w:pPr>
        <w:rPr>
          <w:color w:val="auto"/>
          <w:highlight w:val="none"/>
        </w:rPr>
        <w:sectPr>
          <w:pgSz w:w="16838" w:h="11906" w:orient="landscape"/>
          <w:pgMar w:top="153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p w14:paraId="2782C20C">
      <w:pPr>
        <w:pStyle w:val="23"/>
        <w:rPr>
          <w:snapToGrid w:val="0"/>
          <w:color w:val="auto"/>
          <w:highlight w:val="none"/>
        </w:rPr>
      </w:pPr>
      <w:r>
        <w:rPr>
          <w:snapToGrid w:val="0"/>
          <w:color w:val="auto"/>
          <w:highlight w:val="none"/>
        </w:rPr>
        <w:t>六、结论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3B53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4" w:type="dxa"/>
          </w:tcPr>
          <w:p w14:paraId="3EC23E92">
            <w:pPr>
              <w:keepNext w:val="0"/>
              <w:keepLines w:val="0"/>
              <w:widowControl/>
              <w:suppressLineNumbers w:val="0"/>
              <w:spacing w:before="0" w:beforeAutospacing="0" w:after="0" w:afterAutospacing="0" w:line="400" w:lineRule="exact"/>
              <w:ind w:left="0" w:right="0" w:firstLine="520" w:firstLineChars="200"/>
              <w:rPr>
                <w:rFonts w:hint="default"/>
                <w:color w:val="auto"/>
                <w:kern w:val="0"/>
                <w:sz w:val="26"/>
                <w:szCs w:val="26"/>
                <w:highlight w:val="none"/>
              </w:rPr>
            </w:pPr>
            <w:r>
              <w:rPr>
                <w:rFonts w:hint="eastAsia"/>
                <w:color w:val="auto"/>
                <w:sz w:val="26"/>
                <w:szCs w:val="26"/>
                <w:highlight w:val="none"/>
              </w:rPr>
              <w:t>摩托车离合器、电动车变速器总成及配件建设项目</w:t>
            </w:r>
            <w:r>
              <w:rPr>
                <w:rFonts w:hint="default"/>
                <w:color w:val="auto"/>
                <w:kern w:val="0"/>
                <w:sz w:val="26"/>
                <w:szCs w:val="26"/>
                <w:highlight w:val="none"/>
              </w:rPr>
              <w:t>符合国家产业政策、重庆市工业项目准入规定以及相关环保政策，符合相关规划</w:t>
            </w:r>
            <w:r>
              <w:rPr>
                <w:rFonts w:hint="eastAsia"/>
                <w:color w:val="auto"/>
                <w:kern w:val="0"/>
                <w:sz w:val="26"/>
                <w:szCs w:val="26"/>
                <w:highlight w:val="none"/>
              </w:rPr>
              <w:t>及产业布局要求</w:t>
            </w:r>
            <w:r>
              <w:rPr>
                <w:rFonts w:hint="default"/>
                <w:color w:val="auto"/>
                <w:kern w:val="0"/>
                <w:sz w:val="26"/>
                <w:szCs w:val="26"/>
                <w:highlight w:val="none"/>
              </w:rPr>
              <w:t>。</w:t>
            </w:r>
          </w:p>
          <w:p w14:paraId="5CD3C126">
            <w:pPr>
              <w:keepNext w:val="0"/>
              <w:keepLines w:val="0"/>
              <w:widowControl/>
              <w:suppressLineNumbers w:val="0"/>
              <w:spacing w:before="0" w:beforeAutospacing="0" w:after="0" w:afterAutospacing="0" w:line="400" w:lineRule="exact"/>
              <w:ind w:left="0" w:right="0" w:firstLine="520" w:firstLineChars="200"/>
              <w:rPr>
                <w:rFonts w:hint="default"/>
                <w:color w:val="auto"/>
                <w:kern w:val="0"/>
                <w:sz w:val="26"/>
                <w:szCs w:val="26"/>
                <w:highlight w:val="none"/>
              </w:rPr>
            </w:pPr>
            <w:r>
              <w:rPr>
                <w:rFonts w:hint="default"/>
                <w:color w:val="auto"/>
                <w:kern w:val="0"/>
                <w:sz w:val="26"/>
                <w:szCs w:val="26"/>
                <w:highlight w:val="none"/>
              </w:rPr>
              <w:t>项目选用的生产工艺技术成熟，具有较高的工艺装备水平和清洁生产水平。项目采用的污染控制措施可靠，污染防治措施技术经济可行，能确保各种污染物稳定达标排放，在实施相应的污染防范和减缓措施后，对环境不会造成明显影响，不会改变区域环境功能。</w:t>
            </w:r>
          </w:p>
          <w:p w14:paraId="7CAC13D3">
            <w:pPr>
              <w:keepNext w:val="0"/>
              <w:keepLines w:val="0"/>
              <w:widowControl/>
              <w:suppressLineNumbers w:val="0"/>
              <w:spacing w:before="0" w:beforeAutospacing="0" w:after="0" w:afterAutospacing="0" w:line="400" w:lineRule="exact"/>
              <w:ind w:left="0" w:right="0" w:firstLine="520" w:firstLineChars="200"/>
              <w:rPr>
                <w:rFonts w:hint="default"/>
                <w:color w:val="auto"/>
                <w:kern w:val="0"/>
                <w:sz w:val="26"/>
                <w:szCs w:val="26"/>
                <w:highlight w:val="none"/>
              </w:rPr>
            </w:pPr>
            <w:r>
              <w:rPr>
                <w:rFonts w:hint="default"/>
                <w:color w:val="auto"/>
                <w:kern w:val="0"/>
                <w:sz w:val="26"/>
                <w:szCs w:val="26"/>
                <w:highlight w:val="none"/>
              </w:rPr>
              <w:t>因此，在严格落实本报告提出的各项污染防治措施和风险防范措施后，从环境保护的角度分析，本项目的建设是可行的。</w:t>
            </w:r>
          </w:p>
          <w:p w14:paraId="28207EAD">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04E3C428">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0A919403">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70C951A2">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43D7EC11">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1FF7AD88">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759B761A">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53BF9897">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3430979D">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44E392A9">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21A78FB3">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5645E125">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397F03F6">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211E6574">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7A107E61">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4E9B3AB0">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423C5436">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69A5B175">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17BEE2D1">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647618D7">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72C8395A">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29859C3D">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3A621AD3">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5CF31C41">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58C6EC94">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6867ECC4">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p w14:paraId="69CB8BD4">
            <w:pPr>
              <w:keepNext w:val="0"/>
              <w:keepLines w:val="0"/>
              <w:widowControl/>
              <w:suppressLineNumbers w:val="0"/>
              <w:spacing w:before="0" w:beforeAutospacing="0" w:after="0" w:afterAutospacing="0"/>
              <w:ind w:left="0" w:right="0"/>
              <w:jc w:val="left"/>
              <w:rPr>
                <w:rFonts w:hint="default" w:ascii="宋体" w:hAnsi="宋体" w:cs="宋体"/>
                <w:color w:val="auto"/>
                <w:kern w:val="0"/>
                <w:sz w:val="24"/>
                <w:highlight w:val="none"/>
              </w:rPr>
            </w:pPr>
          </w:p>
        </w:tc>
      </w:tr>
    </w:tbl>
    <w:p w14:paraId="4C16BF5C">
      <w:pPr>
        <w:rPr>
          <w:color w:val="auto"/>
          <w:szCs w:val="21"/>
          <w:highlight w:val="none"/>
        </w:rPr>
        <w:sectPr>
          <w:pgSz w:w="11906" w:h="16838"/>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p>
    <w:p w14:paraId="7DCE8E2D">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附表</w:t>
      </w:r>
    </w:p>
    <w:p w14:paraId="6A1E2FCC">
      <w:pPr>
        <w:pStyle w:val="23"/>
        <w:rPr>
          <w:snapToGrid w:val="0"/>
          <w:color w:val="auto"/>
          <w:highlight w:val="none"/>
        </w:rPr>
      </w:pPr>
      <w:r>
        <w:rPr>
          <w:snapToGrid w:val="0"/>
          <w:color w:val="auto"/>
          <w:highlight w:val="none"/>
        </w:rPr>
        <w:t>建设项目污染物排放量汇总表</w:t>
      </w:r>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127"/>
        <w:gridCol w:w="1455"/>
        <w:gridCol w:w="1276"/>
        <w:gridCol w:w="1701"/>
        <w:gridCol w:w="1559"/>
        <w:gridCol w:w="1761"/>
        <w:gridCol w:w="1959"/>
        <w:gridCol w:w="826"/>
      </w:tblGrid>
      <w:tr w14:paraId="7FB539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24" w:type="dxa"/>
            <w:tcBorders>
              <w:tl2br w:val="single" w:color="auto" w:sz="4" w:space="0"/>
            </w:tcBorders>
            <w:tcMar>
              <w:left w:w="28" w:type="dxa"/>
              <w:right w:w="28" w:type="dxa"/>
            </w:tcMar>
            <w:vAlign w:val="center"/>
          </w:tcPr>
          <w:p w14:paraId="3C823361">
            <w:pPr>
              <w:pStyle w:val="86"/>
              <w:keepNext w:val="0"/>
              <w:keepLines w:val="0"/>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lang w:val="en-US" w:eastAsia="zh-CN"/>
              </w:rPr>
              <w:t xml:space="preserve">  </w:t>
            </w:r>
            <w:r>
              <w:rPr>
                <w:rFonts w:hint="default"/>
                <w:b/>
                <w:bCs/>
                <w:color w:val="auto"/>
                <w:highlight w:val="none"/>
              </w:rPr>
              <w:t>项目</w:t>
            </w:r>
          </w:p>
          <w:p w14:paraId="740FF40E">
            <w:pPr>
              <w:pStyle w:val="86"/>
              <w:keepNext w:val="0"/>
              <w:keepLines w:val="0"/>
              <w:suppressLineNumbers w:val="0"/>
              <w:bidi w:val="0"/>
              <w:spacing w:before="0" w:beforeAutospacing="0" w:after="0" w:afterAutospacing="0"/>
              <w:ind w:left="0" w:right="0"/>
              <w:jc w:val="both"/>
              <w:rPr>
                <w:rFonts w:hint="default"/>
                <w:b/>
                <w:bCs/>
                <w:color w:val="auto"/>
                <w:highlight w:val="none"/>
              </w:rPr>
            </w:pPr>
            <w:r>
              <w:rPr>
                <w:rFonts w:hint="default"/>
                <w:b/>
                <w:bCs/>
                <w:color w:val="auto"/>
                <w:highlight w:val="none"/>
              </w:rPr>
              <w:t>分类</w:t>
            </w:r>
          </w:p>
        </w:tc>
        <w:tc>
          <w:tcPr>
            <w:tcW w:w="2127" w:type="dxa"/>
            <w:tcMar>
              <w:left w:w="28" w:type="dxa"/>
              <w:right w:w="28" w:type="dxa"/>
            </w:tcMar>
            <w:vAlign w:val="center"/>
          </w:tcPr>
          <w:p w14:paraId="0C0F3CFE">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污染物名称</w:t>
            </w:r>
          </w:p>
        </w:tc>
        <w:tc>
          <w:tcPr>
            <w:tcW w:w="1455" w:type="dxa"/>
            <w:tcMar>
              <w:left w:w="28" w:type="dxa"/>
              <w:right w:w="28" w:type="dxa"/>
            </w:tcMar>
            <w:vAlign w:val="center"/>
          </w:tcPr>
          <w:p w14:paraId="0D16CAC9">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现有工程</w:t>
            </w:r>
          </w:p>
          <w:p w14:paraId="7F98C444">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排放量（固体废物产生量）</w:t>
            </w:r>
            <w:r>
              <w:rPr>
                <w:rFonts w:hint="default"/>
                <w:b/>
                <w:bCs/>
                <w:color w:val="auto"/>
                <w:highlight w:val="none"/>
              </w:rPr>
              <w:fldChar w:fldCharType="begin"/>
            </w:r>
            <w:r>
              <w:rPr>
                <w:rFonts w:hint="default"/>
                <w:b/>
                <w:bCs/>
                <w:color w:val="auto"/>
                <w:highlight w:val="none"/>
              </w:rPr>
              <w:instrText xml:space="preserve"> = 1 \* GB3 \* MERGEFORMAT </w:instrText>
            </w:r>
            <w:r>
              <w:rPr>
                <w:rFonts w:hint="default"/>
                <w:b/>
                <w:bCs/>
                <w:color w:val="auto"/>
                <w:highlight w:val="none"/>
              </w:rPr>
              <w:fldChar w:fldCharType="separate"/>
            </w:r>
            <w:r>
              <w:rPr>
                <w:rFonts w:hint="eastAsia"/>
                <w:b/>
                <w:bCs/>
                <w:color w:val="auto"/>
                <w:highlight w:val="none"/>
              </w:rPr>
              <w:t>①</w:t>
            </w:r>
            <w:r>
              <w:rPr>
                <w:rFonts w:hint="default"/>
                <w:b/>
                <w:bCs/>
                <w:color w:val="auto"/>
                <w:highlight w:val="none"/>
              </w:rPr>
              <w:fldChar w:fldCharType="end"/>
            </w:r>
          </w:p>
        </w:tc>
        <w:tc>
          <w:tcPr>
            <w:tcW w:w="1276" w:type="dxa"/>
            <w:tcMar>
              <w:left w:w="28" w:type="dxa"/>
              <w:right w:w="28" w:type="dxa"/>
            </w:tcMar>
            <w:vAlign w:val="center"/>
          </w:tcPr>
          <w:p w14:paraId="78C664CC">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现有工程</w:t>
            </w:r>
          </w:p>
          <w:p w14:paraId="7D778F66">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许可排放量</w:t>
            </w:r>
          </w:p>
          <w:p w14:paraId="5D85F557">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fldChar w:fldCharType="begin"/>
            </w:r>
            <w:r>
              <w:rPr>
                <w:rFonts w:hint="default"/>
                <w:b/>
                <w:bCs/>
                <w:color w:val="auto"/>
                <w:highlight w:val="none"/>
              </w:rPr>
              <w:instrText xml:space="preserve"> = 2 \* GB3 \* MERGEFORMAT </w:instrText>
            </w:r>
            <w:r>
              <w:rPr>
                <w:rFonts w:hint="default"/>
                <w:b/>
                <w:bCs/>
                <w:color w:val="auto"/>
                <w:highlight w:val="none"/>
              </w:rPr>
              <w:fldChar w:fldCharType="separate"/>
            </w:r>
            <w:r>
              <w:rPr>
                <w:rFonts w:hint="eastAsia"/>
                <w:b/>
                <w:bCs/>
                <w:color w:val="auto"/>
                <w:highlight w:val="none"/>
              </w:rPr>
              <w:t>②</w:t>
            </w:r>
            <w:r>
              <w:rPr>
                <w:rFonts w:hint="default"/>
                <w:b/>
                <w:bCs/>
                <w:color w:val="auto"/>
                <w:highlight w:val="none"/>
              </w:rPr>
              <w:fldChar w:fldCharType="end"/>
            </w:r>
          </w:p>
        </w:tc>
        <w:tc>
          <w:tcPr>
            <w:tcW w:w="1701" w:type="dxa"/>
            <w:tcMar>
              <w:left w:w="28" w:type="dxa"/>
              <w:right w:w="28" w:type="dxa"/>
            </w:tcMar>
            <w:vAlign w:val="center"/>
          </w:tcPr>
          <w:p w14:paraId="67490C64">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在建工程</w:t>
            </w:r>
          </w:p>
          <w:p w14:paraId="0B5A5832">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排放量（固体废物产生量）</w:t>
            </w:r>
            <w:r>
              <w:rPr>
                <w:rFonts w:hint="default"/>
                <w:b/>
                <w:bCs/>
                <w:color w:val="auto"/>
                <w:highlight w:val="none"/>
              </w:rPr>
              <w:fldChar w:fldCharType="begin"/>
            </w:r>
            <w:r>
              <w:rPr>
                <w:rFonts w:hint="default"/>
                <w:b/>
                <w:bCs/>
                <w:color w:val="auto"/>
                <w:highlight w:val="none"/>
              </w:rPr>
              <w:instrText xml:space="preserve"> = 3 \* GB3 \* MERGEFORMAT </w:instrText>
            </w:r>
            <w:r>
              <w:rPr>
                <w:rFonts w:hint="default"/>
                <w:b/>
                <w:bCs/>
                <w:color w:val="auto"/>
                <w:highlight w:val="none"/>
              </w:rPr>
              <w:fldChar w:fldCharType="separate"/>
            </w:r>
            <w:r>
              <w:rPr>
                <w:rFonts w:hint="eastAsia"/>
                <w:b/>
                <w:bCs/>
                <w:color w:val="auto"/>
                <w:highlight w:val="none"/>
              </w:rPr>
              <w:t>③</w:t>
            </w:r>
            <w:r>
              <w:rPr>
                <w:rFonts w:hint="default"/>
                <w:b/>
                <w:bCs/>
                <w:color w:val="auto"/>
                <w:highlight w:val="none"/>
              </w:rPr>
              <w:fldChar w:fldCharType="end"/>
            </w:r>
          </w:p>
        </w:tc>
        <w:tc>
          <w:tcPr>
            <w:tcW w:w="1559" w:type="dxa"/>
            <w:tcMar>
              <w:left w:w="28" w:type="dxa"/>
              <w:right w:w="28" w:type="dxa"/>
            </w:tcMar>
            <w:vAlign w:val="center"/>
          </w:tcPr>
          <w:p w14:paraId="2B34AD89">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本项目</w:t>
            </w:r>
          </w:p>
          <w:p w14:paraId="2E4FB359">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排放量（固体废物产生量）</w:t>
            </w:r>
            <w:r>
              <w:rPr>
                <w:rFonts w:hint="default"/>
                <w:b/>
                <w:bCs/>
                <w:color w:val="auto"/>
                <w:highlight w:val="none"/>
              </w:rPr>
              <w:fldChar w:fldCharType="begin"/>
            </w:r>
            <w:r>
              <w:rPr>
                <w:rFonts w:hint="default"/>
                <w:b/>
                <w:bCs/>
                <w:color w:val="auto"/>
                <w:highlight w:val="none"/>
              </w:rPr>
              <w:instrText xml:space="preserve"> = 4 \* GB3 \* MERGEFORMAT </w:instrText>
            </w:r>
            <w:r>
              <w:rPr>
                <w:rFonts w:hint="default"/>
                <w:b/>
                <w:bCs/>
                <w:color w:val="auto"/>
                <w:highlight w:val="none"/>
              </w:rPr>
              <w:fldChar w:fldCharType="separate"/>
            </w:r>
            <w:r>
              <w:rPr>
                <w:rFonts w:hint="eastAsia"/>
                <w:b/>
                <w:bCs/>
                <w:color w:val="auto"/>
                <w:highlight w:val="none"/>
              </w:rPr>
              <w:t>④</w:t>
            </w:r>
            <w:r>
              <w:rPr>
                <w:rFonts w:hint="default"/>
                <w:b/>
                <w:bCs/>
                <w:color w:val="auto"/>
                <w:highlight w:val="none"/>
              </w:rPr>
              <w:fldChar w:fldCharType="end"/>
            </w:r>
          </w:p>
        </w:tc>
        <w:tc>
          <w:tcPr>
            <w:tcW w:w="1761" w:type="dxa"/>
            <w:tcMar>
              <w:left w:w="28" w:type="dxa"/>
              <w:right w:w="28" w:type="dxa"/>
            </w:tcMar>
            <w:vAlign w:val="center"/>
          </w:tcPr>
          <w:p w14:paraId="307A4BD9">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以新带老削减量</w:t>
            </w:r>
          </w:p>
          <w:p w14:paraId="6B424503">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（新建项目不填）</w:t>
            </w:r>
            <w:r>
              <w:rPr>
                <w:rFonts w:hint="default"/>
                <w:b/>
                <w:bCs/>
                <w:color w:val="auto"/>
                <w:highlight w:val="none"/>
              </w:rPr>
              <w:fldChar w:fldCharType="begin"/>
            </w:r>
            <w:r>
              <w:rPr>
                <w:rFonts w:hint="default"/>
                <w:b/>
                <w:bCs/>
                <w:color w:val="auto"/>
                <w:highlight w:val="none"/>
              </w:rPr>
              <w:instrText xml:space="preserve"> = 5 \* GB3 \* MERGEFORMAT </w:instrText>
            </w:r>
            <w:r>
              <w:rPr>
                <w:rFonts w:hint="default"/>
                <w:b/>
                <w:bCs/>
                <w:color w:val="auto"/>
                <w:highlight w:val="none"/>
              </w:rPr>
              <w:fldChar w:fldCharType="separate"/>
            </w:r>
            <w:r>
              <w:rPr>
                <w:rFonts w:hint="eastAsia"/>
                <w:b/>
                <w:bCs/>
                <w:color w:val="auto"/>
                <w:highlight w:val="none"/>
              </w:rPr>
              <w:t>⑤</w:t>
            </w:r>
            <w:r>
              <w:rPr>
                <w:rFonts w:hint="default"/>
                <w:b/>
                <w:bCs/>
                <w:color w:val="auto"/>
                <w:highlight w:val="none"/>
              </w:rPr>
              <w:fldChar w:fldCharType="end"/>
            </w:r>
          </w:p>
        </w:tc>
        <w:tc>
          <w:tcPr>
            <w:tcW w:w="1959" w:type="dxa"/>
            <w:tcMar>
              <w:left w:w="28" w:type="dxa"/>
              <w:right w:w="28" w:type="dxa"/>
            </w:tcMar>
            <w:vAlign w:val="center"/>
          </w:tcPr>
          <w:p w14:paraId="423644CB">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本项目建成后</w:t>
            </w:r>
          </w:p>
          <w:p w14:paraId="4ED8DF98">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全厂排放量（固体废物产生量）</w:t>
            </w:r>
            <w:r>
              <w:rPr>
                <w:rFonts w:hint="default"/>
                <w:b/>
                <w:bCs/>
                <w:color w:val="auto"/>
                <w:highlight w:val="none"/>
              </w:rPr>
              <w:fldChar w:fldCharType="begin"/>
            </w:r>
            <w:r>
              <w:rPr>
                <w:rFonts w:hint="default"/>
                <w:b/>
                <w:bCs/>
                <w:color w:val="auto"/>
                <w:highlight w:val="none"/>
              </w:rPr>
              <w:instrText xml:space="preserve"> = 6 \* GB3 \* MERGEFORMAT </w:instrText>
            </w:r>
            <w:r>
              <w:rPr>
                <w:rFonts w:hint="default"/>
                <w:b/>
                <w:bCs/>
                <w:color w:val="auto"/>
                <w:highlight w:val="none"/>
              </w:rPr>
              <w:fldChar w:fldCharType="separate"/>
            </w:r>
            <w:r>
              <w:rPr>
                <w:rFonts w:hint="eastAsia"/>
                <w:b/>
                <w:bCs/>
                <w:color w:val="auto"/>
                <w:highlight w:val="none"/>
              </w:rPr>
              <w:t>⑥</w:t>
            </w:r>
            <w:r>
              <w:rPr>
                <w:rFonts w:hint="default"/>
                <w:b/>
                <w:bCs/>
                <w:color w:val="auto"/>
                <w:highlight w:val="none"/>
              </w:rPr>
              <w:fldChar w:fldCharType="end"/>
            </w:r>
          </w:p>
        </w:tc>
        <w:tc>
          <w:tcPr>
            <w:tcW w:w="826" w:type="dxa"/>
            <w:tcMar>
              <w:left w:w="28" w:type="dxa"/>
              <w:right w:w="28" w:type="dxa"/>
            </w:tcMar>
            <w:vAlign w:val="center"/>
          </w:tcPr>
          <w:p w14:paraId="2C1CD1D5">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变化量</w:t>
            </w:r>
          </w:p>
          <w:p w14:paraId="272CE82D">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fldChar w:fldCharType="begin"/>
            </w:r>
            <w:r>
              <w:rPr>
                <w:rFonts w:hint="default"/>
                <w:b/>
                <w:bCs/>
                <w:color w:val="auto"/>
                <w:highlight w:val="none"/>
              </w:rPr>
              <w:instrText xml:space="preserve"> = 7 \* GB3 \* MERGEFORMAT </w:instrText>
            </w:r>
            <w:r>
              <w:rPr>
                <w:rFonts w:hint="default"/>
                <w:b/>
                <w:bCs/>
                <w:color w:val="auto"/>
                <w:highlight w:val="none"/>
              </w:rPr>
              <w:fldChar w:fldCharType="separate"/>
            </w:r>
            <w:r>
              <w:rPr>
                <w:rFonts w:hint="eastAsia"/>
                <w:b/>
                <w:bCs/>
                <w:color w:val="auto"/>
                <w:highlight w:val="none"/>
              </w:rPr>
              <w:t>⑦</w:t>
            </w:r>
            <w:r>
              <w:rPr>
                <w:rFonts w:hint="default"/>
                <w:b/>
                <w:bCs/>
                <w:color w:val="auto"/>
                <w:highlight w:val="none"/>
              </w:rPr>
              <w:fldChar w:fldCharType="end"/>
            </w:r>
          </w:p>
        </w:tc>
      </w:tr>
      <w:tr w14:paraId="772BD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restart"/>
            <w:vAlign w:val="center"/>
          </w:tcPr>
          <w:p w14:paraId="17A52D36">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废气</w:t>
            </w:r>
          </w:p>
        </w:tc>
        <w:tc>
          <w:tcPr>
            <w:tcW w:w="2127" w:type="dxa"/>
            <w:vAlign w:val="center"/>
          </w:tcPr>
          <w:p w14:paraId="16CA3DF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颗粒物</w:t>
            </w:r>
          </w:p>
        </w:tc>
        <w:tc>
          <w:tcPr>
            <w:tcW w:w="1455" w:type="dxa"/>
            <w:vAlign w:val="center"/>
          </w:tcPr>
          <w:p w14:paraId="553078CB">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276" w:type="dxa"/>
            <w:vAlign w:val="center"/>
          </w:tcPr>
          <w:p w14:paraId="69A674B5">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4ADC9380">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31EB1CE5">
            <w:pPr>
              <w:pStyle w:val="86"/>
              <w:keepNext w:val="0"/>
              <w:keepLines w:val="0"/>
              <w:suppressLineNumbers w:val="0"/>
              <w:bidi w:val="0"/>
              <w:spacing w:before="0" w:beforeAutospacing="0" w:after="0" w:afterAutospacing="0"/>
              <w:ind w:left="0" w:right="0" w:firstLine="0" w:firstLineChars="0"/>
              <w:rPr>
                <w:rFonts w:hint="default"/>
                <w:color w:val="auto"/>
                <w:highlight w:val="none"/>
              </w:rPr>
            </w:pPr>
            <w:r>
              <w:rPr>
                <w:rFonts w:hint="eastAsia"/>
                <w:color w:val="auto"/>
                <w:lang w:val="en-US" w:eastAsia="zh-CN"/>
              </w:rPr>
              <w:t>0.7985</w:t>
            </w:r>
          </w:p>
        </w:tc>
        <w:tc>
          <w:tcPr>
            <w:tcW w:w="1761" w:type="dxa"/>
            <w:vAlign w:val="center"/>
          </w:tcPr>
          <w:p w14:paraId="582E9591">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959" w:type="dxa"/>
            <w:vAlign w:val="center"/>
          </w:tcPr>
          <w:p w14:paraId="3D8AD6F3">
            <w:pPr>
              <w:pStyle w:val="86"/>
              <w:keepNext w:val="0"/>
              <w:keepLines w:val="0"/>
              <w:suppressLineNumbers w:val="0"/>
              <w:bidi w:val="0"/>
              <w:spacing w:before="0" w:beforeAutospacing="0" w:after="0" w:afterAutospacing="0"/>
              <w:ind w:left="0" w:right="0" w:firstLine="0" w:firstLineChars="0"/>
              <w:rPr>
                <w:rFonts w:hint="default"/>
                <w:color w:val="auto"/>
                <w:highlight w:val="none"/>
              </w:rPr>
            </w:pPr>
            <w:r>
              <w:rPr>
                <w:rFonts w:hint="eastAsia"/>
                <w:color w:val="auto"/>
                <w:lang w:val="en-US" w:eastAsia="zh-CN"/>
              </w:rPr>
              <w:t>0.7985</w:t>
            </w:r>
          </w:p>
        </w:tc>
        <w:tc>
          <w:tcPr>
            <w:tcW w:w="826" w:type="dxa"/>
            <w:vAlign w:val="center"/>
          </w:tcPr>
          <w:p w14:paraId="772749C7">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r>
      <w:tr w14:paraId="425A4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7899A085">
            <w:pPr>
              <w:pStyle w:val="86"/>
              <w:keepNext w:val="0"/>
              <w:keepLines w:val="0"/>
              <w:suppressLineNumbers w:val="0"/>
              <w:bidi w:val="0"/>
              <w:spacing w:before="0" w:beforeAutospacing="0" w:after="0" w:afterAutospacing="0"/>
              <w:ind w:left="0" w:right="0"/>
              <w:rPr>
                <w:rFonts w:hint="default"/>
                <w:b/>
                <w:bCs/>
                <w:color w:val="auto"/>
                <w:highlight w:val="none"/>
              </w:rPr>
            </w:pPr>
          </w:p>
        </w:tc>
        <w:tc>
          <w:tcPr>
            <w:tcW w:w="2127" w:type="dxa"/>
            <w:vAlign w:val="center"/>
          </w:tcPr>
          <w:p w14:paraId="62F43AD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非甲烷总烃</w:t>
            </w:r>
          </w:p>
        </w:tc>
        <w:tc>
          <w:tcPr>
            <w:tcW w:w="1455" w:type="dxa"/>
            <w:vAlign w:val="center"/>
          </w:tcPr>
          <w:p w14:paraId="5A4837FA">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276" w:type="dxa"/>
            <w:vAlign w:val="center"/>
          </w:tcPr>
          <w:p w14:paraId="45656764">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67ECC9E6">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4FF2C7E4">
            <w:pPr>
              <w:pStyle w:val="86"/>
              <w:keepNext w:val="0"/>
              <w:keepLines w:val="0"/>
              <w:suppressLineNumbers w:val="0"/>
              <w:bidi w:val="0"/>
              <w:spacing w:before="0" w:beforeAutospacing="0" w:after="0" w:afterAutospacing="0"/>
              <w:ind w:left="0" w:right="0" w:firstLine="0" w:firstLineChars="0"/>
              <w:rPr>
                <w:rFonts w:hint="default" w:eastAsia="宋体"/>
                <w:color w:val="auto"/>
                <w:highlight w:val="none"/>
                <w:lang w:val="en-US" w:eastAsia="zh-CN"/>
              </w:rPr>
            </w:pPr>
            <w:r>
              <w:rPr>
                <w:rFonts w:hint="eastAsia"/>
                <w:color w:val="auto"/>
                <w:highlight w:val="none"/>
                <w:lang w:val="en-US" w:eastAsia="zh-CN"/>
              </w:rPr>
              <w:t>4.4797</w:t>
            </w:r>
          </w:p>
        </w:tc>
        <w:tc>
          <w:tcPr>
            <w:tcW w:w="1761" w:type="dxa"/>
            <w:vAlign w:val="center"/>
          </w:tcPr>
          <w:p w14:paraId="63B10825">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959" w:type="dxa"/>
            <w:vAlign w:val="center"/>
          </w:tcPr>
          <w:p w14:paraId="359AEAC7">
            <w:pPr>
              <w:pStyle w:val="86"/>
              <w:keepNext w:val="0"/>
              <w:keepLines w:val="0"/>
              <w:suppressLineNumbers w:val="0"/>
              <w:bidi w:val="0"/>
              <w:spacing w:before="0" w:beforeAutospacing="0" w:after="0" w:afterAutospacing="0"/>
              <w:ind w:left="0" w:right="0" w:firstLine="0" w:firstLineChars="0"/>
              <w:rPr>
                <w:rFonts w:hint="default"/>
                <w:color w:val="auto"/>
                <w:highlight w:val="none"/>
              </w:rPr>
            </w:pPr>
            <w:r>
              <w:rPr>
                <w:rFonts w:hint="eastAsia"/>
                <w:color w:val="auto"/>
                <w:highlight w:val="none"/>
                <w:lang w:val="en-US" w:eastAsia="zh-CN"/>
              </w:rPr>
              <w:t>4.4797</w:t>
            </w:r>
          </w:p>
        </w:tc>
        <w:tc>
          <w:tcPr>
            <w:tcW w:w="826" w:type="dxa"/>
            <w:vAlign w:val="center"/>
          </w:tcPr>
          <w:p w14:paraId="0A401BBC">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r>
      <w:tr w14:paraId="377E8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restart"/>
            <w:vAlign w:val="center"/>
          </w:tcPr>
          <w:p w14:paraId="19DC60A1">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废水</w:t>
            </w:r>
          </w:p>
        </w:tc>
        <w:tc>
          <w:tcPr>
            <w:tcW w:w="2127" w:type="dxa"/>
            <w:vAlign w:val="center"/>
          </w:tcPr>
          <w:p w14:paraId="57896865">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COD</w:t>
            </w:r>
          </w:p>
        </w:tc>
        <w:tc>
          <w:tcPr>
            <w:tcW w:w="1455" w:type="dxa"/>
            <w:vAlign w:val="center"/>
          </w:tcPr>
          <w:p w14:paraId="27AF9EFB">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276" w:type="dxa"/>
            <w:vAlign w:val="center"/>
          </w:tcPr>
          <w:p w14:paraId="7D63AF58">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4DD55D15">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158AB2C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0.1856</w:t>
            </w:r>
          </w:p>
        </w:tc>
        <w:tc>
          <w:tcPr>
            <w:tcW w:w="1761" w:type="dxa"/>
            <w:vAlign w:val="center"/>
          </w:tcPr>
          <w:p w14:paraId="3750BAB1">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959" w:type="dxa"/>
            <w:vAlign w:val="center"/>
          </w:tcPr>
          <w:p w14:paraId="198B6098">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rPr>
            </w:pPr>
            <w:r>
              <w:rPr>
                <w:rFonts w:hint="eastAsia"/>
                <w:color w:val="auto"/>
                <w:highlight w:val="none"/>
                <w:lang w:val="en-US" w:eastAsia="zh-CN"/>
              </w:rPr>
              <w:t>0.1856</w:t>
            </w:r>
          </w:p>
        </w:tc>
        <w:tc>
          <w:tcPr>
            <w:tcW w:w="826" w:type="dxa"/>
            <w:vAlign w:val="center"/>
          </w:tcPr>
          <w:p w14:paraId="1E950A02">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r>
      <w:tr w14:paraId="0B86C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tcBorders>
              <w:bottom w:val="single" w:color="auto" w:sz="4" w:space="0"/>
            </w:tcBorders>
            <w:vAlign w:val="center"/>
          </w:tcPr>
          <w:p w14:paraId="2C95BDD3">
            <w:pPr>
              <w:pStyle w:val="86"/>
              <w:keepNext w:val="0"/>
              <w:keepLines w:val="0"/>
              <w:suppressLineNumbers w:val="0"/>
              <w:bidi w:val="0"/>
              <w:spacing w:before="0" w:beforeAutospacing="0" w:after="0" w:afterAutospacing="0"/>
              <w:ind w:left="0" w:right="0"/>
              <w:rPr>
                <w:rFonts w:hint="default"/>
                <w:b/>
                <w:bCs/>
                <w:color w:val="auto"/>
                <w:highlight w:val="none"/>
              </w:rPr>
            </w:pPr>
          </w:p>
        </w:tc>
        <w:tc>
          <w:tcPr>
            <w:tcW w:w="2127" w:type="dxa"/>
            <w:vAlign w:val="center"/>
          </w:tcPr>
          <w:p w14:paraId="104E617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氨氮</w:t>
            </w:r>
          </w:p>
        </w:tc>
        <w:tc>
          <w:tcPr>
            <w:tcW w:w="1455" w:type="dxa"/>
            <w:vAlign w:val="center"/>
          </w:tcPr>
          <w:p w14:paraId="388AADAE">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276" w:type="dxa"/>
            <w:vAlign w:val="center"/>
          </w:tcPr>
          <w:p w14:paraId="78D09F3C">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3447E41B">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2E34543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0.0238</w:t>
            </w:r>
          </w:p>
        </w:tc>
        <w:tc>
          <w:tcPr>
            <w:tcW w:w="1761" w:type="dxa"/>
            <w:vAlign w:val="center"/>
          </w:tcPr>
          <w:p w14:paraId="1790CE14">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w:t>
            </w:r>
          </w:p>
        </w:tc>
        <w:tc>
          <w:tcPr>
            <w:tcW w:w="1959" w:type="dxa"/>
            <w:vAlign w:val="center"/>
          </w:tcPr>
          <w:p w14:paraId="604B8D05">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0.0238</w:t>
            </w:r>
          </w:p>
        </w:tc>
        <w:tc>
          <w:tcPr>
            <w:tcW w:w="826" w:type="dxa"/>
            <w:vAlign w:val="center"/>
          </w:tcPr>
          <w:p w14:paraId="6416545E">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w:t>
            </w:r>
          </w:p>
        </w:tc>
      </w:tr>
      <w:tr w14:paraId="7B0BB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restart"/>
            <w:vAlign w:val="center"/>
          </w:tcPr>
          <w:p w14:paraId="12B7E964">
            <w:pPr>
              <w:pStyle w:val="86"/>
              <w:keepNext w:val="0"/>
              <w:keepLines w:val="0"/>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危险废物</w:t>
            </w:r>
          </w:p>
        </w:tc>
        <w:tc>
          <w:tcPr>
            <w:tcW w:w="2127" w:type="dxa"/>
            <w:vAlign w:val="center"/>
          </w:tcPr>
          <w:p w14:paraId="3C1A858E">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废过滤棉</w:t>
            </w:r>
          </w:p>
        </w:tc>
        <w:tc>
          <w:tcPr>
            <w:tcW w:w="1455" w:type="dxa"/>
            <w:vAlign w:val="center"/>
          </w:tcPr>
          <w:p w14:paraId="36A6CA6A">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276" w:type="dxa"/>
            <w:vAlign w:val="center"/>
          </w:tcPr>
          <w:p w14:paraId="7AD3B4FC">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03706695">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7FE2C1F6">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0.</w:t>
            </w:r>
            <w:r>
              <w:rPr>
                <w:rFonts w:hint="eastAsia"/>
                <w:color w:val="auto"/>
                <w:highlight w:val="none"/>
                <w:lang w:val="en-US" w:eastAsia="zh-CN"/>
              </w:rPr>
              <w:t>1</w:t>
            </w:r>
          </w:p>
        </w:tc>
        <w:tc>
          <w:tcPr>
            <w:tcW w:w="1761" w:type="dxa"/>
            <w:vAlign w:val="center"/>
          </w:tcPr>
          <w:p w14:paraId="542989E1">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959" w:type="dxa"/>
            <w:vAlign w:val="center"/>
          </w:tcPr>
          <w:p w14:paraId="079944CD">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default"/>
                <w:color w:val="auto"/>
                <w:highlight w:val="none"/>
              </w:rPr>
              <w:t>0.</w:t>
            </w:r>
            <w:r>
              <w:rPr>
                <w:rFonts w:hint="eastAsia"/>
                <w:color w:val="auto"/>
                <w:highlight w:val="none"/>
                <w:lang w:val="en-US" w:eastAsia="zh-CN"/>
              </w:rPr>
              <w:t>1</w:t>
            </w:r>
          </w:p>
        </w:tc>
        <w:tc>
          <w:tcPr>
            <w:tcW w:w="826" w:type="dxa"/>
            <w:vAlign w:val="center"/>
          </w:tcPr>
          <w:p w14:paraId="77C77B0E">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r>
      <w:tr w14:paraId="1A5F3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35766B37">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446A4BF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废活性炭</w:t>
            </w:r>
          </w:p>
        </w:tc>
        <w:tc>
          <w:tcPr>
            <w:tcW w:w="1455" w:type="dxa"/>
            <w:vAlign w:val="center"/>
          </w:tcPr>
          <w:p w14:paraId="3A93CA1F">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276" w:type="dxa"/>
            <w:vAlign w:val="center"/>
          </w:tcPr>
          <w:p w14:paraId="646BD7A2">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5F96007E">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7A571200">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2.28</w:t>
            </w:r>
          </w:p>
        </w:tc>
        <w:tc>
          <w:tcPr>
            <w:tcW w:w="1761" w:type="dxa"/>
            <w:vAlign w:val="center"/>
          </w:tcPr>
          <w:p w14:paraId="0F42BC91">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959" w:type="dxa"/>
            <w:vAlign w:val="center"/>
          </w:tcPr>
          <w:p w14:paraId="489D7807">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rPr>
            </w:pPr>
            <w:r>
              <w:rPr>
                <w:rFonts w:hint="eastAsia"/>
                <w:color w:val="auto"/>
                <w:highlight w:val="none"/>
                <w:lang w:val="en-US" w:eastAsia="zh-CN"/>
              </w:rPr>
              <w:t>2.28</w:t>
            </w:r>
          </w:p>
        </w:tc>
        <w:tc>
          <w:tcPr>
            <w:tcW w:w="826" w:type="dxa"/>
            <w:vAlign w:val="center"/>
          </w:tcPr>
          <w:p w14:paraId="2BA102A1">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r>
      <w:tr w14:paraId="0EDB4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3BD52917">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72FFDA1B">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废液压油</w:t>
            </w:r>
          </w:p>
        </w:tc>
        <w:tc>
          <w:tcPr>
            <w:tcW w:w="1455" w:type="dxa"/>
            <w:vAlign w:val="center"/>
          </w:tcPr>
          <w:p w14:paraId="523189B8">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276" w:type="dxa"/>
            <w:vAlign w:val="center"/>
          </w:tcPr>
          <w:p w14:paraId="01087246">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71373320">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5DDB9FC9">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0.</w:t>
            </w:r>
            <w:r>
              <w:rPr>
                <w:rFonts w:hint="eastAsia"/>
                <w:color w:val="auto"/>
                <w:highlight w:val="none"/>
                <w:lang w:val="en-US" w:eastAsia="zh-CN"/>
              </w:rPr>
              <w:t>7</w:t>
            </w:r>
          </w:p>
        </w:tc>
        <w:tc>
          <w:tcPr>
            <w:tcW w:w="1761" w:type="dxa"/>
            <w:vAlign w:val="center"/>
          </w:tcPr>
          <w:p w14:paraId="7E9E8B2E">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959" w:type="dxa"/>
            <w:vAlign w:val="center"/>
          </w:tcPr>
          <w:p w14:paraId="2B218550">
            <w:pPr>
              <w:pStyle w:val="86"/>
              <w:keepNext w:val="0"/>
              <w:keepLines w:val="0"/>
              <w:suppressLineNumbers w:val="0"/>
              <w:bidi w:val="0"/>
              <w:spacing w:before="0" w:beforeAutospacing="0" w:after="0" w:afterAutospacing="0"/>
              <w:ind w:left="0" w:leftChars="0" w:right="0" w:rightChars="0" w:firstLine="0" w:firstLineChars="0"/>
              <w:rPr>
                <w:rFonts w:hint="eastAsia" w:eastAsia="宋体"/>
                <w:color w:val="auto"/>
                <w:highlight w:val="none"/>
                <w:lang w:val="en-US" w:eastAsia="zh-CN"/>
              </w:rPr>
            </w:pPr>
            <w:r>
              <w:rPr>
                <w:rFonts w:hint="default"/>
                <w:color w:val="auto"/>
                <w:highlight w:val="none"/>
              </w:rPr>
              <w:t>0.</w:t>
            </w:r>
            <w:r>
              <w:rPr>
                <w:rFonts w:hint="eastAsia"/>
                <w:color w:val="auto"/>
                <w:highlight w:val="none"/>
                <w:lang w:val="en-US" w:eastAsia="zh-CN"/>
              </w:rPr>
              <w:t>7</w:t>
            </w:r>
          </w:p>
        </w:tc>
        <w:tc>
          <w:tcPr>
            <w:tcW w:w="826" w:type="dxa"/>
            <w:vAlign w:val="center"/>
          </w:tcPr>
          <w:p w14:paraId="1D1CF6FE">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r>
      <w:tr w14:paraId="4BD0F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7F914787">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2E4B9ED7">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废机油</w:t>
            </w:r>
          </w:p>
        </w:tc>
        <w:tc>
          <w:tcPr>
            <w:tcW w:w="1455" w:type="dxa"/>
            <w:vAlign w:val="center"/>
          </w:tcPr>
          <w:p w14:paraId="5607D41A">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276" w:type="dxa"/>
            <w:vAlign w:val="center"/>
          </w:tcPr>
          <w:p w14:paraId="315D6AE8">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37B75A54">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50E592AB">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0.</w:t>
            </w:r>
            <w:r>
              <w:rPr>
                <w:rFonts w:hint="eastAsia"/>
                <w:color w:val="auto"/>
                <w:highlight w:val="none"/>
                <w:lang w:val="en-US" w:eastAsia="zh-CN"/>
              </w:rPr>
              <w:t>7</w:t>
            </w:r>
          </w:p>
        </w:tc>
        <w:tc>
          <w:tcPr>
            <w:tcW w:w="1761" w:type="dxa"/>
            <w:vAlign w:val="center"/>
          </w:tcPr>
          <w:p w14:paraId="3EA0B88E">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959" w:type="dxa"/>
            <w:vAlign w:val="center"/>
          </w:tcPr>
          <w:p w14:paraId="588BA32E">
            <w:pPr>
              <w:pStyle w:val="86"/>
              <w:keepNext w:val="0"/>
              <w:keepLines w:val="0"/>
              <w:suppressLineNumbers w:val="0"/>
              <w:bidi w:val="0"/>
              <w:spacing w:before="0" w:beforeAutospacing="0" w:after="0" w:afterAutospacing="0"/>
              <w:ind w:left="0" w:leftChars="0" w:right="0" w:rightChars="0" w:firstLine="0" w:firstLineChars="0"/>
              <w:rPr>
                <w:rFonts w:hint="eastAsia" w:eastAsia="宋体"/>
                <w:color w:val="auto"/>
                <w:highlight w:val="none"/>
                <w:lang w:val="en-US" w:eastAsia="zh-CN"/>
              </w:rPr>
            </w:pPr>
            <w:r>
              <w:rPr>
                <w:rFonts w:hint="default"/>
                <w:color w:val="auto"/>
                <w:highlight w:val="none"/>
              </w:rPr>
              <w:t>0.</w:t>
            </w:r>
            <w:r>
              <w:rPr>
                <w:rFonts w:hint="eastAsia"/>
                <w:color w:val="auto"/>
                <w:highlight w:val="none"/>
                <w:lang w:val="en-US" w:eastAsia="zh-CN"/>
              </w:rPr>
              <w:t>7</w:t>
            </w:r>
          </w:p>
        </w:tc>
        <w:tc>
          <w:tcPr>
            <w:tcW w:w="826" w:type="dxa"/>
            <w:vAlign w:val="center"/>
          </w:tcPr>
          <w:p w14:paraId="3786EE61">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r>
      <w:tr w14:paraId="74285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3E0CFC13">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6BA937C2">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废弃含油抹布、劳保用品</w:t>
            </w:r>
          </w:p>
        </w:tc>
        <w:tc>
          <w:tcPr>
            <w:tcW w:w="1455" w:type="dxa"/>
            <w:vAlign w:val="center"/>
          </w:tcPr>
          <w:p w14:paraId="761563CC">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276" w:type="dxa"/>
            <w:vAlign w:val="center"/>
          </w:tcPr>
          <w:p w14:paraId="20A64C66">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2674DBB9">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349B1268">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0.05</w:t>
            </w:r>
          </w:p>
        </w:tc>
        <w:tc>
          <w:tcPr>
            <w:tcW w:w="1761" w:type="dxa"/>
            <w:vAlign w:val="center"/>
          </w:tcPr>
          <w:p w14:paraId="7353B8AA">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959" w:type="dxa"/>
            <w:vAlign w:val="center"/>
          </w:tcPr>
          <w:p w14:paraId="00903A28">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default"/>
                <w:color w:val="auto"/>
                <w:highlight w:val="none"/>
              </w:rPr>
              <w:t>0.05</w:t>
            </w:r>
          </w:p>
        </w:tc>
        <w:tc>
          <w:tcPr>
            <w:tcW w:w="826" w:type="dxa"/>
            <w:vAlign w:val="center"/>
          </w:tcPr>
          <w:p w14:paraId="187BB616">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r>
      <w:tr w14:paraId="7A310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5DBB3BE9">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0A9B7BC6">
            <w:pPr>
              <w:pStyle w:val="86"/>
              <w:keepNext w:val="0"/>
              <w:keepLines w:val="0"/>
              <w:suppressLineNumbers w:val="0"/>
              <w:bidi w:val="0"/>
              <w:spacing w:before="0" w:beforeAutospacing="0" w:after="0" w:afterAutospacing="0"/>
              <w:ind w:left="0" w:right="0"/>
              <w:rPr>
                <w:rFonts w:hint="default"/>
                <w:color w:val="auto"/>
                <w:highlight w:val="none"/>
              </w:rPr>
            </w:pPr>
            <w:r>
              <w:rPr>
                <w:rFonts w:hint="default"/>
                <w:color w:val="auto"/>
                <w:highlight w:val="none"/>
              </w:rPr>
              <w:t>废油桶</w:t>
            </w:r>
          </w:p>
        </w:tc>
        <w:tc>
          <w:tcPr>
            <w:tcW w:w="1455" w:type="dxa"/>
            <w:vAlign w:val="center"/>
          </w:tcPr>
          <w:p w14:paraId="1C29EC0C">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276" w:type="dxa"/>
            <w:vAlign w:val="center"/>
          </w:tcPr>
          <w:p w14:paraId="7C3D574C">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701" w:type="dxa"/>
            <w:vAlign w:val="center"/>
          </w:tcPr>
          <w:p w14:paraId="11B06C21">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559" w:type="dxa"/>
            <w:vAlign w:val="center"/>
          </w:tcPr>
          <w:p w14:paraId="0525A856">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default"/>
                <w:color w:val="auto"/>
                <w:highlight w:val="none"/>
              </w:rPr>
              <w:t>0.</w:t>
            </w:r>
            <w:r>
              <w:rPr>
                <w:rFonts w:hint="eastAsia"/>
                <w:color w:val="auto"/>
                <w:highlight w:val="none"/>
                <w:lang w:val="en-US" w:eastAsia="zh-CN"/>
              </w:rPr>
              <w:t>1</w:t>
            </w:r>
          </w:p>
        </w:tc>
        <w:tc>
          <w:tcPr>
            <w:tcW w:w="1761" w:type="dxa"/>
            <w:vAlign w:val="center"/>
          </w:tcPr>
          <w:p w14:paraId="747B4F07">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c>
          <w:tcPr>
            <w:tcW w:w="1959" w:type="dxa"/>
            <w:vAlign w:val="center"/>
          </w:tcPr>
          <w:p w14:paraId="028E030E">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default"/>
                <w:color w:val="auto"/>
                <w:highlight w:val="none"/>
              </w:rPr>
              <w:t>0.</w:t>
            </w:r>
            <w:r>
              <w:rPr>
                <w:rFonts w:hint="eastAsia"/>
                <w:color w:val="auto"/>
                <w:highlight w:val="none"/>
                <w:lang w:val="en-US" w:eastAsia="zh-CN"/>
              </w:rPr>
              <w:t>1</w:t>
            </w:r>
          </w:p>
        </w:tc>
        <w:tc>
          <w:tcPr>
            <w:tcW w:w="826" w:type="dxa"/>
            <w:vAlign w:val="center"/>
          </w:tcPr>
          <w:p w14:paraId="15593600">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rPr>
            </w:pPr>
            <w:r>
              <w:rPr>
                <w:rFonts w:hint="eastAsia"/>
                <w:color w:val="auto"/>
                <w:highlight w:val="none"/>
                <w:lang w:val="en-US" w:eastAsia="zh-CN"/>
              </w:rPr>
              <w:t>/</w:t>
            </w:r>
          </w:p>
        </w:tc>
      </w:tr>
      <w:tr w14:paraId="67A49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1D0F93AA">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71FEA64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废紫外灯管</w:t>
            </w:r>
          </w:p>
        </w:tc>
        <w:tc>
          <w:tcPr>
            <w:tcW w:w="1455" w:type="dxa"/>
            <w:vAlign w:val="center"/>
          </w:tcPr>
          <w:p w14:paraId="6525A9A4">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c>
          <w:tcPr>
            <w:tcW w:w="1276" w:type="dxa"/>
            <w:vAlign w:val="center"/>
          </w:tcPr>
          <w:p w14:paraId="31B8C8A3">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c>
          <w:tcPr>
            <w:tcW w:w="1701" w:type="dxa"/>
            <w:vAlign w:val="center"/>
          </w:tcPr>
          <w:p w14:paraId="634A59A4">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c>
          <w:tcPr>
            <w:tcW w:w="1559" w:type="dxa"/>
            <w:vAlign w:val="center"/>
          </w:tcPr>
          <w:p w14:paraId="1DA1C9F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0.01</w:t>
            </w:r>
          </w:p>
        </w:tc>
        <w:tc>
          <w:tcPr>
            <w:tcW w:w="1761" w:type="dxa"/>
            <w:vAlign w:val="center"/>
          </w:tcPr>
          <w:p w14:paraId="507E17A2">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c>
          <w:tcPr>
            <w:tcW w:w="1959" w:type="dxa"/>
            <w:vAlign w:val="center"/>
          </w:tcPr>
          <w:p w14:paraId="18DAEC60">
            <w:pPr>
              <w:pStyle w:val="86"/>
              <w:keepNext w:val="0"/>
              <w:keepLines w:val="0"/>
              <w:suppressLineNumbers w:val="0"/>
              <w:bidi w:val="0"/>
              <w:spacing w:before="0" w:beforeAutospacing="0" w:after="0" w:afterAutospacing="0"/>
              <w:ind w:left="0" w:leftChars="0" w:right="0" w:rightChars="0" w:firstLine="0" w:firstLineChars="0"/>
              <w:rPr>
                <w:rFonts w:hint="default" w:eastAsia="宋体"/>
                <w:color w:val="auto"/>
                <w:highlight w:val="none"/>
                <w:lang w:val="en-US" w:eastAsia="zh-CN"/>
              </w:rPr>
            </w:pPr>
            <w:r>
              <w:rPr>
                <w:rFonts w:hint="eastAsia"/>
                <w:color w:val="auto"/>
                <w:highlight w:val="none"/>
                <w:lang w:val="en-US" w:eastAsia="zh-CN"/>
              </w:rPr>
              <w:t>0.01</w:t>
            </w:r>
          </w:p>
        </w:tc>
        <w:tc>
          <w:tcPr>
            <w:tcW w:w="826" w:type="dxa"/>
            <w:vAlign w:val="center"/>
          </w:tcPr>
          <w:p w14:paraId="7B9402EF">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r>
      <w:tr w14:paraId="35918E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33157A09">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6DC575F9">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除尘灰（铝灰）</w:t>
            </w:r>
          </w:p>
        </w:tc>
        <w:tc>
          <w:tcPr>
            <w:tcW w:w="1455" w:type="dxa"/>
            <w:vAlign w:val="center"/>
          </w:tcPr>
          <w:p w14:paraId="73FEBC71">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w:t>
            </w:r>
          </w:p>
        </w:tc>
        <w:tc>
          <w:tcPr>
            <w:tcW w:w="1276" w:type="dxa"/>
            <w:vAlign w:val="center"/>
          </w:tcPr>
          <w:p w14:paraId="78384311">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w:t>
            </w:r>
          </w:p>
        </w:tc>
        <w:tc>
          <w:tcPr>
            <w:tcW w:w="1701" w:type="dxa"/>
            <w:vAlign w:val="center"/>
          </w:tcPr>
          <w:p w14:paraId="195D734D">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w:t>
            </w:r>
          </w:p>
        </w:tc>
        <w:tc>
          <w:tcPr>
            <w:tcW w:w="1559" w:type="dxa"/>
            <w:vAlign w:val="center"/>
          </w:tcPr>
          <w:p w14:paraId="641A82CF">
            <w:pPr>
              <w:pStyle w:val="86"/>
              <w:keepNext w:val="0"/>
              <w:keepLines w:val="0"/>
              <w:suppressLineNumbers w:val="0"/>
              <w:bidi w:val="0"/>
              <w:spacing w:before="0" w:beforeAutospacing="0" w:after="0" w:afterAutospacing="0"/>
              <w:ind w:left="0" w:leftChars="0" w:right="0" w:rightChars="0" w:firstLine="0" w:firstLineChars="0"/>
              <w:rPr>
                <w:rFonts w:hint="default" w:eastAsia="宋体"/>
                <w:color w:val="auto"/>
                <w:highlight w:val="none"/>
                <w:lang w:val="en-US" w:eastAsia="zh-CN"/>
              </w:rPr>
            </w:pPr>
            <w:r>
              <w:rPr>
                <w:rFonts w:hint="eastAsia"/>
                <w:color w:val="auto"/>
                <w:highlight w:val="none"/>
                <w:lang w:val="en-US" w:eastAsia="zh-CN"/>
              </w:rPr>
              <w:t>4.655</w:t>
            </w:r>
          </w:p>
        </w:tc>
        <w:tc>
          <w:tcPr>
            <w:tcW w:w="1761" w:type="dxa"/>
            <w:vAlign w:val="center"/>
          </w:tcPr>
          <w:p w14:paraId="0D2AB863">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c>
          <w:tcPr>
            <w:tcW w:w="1959" w:type="dxa"/>
            <w:vAlign w:val="center"/>
          </w:tcPr>
          <w:p w14:paraId="4A3865DF">
            <w:pPr>
              <w:pStyle w:val="86"/>
              <w:keepNext w:val="0"/>
              <w:keepLines w:val="0"/>
              <w:suppressLineNumbers w:val="0"/>
              <w:bidi w:val="0"/>
              <w:spacing w:before="0" w:beforeAutospacing="0" w:after="0" w:afterAutospacing="0"/>
              <w:ind w:left="0" w:leftChars="0" w:right="0" w:rightChars="0" w:firstLine="0" w:firstLineChars="0"/>
              <w:rPr>
                <w:rFonts w:hint="default" w:eastAsia="宋体"/>
                <w:color w:val="auto"/>
                <w:highlight w:val="none"/>
                <w:lang w:val="en-US" w:eastAsia="zh-CN"/>
              </w:rPr>
            </w:pPr>
            <w:r>
              <w:rPr>
                <w:rFonts w:hint="eastAsia"/>
                <w:color w:val="auto"/>
                <w:highlight w:val="none"/>
                <w:lang w:val="en-US" w:eastAsia="zh-CN"/>
              </w:rPr>
              <w:t>4.655</w:t>
            </w:r>
          </w:p>
        </w:tc>
        <w:tc>
          <w:tcPr>
            <w:tcW w:w="826" w:type="dxa"/>
            <w:vAlign w:val="center"/>
          </w:tcPr>
          <w:p w14:paraId="11277D9B">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r>
      <w:tr w14:paraId="606E5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124" w:type="dxa"/>
            <w:vMerge w:val="continue"/>
            <w:vAlign w:val="center"/>
          </w:tcPr>
          <w:p w14:paraId="6B46C919">
            <w:pPr>
              <w:pStyle w:val="86"/>
              <w:keepNext w:val="0"/>
              <w:keepLines w:val="0"/>
              <w:suppressLineNumbers w:val="0"/>
              <w:bidi w:val="0"/>
              <w:spacing w:before="0" w:beforeAutospacing="0" w:after="0" w:afterAutospacing="0"/>
              <w:ind w:left="0" w:right="0"/>
              <w:rPr>
                <w:rFonts w:hint="default"/>
                <w:color w:val="auto"/>
                <w:highlight w:val="none"/>
              </w:rPr>
            </w:pPr>
          </w:p>
        </w:tc>
        <w:tc>
          <w:tcPr>
            <w:tcW w:w="2127" w:type="dxa"/>
            <w:vAlign w:val="center"/>
          </w:tcPr>
          <w:p w14:paraId="7DB2BD98">
            <w:pPr>
              <w:pStyle w:val="86"/>
              <w:keepNext w:val="0"/>
              <w:keepLines w:val="0"/>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浮渣（铝灰渣）</w:t>
            </w:r>
          </w:p>
        </w:tc>
        <w:tc>
          <w:tcPr>
            <w:tcW w:w="1455" w:type="dxa"/>
            <w:vAlign w:val="center"/>
          </w:tcPr>
          <w:p w14:paraId="40C6C112">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w:t>
            </w:r>
          </w:p>
        </w:tc>
        <w:tc>
          <w:tcPr>
            <w:tcW w:w="1276" w:type="dxa"/>
            <w:vAlign w:val="center"/>
          </w:tcPr>
          <w:p w14:paraId="66199BA0">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w:t>
            </w:r>
          </w:p>
        </w:tc>
        <w:tc>
          <w:tcPr>
            <w:tcW w:w="1701" w:type="dxa"/>
            <w:vAlign w:val="center"/>
          </w:tcPr>
          <w:p w14:paraId="2D692A00">
            <w:pPr>
              <w:pStyle w:val="86"/>
              <w:keepNext w:val="0"/>
              <w:keepLines w:val="0"/>
              <w:suppressLineNumbers w:val="0"/>
              <w:bidi w:val="0"/>
              <w:spacing w:before="0" w:beforeAutospacing="0" w:after="0" w:afterAutospacing="0"/>
              <w:ind w:left="0" w:leftChars="0" w:right="0" w:rightChars="0" w:firstLine="0" w:firstLineChars="0"/>
              <w:rPr>
                <w:rFonts w:hint="eastAsia"/>
                <w:color w:val="auto"/>
                <w:highlight w:val="none"/>
                <w:lang w:val="en-US" w:eastAsia="zh-CN"/>
              </w:rPr>
            </w:pPr>
            <w:r>
              <w:rPr>
                <w:rFonts w:hint="eastAsia"/>
                <w:color w:val="auto"/>
                <w:highlight w:val="none"/>
                <w:lang w:val="en-US" w:eastAsia="zh-CN"/>
              </w:rPr>
              <w:t>/</w:t>
            </w:r>
          </w:p>
        </w:tc>
        <w:tc>
          <w:tcPr>
            <w:tcW w:w="1559" w:type="dxa"/>
            <w:vAlign w:val="center"/>
          </w:tcPr>
          <w:p w14:paraId="1C264E9C">
            <w:pPr>
              <w:pStyle w:val="86"/>
              <w:keepNext w:val="0"/>
              <w:keepLines w:val="0"/>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40.541</w:t>
            </w:r>
          </w:p>
        </w:tc>
        <w:tc>
          <w:tcPr>
            <w:tcW w:w="1761" w:type="dxa"/>
            <w:vAlign w:val="center"/>
          </w:tcPr>
          <w:p w14:paraId="6D1B51CA">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c>
          <w:tcPr>
            <w:tcW w:w="1959" w:type="dxa"/>
            <w:vAlign w:val="center"/>
          </w:tcPr>
          <w:p w14:paraId="40AF9207">
            <w:pPr>
              <w:pStyle w:val="86"/>
              <w:keepNext w:val="0"/>
              <w:keepLines w:val="0"/>
              <w:suppressLineNumbers w:val="0"/>
              <w:bidi w:val="0"/>
              <w:spacing w:before="0" w:beforeAutospacing="0" w:after="0" w:afterAutospacing="0"/>
              <w:ind w:left="0" w:leftChars="0" w:right="0" w:rightChars="0" w:firstLine="0" w:firstLineChars="0"/>
              <w:rPr>
                <w:rFonts w:hint="default" w:eastAsia="宋体"/>
                <w:color w:val="auto"/>
                <w:highlight w:val="none"/>
                <w:lang w:val="en-US" w:eastAsia="zh-CN"/>
              </w:rPr>
            </w:pPr>
            <w:r>
              <w:rPr>
                <w:rFonts w:hint="eastAsia"/>
                <w:color w:val="auto"/>
                <w:highlight w:val="none"/>
                <w:lang w:val="en-US" w:eastAsia="zh-CN"/>
              </w:rPr>
              <w:t>40.541</w:t>
            </w:r>
          </w:p>
        </w:tc>
        <w:tc>
          <w:tcPr>
            <w:tcW w:w="826" w:type="dxa"/>
            <w:vAlign w:val="center"/>
          </w:tcPr>
          <w:p w14:paraId="44E2CAA0">
            <w:pPr>
              <w:pStyle w:val="86"/>
              <w:keepNext w:val="0"/>
              <w:keepLines w:val="0"/>
              <w:suppressLineNumbers w:val="0"/>
              <w:bidi w:val="0"/>
              <w:spacing w:before="0" w:beforeAutospacing="0" w:after="0" w:afterAutospacing="0"/>
              <w:ind w:left="0" w:leftChars="0" w:right="0" w:rightChars="0" w:firstLine="0" w:firstLineChars="0"/>
              <w:rPr>
                <w:rFonts w:hint="default"/>
                <w:color w:val="auto"/>
                <w:highlight w:val="none"/>
                <w:lang w:val="en-US" w:eastAsia="zh-CN"/>
              </w:rPr>
            </w:pPr>
            <w:r>
              <w:rPr>
                <w:rFonts w:hint="eastAsia"/>
                <w:color w:val="auto"/>
                <w:highlight w:val="none"/>
                <w:lang w:val="en-US" w:eastAsia="zh-CN"/>
              </w:rPr>
              <w:t>/</w:t>
            </w:r>
          </w:p>
        </w:tc>
      </w:tr>
    </w:tbl>
    <w:p w14:paraId="6A1A5B49">
      <w:pPr>
        <w:pStyle w:val="86"/>
        <w:bidi w:val="0"/>
        <w:jc w:val="both"/>
        <w:rPr>
          <w:rFonts w:hint="default" w:eastAsia="宋体"/>
          <w:color w:val="auto"/>
          <w:highlight w:val="none"/>
          <w:lang w:val="en-US" w:eastAsia="zh-CN"/>
        </w:rPr>
        <w:sectPr>
          <w:footerReference r:id="rId5" w:type="default"/>
          <w:pgSz w:w="16838" w:h="11906" w:orient="landscape"/>
          <w:pgMar w:top="1701" w:right="1134" w:bottom="1418" w:left="1134" w:header="851" w:footer="851" w:gutter="0"/>
          <w:pgBorders>
            <w:top w:val="none" w:sz="0" w:space="0"/>
            <w:left w:val="none" w:sz="0" w:space="0"/>
            <w:bottom w:val="none" w:sz="0" w:space="0"/>
            <w:right w:val="none" w:sz="0" w:space="0"/>
          </w:pgBorders>
          <w:pgNumType w:fmt="decimal"/>
          <w:cols w:space="720" w:num="1"/>
          <w:docGrid w:linePitch="312" w:charSpace="0"/>
        </w:sectPr>
      </w:pPr>
      <w:r>
        <w:rPr>
          <w:color w:val="auto"/>
          <w:highlight w:val="none"/>
        </w:rPr>
        <w:t>注：</w:t>
      </w:r>
      <w:r>
        <w:rPr>
          <w:rFonts w:hint="eastAsia"/>
          <w:color w:val="auto"/>
          <w:highlight w:val="none"/>
        </w:rPr>
        <w:t>（1）</w:t>
      </w:r>
      <w:r>
        <w:rPr>
          <w:color w:val="auto"/>
          <w:highlight w:val="none"/>
        </w:rPr>
        <w:fldChar w:fldCharType="begin"/>
      </w:r>
      <w:r>
        <w:rPr>
          <w:color w:val="auto"/>
          <w:highlight w:val="none"/>
        </w:rPr>
        <w:instrText xml:space="preserve"> = 6 \* GB3 \* MERGEFORMAT </w:instrText>
      </w:r>
      <w:r>
        <w:rPr>
          <w:color w:val="auto"/>
          <w:highlight w:val="none"/>
        </w:rPr>
        <w:fldChar w:fldCharType="separate"/>
      </w:r>
      <w:r>
        <w:rPr>
          <w:rFonts w:hint="eastAsia"/>
          <w:color w:val="auto"/>
          <w:highlight w:val="none"/>
        </w:rPr>
        <w:t>⑥</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1 \* GB3 \* MERGEFORMAT </w:instrText>
      </w:r>
      <w:r>
        <w:rPr>
          <w:color w:val="auto"/>
          <w:highlight w:val="none"/>
        </w:rPr>
        <w:fldChar w:fldCharType="separate"/>
      </w:r>
      <w:r>
        <w:rPr>
          <w:rFonts w:hint="eastAsia"/>
          <w:color w:val="auto"/>
          <w:highlight w:val="none"/>
        </w:rPr>
        <w:t>①</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3 \* GB3 \* MERGEFORMAT </w:instrText>
      </w:r>
      <w:r>
        <w:rPr>
          <w:color w:val="auto"/>
          <w:highlight w:val="none"/>
        </w:rPr>
        <w:fldChar w:fldCharType="separate"/>
      </w:r>
      <w:r>
        <w:rPr>
          <w:rFonts w:hint="eastAsia"/>
          <w:color w:val="auto"/>
          <w:highlight w:val="none"/>
        </w:rPr>
        <w:t>③</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4 \* GB3 \* MERGEFORMAT </w:instrText>
      </w:r>
      <w:r>
        <w:rPr>
          <w:color w:val="auto"/>
          <w:highlight w:val="none"/>
        </w:rPr>
        <w:fldChar w:fldCharType="separate"/>
      </w:r>
      <w:r>
        <w:rPr>
          <w:rFonts w:hint="eastAsia"/>
          <w:color w:val="auto"/>
          <w:highlight w:val="none"/>
        </w:rPr>
        <w:t>④</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5 \* GB3 \* MERGEFORMAT </w:instrText>
      </w:r>
      <w:r>
        <w:rPr>
          <w:color w:val="auto"/>
          <w:highlight w:val="none"/>
        </w:rPr>
        <w:fldChar w:fldCharType="separate"/>
      </w:r>
      <w:r>
        <w:rPr>
          <w:rFonts w:hint="eastAsia"/>
          <w:color w:val="auto"/>
          <w:highlight w:val="none"/>
        </w:rPr>
        <w:t>⑤</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7 \* GB3 \* MERGEFORMAT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6 \* GB3 \* MERGEFORMAT </w:instrText>
      </w:r>
      <w:r>
        <w:rPr>
          <w:color w:val="auto"/>
          <w:highlight w:val="none"/>
        </w:rPr>
        <w:fldChar w:fldCharType="separate"/>
      </w:r>
      <w:r>
        <w:rPr>
          <w:rFonts w:hint="eastAsia"/>
          <w:color w:val="auto"/>
          <w:highlight w:val="none"/>
        </w:rPr>
        <w:t>⑥</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 1 \* GB3 \* MERGEFORMAT </w:instrText>
      </w:r>
      <w:r>
        <w:rPr>
          <w:color w:val="auto"/>
          <w:highlight w:val="none"/>
        </w:rPr>
        <w:fldChar w:fldCharType="separate"/>
      </w:r>
      <w:r>
        <w:rPr>
          <w:rFonts w:hint="eastAsia"/>
          <w:color w:val="auto"/>
          <w:highlight w:val="none"/>
        </w:rPr>
        <w:t>①</w:t>
      </w:r>
      <w:r>
        <w:rPr>
          <w:color w:val="auto"/>
          <w:highlight w:val="none"/>
        </w:rPr>
        <w:fldChar w:fldCharType="end"/>
      </w:r>
      <w:r>
        <w:rPr>
          <w:rFonts w:hint="eastAsia"/>
          <w:color w:val="auto"/>
          <w:highlight w:val="none"/>
        </w:rPr>
        <w:t>；单位t</w:t>
      </w:r>
      <w:r>
        <w:rPr>
          <w:color w:val="auto"/>
          <w:highlight w:val="none"/>
        </w:rPr>
        <w:t>/a</w:t>
      </w:r>
      <w:r>
        <w:rPr>
          <w:rFonts w:hint="eastAsia"/>
          <w:color w:val="auto"/>
          <w:highlight w:val="none"/>
        </w:rPr>
        <w:t>；（2）表中废水污染物的排放量为排入外环境的总量。</w:t>
      </w:r>
    </w:p>
    <w:p w14:paraId="4B6C773A">
      <w:pPr>
        <w:pStyle w:val="22"/>
        <w:adjustRightInd w:val="0"/>
        <w:snapToGrid w:val="0"/>
        <w:spacing w:before="0" w:beforeAutospacing="0" w:after="0" w:afterAutospacing="0" w:line="460" w:lineRule="exact"/>
        <w:outlineLvl w:val="0"/>
        <w:rPr>
          <w:rFonts w:ascii="Times New Roman" w:hAnsi="Times New Roman" w:eastAsia="方正小标宋_GBK"/>
          <w:snapToGrid w:val="0"/>
          <w:color w:val="auto"/>
          <w:sz w:val="38"/>
          <w:szCs w:val="38"/>
          <w:highlight w:val="none"/>
        </w:rPr>
      </w:pPr>
      <w:r>
        <w:rPr>
          <w:rFonts w:hint="eastAsia" w:ascii="Times New Roman" w:hAnsi="Times New Roman" w:eastAsia="方正小标宋_GBK"/>
          <w:snapToGrid w:val="0"/>
          <w:color w:val="auto"/>
          <w:sz w:val="38"/>
          <w:szCs w:val="38"/>
          <w:highlight w:val="none"/>
        </w:rPr>
        <w:t>附图</w:t>
      </w:r>
    </w:p>
    <w:p w14:paraId="0BAFD910">
      <w:pPr>
        <w:spacing w:line="348" w:lineRule="auto"/>
        <w:ind w:firstLine="464" w:firstLineChars="200"/>
        <w:rPr>
          <w:color w:val="auto"/>
          <w:spacing w:val="-4"/>
          <w:kern w:val="24"/>
          <w:sz w:val="24"/>
          <w:highlight w:val="none"/>
        </w:rPr>
      </w:pPr>
    </w:p>
    <w:p w14:paraId="33134E75">
      <w:pPr>
        <w:pStyle w:val="57"/>
        <w:ind w:firstLine="520"/>
        <w:rPr>
          <w:color w:val="auto"/>
          <w:highlight w:val="none"/>
        </w:rPr>
      </w:pPr>
      <w:r>
        <w:rPr>
          <w:color w:val="auto"/>
          <w:highlight w:val="none"/>
        </w:rPr>
        <w:t>附图1 项目地理位置图；</w:t>
      </w:r>
    </w:p>
    <w:p w14:paraId="027A3B82">
      <w:pPr>
        <w:pStyle w:val="57"/>
        <w:ind w:firstLine="520"/>
        <w:rPr>
          <w:color w:val="auto"/>
          <w:highlight w:val="none"/>
        </w:rPr>
      </w:pPr>
      <w:r>
        <w:rPr>
          <w:rFonts w:hint="eastAsia"/>
          <w:color w:val="auto"/>
          <w:highlight w:val="none"/>
        </w:rPr>
        <w:t>附图2</w:t>
      </w:r>
      <w:r>
        <w:rPr>
          <w:rFonts w:hint="eastAsia"/>
          <w:color w:val="auto"/>
          <w:highlight w:val="none"/>
          <w:lang w:val="en-US" w:eastAsia="zh-CN"/>
        </w:rPr>
        <w:t>-1</w:t>
      </w:r>
      <w:r>
        <w:rPr>
          <w:rFonts w:hint="eastAsia"/>
          <w:color w:val="auto"/>
          <w:highlight w:val="none"/>
        </w:rPr>
        <w:t xml:space="preserve"> 项目厂区平面布置图；</w:t>
      </w:r>
    </w:p>
    <w:p w14:paraId="3E192B18">
      <w:pPr>
        <w:pStyle w:val="57"/>
        <w:ind w:firstLine="520"/>
        <w:rPr>
          <w:rFonts w:hint="eastAsia"/>
          <w:color w:val="auto"/>
          <w:highlight w:val="none"/>
        </w:rPr>
      </w:pPr>
      <w:r>
        <w:rPr>
          <w:rFonts w:hint="eastAsia"/>
          <w:color w:val="auto"/>
          <w:highlight w:val="none"/>
        </w:rPr>
        <w:t>附图2-</w:t>
      </w:r>
      <w:r>
        <w:rPr>
          <w:rFonts w:hint="eastAsia"/>
          <w:color w:val="auto"/>
          <w:highlight w:val="none"/>
          <w:lang w:val="en-US" w:eastAsia="zh-CN"/>
        </w:rPr>
        <w:t>2</w:t>
      </w:r>
      <w:r>
        <w:rPr>
          <w:color w:val="auto"/>
          <w:highlight w:val="none"/>
        </w:rPr>
        <w:t xml:space="preserve"> </w:t>
      </w:r>
      <w:r>
        <w:rPr>
          <w:rFonts w:hint="eastAsia"/>
          <w:color w:val="auto"/>
          <w:highlight w:val="none"/>
        </w:rPr>
        <w:t>项目</w:t>
      </w:r>
      <w:r>
        <w:rPr>
          <w:rFonts w:hint="eastAsia"/>
          <w:color w:val="auto"/>
          <w:highlight w:val="none"/>
          <w:lang w:val="en-US" w:eastAsia="zh-CN"/>
        </w:rPr>
        <w:t>2号厂房设备</w:t>
      </w:r>
      <w:r>
        <w:rPr>
          <w:rFonts w:hint="eastAsia"/>
          <w:color w:val="auto"/>
          <w:highlight w:val="none"/>
        </w:rPr>
        <w:t>平面布置图；</w:t>
      </w:r>
    </w:p>
    <w:p w14:paraId="361D09F5">
      <w:pPr>
        <w:pStyle w:val="57"/>
        <w:ind w:firstLine="520"/>
        <w:rPr>
          <w:color w:val="auto"/>
          <w:highlight w:val="none"/>
        </w:rPr>
      </w:pPr>
      <w:r>
        <w:rPr>
          <w:rFonts w:hint="eastAsia"/>
          <w:color w:val="auto"/>
          <w:highlight w:val="none"/>
        </w:rPr>
        <w:t>附图3 厂区</w:t>
      </w:r>
      <w:r>
        <w:rPr>
          <w:rFonts w:hint="eastAsia"/>
          <w:color w:val="auto"/>
          <w:highlight w:val="none"/>
          <w:lang w:val="en-US" w:eastAsia="zh-CN"/>
        </w:rPr>
        <w:t>给排</w:t>
      </w:r>
      <w:r>
        <w:rPr>
          <w:rFonts w:hint="eastAsia"/>
          <w:color w:val="auto"/>
          <w:highlight w:val="none"/>
        </w:rPr>
        <w:t>水管网布置图；</w:t>
      </w:r>
    </w:p>
    <w:p w14:paraId="25AAD601">
      <w:pPr>
        <w:pStyle w:val="57"/>
        <w:ind w:firstLine="520"/>
        <w:rPr>
          <w:color w:val="auto"/>
          <w:highlight w:val="none"/>
        </w:rPr>
      </w:pPr>
      <w:r>
        <w:rPr>
          <w:rFonts w:hint="eastAsia"/>
          <w:color w:val="auto"/>
          <w:highlight w:val="none"/>
        </w:rPr>
        <w:t>附图</w:t>
      </w:r>
      <w:r>
        <w:rPr>
          <w:rFonts w:hint="eastAsia"/>
          <w:color w:val="auto"/>
          <w:highlight w:val="none"/>
          <w:lang w:val="en-US" w:eastAsia="zh-CN"/>
        </w:rPr>
        <w:t>4</w:t>
      </w:r>
      <w:r>
        <w:rPr>
          <w:color w:val="auto"/>
          <w:highlight w:val="none"/>
        </w:rPr>
        <w:t xml:space="preserve"> </w:t>
      </w:r>
      <w:r>
        <w:rPr>
          <w:rFonts w:hint="eastAsia"/>
          <w:color w:val="auto"/>
          <w:highlight w:val="none"/>
        </w:rPr>
        <w:t>项目环保设施及分区防渗图；</w:t>
      </w:r>
    </w:p>
    <w:p w14:paraId="39EF89CF">
      <w:pPr>
        <w:pStyle w:val="57"/>
        <w:ind w:firstLine="520"/>
        <w:rPr>
          <w:color w:val="auto"/>
          <w:highlight w:val="none"/>
        </w:rPr>
      </w:pPr>
      <w:r>
        <w:rPr>
          <w:rFonts w:hint="eastAsia"/>
          <w:color w:val="auto"/>
          <w:highlight w:val="none"/>
        </w:rPr>
        <w:t>附图</w:t>
      </w:r>
      <w:r>
        <w:rPr>
          <w:color w:val="auto"/>
          <w:highlight w:val="none"/>
        </w:rPr>
        <w:t xml:space="preserve">5 </w:t>
      </w:r>
      <w:r>
        <w:rPr>
          <w:rFonts w:hint="eastAsia"/>
          <w:color w:val="auto"/>
          <w:highlight w:val="none"/>
        </w:rPr>
        <w:t>项目外环境关系示意图；</w:t>
      </w:r>
    </w:p>
    <w:p w14:paraId="02F6E2B7">
      <w:pPr>
        <w:pStyle w:val="57"/>
        <w:ind w:firstLine="520"/>
        <w:rPr>
          <w:color w:val="auto"/>
          <w:highlight w:val="none"/>
        </w:rPr>
      </w:pPr>
      <w:r>
        <w:rPr>
          <w:rFonts w:hint="eastAsia"/>
          <w:color w:val="auto"/>
          <w:highlight w:val="none"/>
        </w:rPr>
        <w:t>附图</w:t>
      </w:r>
      <w:r>
        <w:rPr>
          <w:color w:val="auto"/>
          <w:highlight w:val="none"/>
        </w:rPr>
        <w:t>6</w:t>
      </w:r>
      <w:r>
        <w:rPr>
          <w:rFonts w:hint="eastAsia"/>
          <w:color w:val="auto"/>
          <w:highlight w:val="none"/>
        </w:rPr>
        <w:t xml:space="preserve"> 环境保护目标分布图</w:t>
      </w:r>
      <w:r>
        <w:rPr>
          <w:color w:val="auto"/>
          <w:highlight w:val="none"/>
        </w:rPr>
        <w:t>；</w:t>
      </w:r>
    </w:p>
    <w:p w14:paraId="44A380AF">
      <w:pPr>
        <w:pStyle w:val="57"/>
        <w:ind w:firstLine="520"/>
        <w:rPr>
          <w:color w:val="auto"/>
          <w:highlight w:val="none"/>
        </w:rPr>
      </w:pPr>
      <w:r>
        <w:rPr>
          <w:rFonts w:hint="eastAsia"/>
          <w:color w:val="auto"/>
          <w:highlight w:val="none"/>
        </w:rPr>
        <w:t>附图</w:t>
      </w:r>
      <w:r>
        <w:rPr>
          <w:color w:val="auto"/>
          <w:highlight w:val="none"/>
        </w:rPr>
        <w:t>7</w:t>
      </w:r>
      <w:r>
        <w:rPr>
          <w:rFonts w:hint="eastAsia"/>
          <w:color w:val="auto"/>
          <w:highlight w:val="none"/>
        </w:rPr>
        <w:t xml:space="preserve"> 项目所在区域地表水系图；</w:t>
      </w:r>
    </w:p>
    <w:p w14:paraId="478FFEE4">
      <w:pPr>
        <w:pStyle w:val="57"/>
        <w:ind w:firstLine="520"/>
        <w:rPr>
          <w:color w:val="auto"/>
          <w:highlight w:val="none"/>
        </w:rPr>
      </w:pPr>
      <w:r>
        <w:rPr>
          <w:rFonts w:hint="eastAsia"/>
          <w:color w:val="auto"/>
          <w:highlight w:val="none"/>
        </w:rPr>
        <w:t>附图8 环境质量现状监测布点图；</w:t>
      </w:r>
    </w:p>
    <w:p w14:paraId="66239183">
      <w:pPr>
        <w:pStyle w:val="57"/>
        <w:ind w:firstLine="520"/>
        <w:rPr>
          <w:rFonts w:hint="eastAsia" w:eastAsia="宋体"/>
          <w:color w:val="auto"/>
          <w:highlight w:val="none"/>
          <w:lang w:eastAsia="zh-CN"/>
        </w:rPr>
      </w:pPr>
      <w:r>
        <w:rPr>
          <w:rFonts w:hint="eastAsia"/>
          <w:color w:val="auto"/>
          <w:highlight w:val="none"/>
        </w:rPr>
        <w:t>附图</w:t>
      </w:r>
      <w:r>
        <w:rPr>
          <w:rFonts w:hint="eastAsia"/>
          <w:color w:val="auto"/>
          <w:highlight w:val="none"/>
          <w:lang w:val="en-US" w:eastAsia="zh-CN"/>
        </w:rPr>
        <w:t>9</w:t>
      </w:r>
      <w:r>
        <w:rPr>
          <w:color w:val="auto"/>
          <w:highlight w:val="none"/>
        </w:rPr>
        <w:t xml:space="preserve"> </w:t>
      </w:r>
      <w:r>
        <w:rPr>
          <w:rFonts w:hint="eastAsia"/>
          <w:color w:val="auto"/>
          <w:highlight w:val="none"/>
        </w:rPr>
        <w:t>项目与环境管控</w:t>
      </w:r>
      <w:r>
        <w:rPr>
          <w:rFonts w:hint="eastAsia"/>
          <w:color w:val="auto"/>
          <w:highlight w:val="none"/>
          <w:lang w:val="en-US" w:eastAsia="zh-CN"/>
        </w:rPr>
        <w:t>分区</w:t>
      </w:r>
      <w:r>
        <w:rPr>
          <w:rFonts w:hint="eastAsia"/>
          <w:color w:val="auto"/>
          <w:highlight w:val="none"/>
        </w:rPr>
        <w:t>关系示意图</w:t>
      </w:r>
      <w:r>
        <w:rPr>
          <w:rFonts w:hint="eastAsia"/>
          <w:color w:val="auto"/>
          <w:highlight w:val="none"/>
          <w:lang w:eastAsia="zh-CN"/>
        </w:rPr>
        <w:t>；</w:t>
      </w:r>
    </w:p>
    <w:p w14:paraId="0957719E">
      <w:pPr>
        <w:pStyle w:val="57"/>
        <w:ind w:firstLine="520"/>
        <w:rPr>
          <w:rFonts w:hint="eastAsia" w:eastAsia="宋体"/>
          <w:color w:val="auto"/>
          <w:highlight w:val="none"/>
          <w:lang w:eastAsia="zh-CN"/>
        </w:rPr>
      </w:pPr>
      <w:r>
        <w:rPr>
          <w:rFonts w:hint="eastAsia"/>
          <w:color w:val="auto"/>
          <w:highlight w:val="none"/>
        </w:rPr>
        <w:t>附图</w:t>
      </w:r>
      <w:r>
        <w:rPr>
          <w:rFonts w:hint="eastAsia"/>
          <w:color w:val="auto"/>
          <w:highlight w:val="none"/>
          <w:lang w:val="en-US" w:eastAsia="zh-CN"/>
        </w:rPr>
        <w:t>10</w:t>
      </w:r>
      <w:r>
        <w:rPr>
          <w:rFonts w:hint="eastAsia"/>
          <w:color w:val="auto"/>
          <w:highlight w:val="none"/>
        </w:rPr>
        <w:t xml:space="preserve"> 园区土地利用规划图</w:t>
      </w:r>
    </w:p>
    <w:p w14:paraId="0F60707E">
      <w:pPr>
        <w:pStyle w:val="57"/>
        <w:ind w:firstLine="520"/>
        <w:rPr>
          <w:rFonts w:hint="eastAsia"/>
          <w:color w:val="auto"/>
          <w:highlight w:val="none"/>
        </w:rPr>
      </w:pPr>
    </w:p>
    <w:p w14:paraId="605C4329">
      <w:pPr>
        <w:pStyle w:val="22"/>
        <w:adjustRightInd w:val="0"/>
        <w:snapToGrid w:val="0"/>
        <w:spacing w:before="0" w:beforeAutospacing="0" w:after="0" w:afterAutospacing="0" w:line="460" w:lineRule="exact"/>
        <w:outlineLvl w:val="0"/>
        <w:rPr>
          <w:rFonts w:ascii="Times New Roman" w:hAnsi="Times New Roman" w:eastAsia="方正小标宋_GBK"/>
          <w:snapToGrid w:val="0"/>
          <w:color w:val="auto"/>
          <w:sz w:val="38"/>
          <w:szCs w:val="38"/>
          <w:highlight w:val="none"/>
        </w:rPr>
      </w:pPr>
      <w:r>
        <w:rPr>
          <w:rFonts w:ascii="Times New Roman" w:hAnsi="Times New Roman" w:eastAsia="方正小标宋_GBK"/>
          <w:snapToGrid w:val="0"/>
          <w:color w:val="auto"/>
          <w:sz w:val="38"/>
          <w:szCs w:val="38"/>
          <w:highlight w:val="none"/>
        </w:rPr>
        <w:t>附件</w:t>
      </w:r>
    </w:p>
    <w:p w14:paraId="0B00CC3F">
      <w:pPr>
        <w:spacing w:line="360" w:lineRule="auto"/>
        <w:ind w:left="1232" w:leftChars="200" w:hanging="812" w:hangingChars="350"/>
        <w:rPr>
          <w:color w:val="auto"/>
          <w:spacing w:val="-4"/>
          <w:kern w:val="24"/>
          <w:sz w:val="24"/>
          <w:highlight w:val="none"/>
        </w:rPr>
      </w:pPr>
    </w:p>
    <w:p w14:paraId="69B8DF75">
      <w:pPr>
        <w:pStyle w:val="57"/>
        <w:ind w:firstLine="520"/>
        <w:rPr>
          <w:color w:val="auto"/>
          <w:highlight w:val="none"/>
        </w:rPr>
      </w:pPr>
      <w:r>
        <w:rPr>
          <w:rFonts w:hint="eastAsia"/>
          <w:color w:val="auto"/>
          <w:highlight w:val="none"/>
        </w:rPr>
        <w:t>附件1 项目投资备案证；</w:t>
      </w:r>
    </w:p>
    <w:p w14:paraId="228F51C4">
      <w:pPr>
        <w:pStyle w:val="57"/>
        <w:ind w:firstLine="520"/>
        <w:rPr>
          <w:color w:val="auto"/>
          <w:highlight w:val="none"/>
        </w:rPr>
      </w:pPr>
      <w:r>
        <w:rPr>
          <w:rFonts w:hint="eastAsia"/>
          <w:color w:val="auto"/>
          <w:highlight w:val="none"/>
        </w:rPr>
        <w:t xml:space="preserve">附件2 </w:t>
      </w:r>
      <w:r>
        <w:rPr>
          <w:rFonts w:hint="eastAsia"/>
          <w:color w:val="auto"/>
          <w:highlight w:val="none"/>
          <w:lang w:val="en-US" w:eastAsia="zh-CN"/>
        </w:rPr>
        <w:t>项目用地规划文件</w:t>
      </w:r>
      <w:r>
        <w:rPr>
          <w:rFonts w:hint="eastAsia"/>
          <w:color w:val="auto"/>
          <w:highlight w:val="none"/>
        </w:rPr>
        <w:t>；</w:t>
      </w:r>
    </w:p>
    <w:p w14:paraId="23B56EDA">
      <w:pPr>
        <w:pStyle w:val="57"/>
        <w:ind w:firstLine="520"/>
        <w:rPr>
          <w:color w:val="auto"/>
          <w:highlight w:val="none"/>
        </w:rPr>
      </w:pPr>
      <w:r>
        <w:rPr>
          <w:rFonts w:hint="eastAsia"/>
          <w:color w:val="auto"/>
          <w:highlight w:val="none"/>
        </w:rPr>
        <w:t xml:space="preserve">附件3 </w:t>
      </w:r>
      <w:r>
        <w:rPr>
          <w:rFonts w:hint="eastAsia"/>
          <w:color w:val="auto"/>
          <w:highlight w:val="none"/>
          <w:lang w:val="en-US" w:eastAsia="zh-CN"/>
        </w:rPr>
        <w:t>原环评批复</w:t>
      </w:r>
      <w:r>
        <w:rPr>
          <w:rFonts w:hint="eastAsia"/>
          <w:color w:val="auto"/>
          <w:highlight w:val="none"/>
        </w:rPr>
        <w:t>；</w:t>
      </w:r>
    </w:p>
    <w:p w14:paraId="686201C3">
      <w:pPr>
        <w:pStyle w:val="57"/>
        <w:ind w:firstLine="520"/>
        <w:rPr>
          <w:rFonts w:hint="eastAsia"/>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 xml:space="preserve"> </w:t>
      </w:r>
      <w:r>
        <w:rPr>
          <w:rFonts w:hint="eastAsia"/>
          <w:color w:val="auto"/>
          <w:highlight w:val="none"/>
          <w:lang w:val="en-US" w:eastAsia="zh-CN"/>
        </w:rPr>
        <w:t>投资协议</w:t>
      </w:r>
      <w:r>
        <w:rPr>
          <w:rFonts w:hint="eastAsia"/>
          <w:color w:val="auto"/>
          <w:highlight w:val="none"/>
        </w:rPr>
        <w:t>；</w:t>
      </w:r>
    </w:p>
    <w:p w14:paraId="705A5B8D">
      <w:pPr>
        <w:pStyle w:val="57"/>
        <w:ind w:firstLine="520"/>
        <w:rPr>
          <w:rFonts w:hint="default" w:eastAsia="宋体"/>
          <w:color w:val="auto"/>
          <w:highlight w:val="none"/>
          <w:lang w:val="en-US" w:eastAsia="zh-CN"/>
        </w:rPr>
      </w:pPr>
      <w:r>
        <w:rPr>
          <w:rFonts w:hint="eastAsia"/>
          <w:color w:val="auto"/>
          <w:highlight w:val="none"/>
          <w:lang w:val="en-US" w:eastAsia="zh-CN"/>
        </w:rPr>
        <w:t>附件5园区规划环评审查意见函</w:t>
      </w:r>
    </w:p>
    <w:p w14:paraId="3578444A">
      <w:pPr>
        <w:pStyle w:val="57"/>
        <w:ind w:firstLine="520"/>
        <w:rPr>
          <w:rFonts w:hint="eastAsia"/>
          <w:color w:val="auto"/>
          <w:highlight w:val="none"/>
        </w:rPr>
      </w:pPr>
      <w:r>
        <w:rPr>
          <w:rFonts w:hint="eastAsia"/>
          <w:color w:val="auto"/>
          <w:highlight w:val="none"/>
        </w:rPr>
        <w:t>附件</w:t>
      </w:r>
      <w:r>
        <w:rPr>
          <w:rFonts w:hint="eastAsia"/>
          <w:color w:val="auto"/>
          <w:highlight w:val="none"/>
          <w:lang w:val="en-US" w:eastAsia="zh-CN"/>
        </w:rPr>
        <w:t>6</w:t>
      </w:r>
      <w:r>
        <w:rPr>
          <w:rFonts w:hint="eastAsia"/>
          <w:color w:val="auto"/>
          <w:highlight w:val="none"/>
        </w:rPr>
        <w:t xml:space="preserve"> </w:t>
      </w:r>
      <w:r>
        <w:rPr>
          <w:rFonts w:hint="eastAsia"/>
          <w:color w:val="auto"/>
          <w:highlight w:val="none"/>
          <w:lang w:eastAsia="zh-CN"/>
        </w:rPr>
        <w:t>“三线一单”</w:t>
      </w:r>
      <w:r>
        <w:rPr>
          <w:rFonts w:hint="eastAsia"/>
          <w:color w:val="auto"/>
          <w:highlight w:val="none"/>
        </w:rPr>
        <w:t>智检分析报告；</w:t>
      </w:r>
    </w:p>
    <w:p w14:paraId="27C04686">
      <w:pPr>
        <w:pStyle w:val="57"/>
        <w:ind w:firstLine="520"/>
        <w:rPr>
          <w:rFonts w:hint="default"/>
          <w:color w:val="auto"/>
          <w:highlight w:val="none"/>
          <w:lang w:val="en-US" w:eastAsia="zh-CN"/>
        </w:rPr>
      </w:pPr>
      <w:r>
        <w:rPr>
          <w:rFonts w:hint="eastAsia"/>
          <w:color w:val="auto"/>
          <w:highlight w:val="none"/>
          <w:lang w:val="en-US" w:eastAsia="zh-CN"/>
        </w:rPr>
        <w:t>附件7 原料MSDS报告、检验报告；</w:t>
      </w:r>
    </w:p>
    <w:p w14:paraId="2BFC53EC">
      <w:pPr>
        <w:pStyle w:val="57"/>
        <w:ind w:firstLine="520"/>
        <w:rPr>
          <w:rFonts w:hint="eastAsia"/>
          <w:color w:val="auto"/>
          <w:highlight w:val="none"/>
          <w:lang w:val="en-US" w:eastAsia="zh-CN"/>
        </w:rPr>
      </w:pPr>
      <w:r>
        <w:rPr>
          <w:rFonts w:hint="eastAsia"/>
          <w:color w:val="auto"/>
          <w:highlight w:val="none"/>
          <w:lang w:val="en-US" w:eastAsia="zh-CN"/>
        </w:rPr>
        <w:t>附件8 环境质量现状监测报告（引用）；</w:t>
      </w:r>
    </w:p>
    <w:p w14:paraId="74E34F17">
      <w:pPr>
        <w:pStyle w:val="57"/>
        <w:ind w:firstLine="520"/>
        <w:rPr>
          <w:rFonts w:hint="eastAsia"/>
          <w:color w:val="auto"/>
          <w:highlight w:val="none"/>
          <w:lang w:val="en-US" w:eastAsia="zh-CN"/>
        </w:rPr>
      </w:pPr>
      <w:r>
        <w:rPr>
          <w:rFonts w:hint="eastAsia"/>
          <w:color w:val="auto"/>
          <w:highlight w:val="none"/>
          <w:lang w:val="en-US" w:eastAsia="zh-CN"/>
        </w:rPr>
        <w:t>附件9 责令整改通知书；</w:t>
      </w:r>
    </w:p>
    <w:p w14:paraId="137B9EF2">
      <w:pPr>
        <w:pStyle w:val="57"/>
        <w:rPr>
          <w:rFonts w:hint="eastAsia"/>
          <w:color w:val="auto"/>
          <w:highlight w:val="none"/>
          <w:lang w:val="en-US" w:eastAsia="zh-CN"/>
        </w:rPr>
      </w:pPr>
      <w:r>
        <w:rPr>
          <w:rFonts w:hint="eastAsia"/>
          <w:color w:val="auto"/>
          <w:highlight w:val="none"/>
          <w:lang w:val="en-US" w:eastAsia="zh-CN"/>
        </w:rPr>
        <w:t>附件10 行业类别证明；</w:t>
      </w:r>
    </w:p>
    <w:p w14:paraId="20B0DD9D">
      <w:pPr>
        <w:pStyle w:val="57"/>
        <w:rPr>
          <w:rFonts w:hint="eastAsia"/>
          <w:color w:val="auto"/>
          <w:highlight w:val="none"/>
          <w:lang w:val="en-US" w:eastAsia="zh-CN"/>
        </w:rPr>
      </w:pPr>
      <w:r>
        <w:rPr>
          <w:rFonts w:hint="eastAsia"/>
          <w:color w:val="auto"/>
          <w:highlight w:val="none"/>
          <w:lang w:val="en-US" w:eastAsia="zh-CN"/>
        </w:rPr>
        <w:t>附件11 生活污水接纳证明；</w:t>
      </w:r>
    </w:p>
    <w:p w14:paraId="18903F90">
      <w:pPr>
        <w:pStyle w:val="57"/>
        <w:rPr>
          <w:rFonts w:hint="default"/>
          <w:color w:val="auto"/>
          <w:highlight w:val="none"/>
          <w:lang w:val="en-US" w:eastAsia="zh-CN"/>
        </w:rPr>
      </w:pPr>
      <w:r>
        <w:rPr>
          <w:rFonts w:hint="eastAsia"/>
          <w:color w:val="auto"/>
          <w:highlight w:val="none"/>
          <w:lang w:val="en-US" w:eastAsia="zh-CN"/>
        </w:rPr>
        <w:t>附件12 生产废水处置协议</w:t>
      </w:r>
    </w:p>
    <w:p w14:paraId="688876C7">
      <w:pPr>
        <w:pStyle w:val="57"/>
        <w:ind w:firstLine="520"/>
        <w:rPr>
          <w:rFonts w:hint="default"/>
          <w:color w:val="auto"/>
          <w:highlight w:val="none"/>
          <w:lang w:val="en-US" w:eastAsia="zh-CN"/>
        </w:rPr>
      </w:pPr>
    </w:p>
    <w:sectPr>
      <w:footerReference r:id="rId6" w:type="default"/>
      <w:pgSz w:w="11906" w:h="16838"/>
      <w:pgMar w:top="1701" w:right="1134" w:bottom="1134" w:left="1134"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altName w:val="方正仿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MS Gothic">
    <w:altName w:val="方正仿宋_GBK"/>
    <w:panose1 w:val="020B0609070205080204"/>
    <w:charset w:val="80"/>
    <w:family w:val="modern"/>
    <w:pitch w:val="default"/>
    <w:sig w:usb0="00000000" w:usb1="00000000"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4D2F">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88AD">
    <w:pPr>
      <w:pStyle w:val="1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508D3">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sz w:val="26"/>
                              <w:szCs w:val="26"/>
                            </w:rPr>
                            <w:fldChar w:fldCharType="begin"/>
                          </w:r>
                          <w:r>
                            <w:rPr>
                              <w:rStyle w:val="29"/>
                              <w:sz w:val="26"/>
                              <w:szCs w:val="26"/>
                            </w:rPr>
                            <w:instrText xml:space="preserve">PAGE  </w:instrText>
                          </w:r>
                          <w:r>
                            <w:rPr>
                              <w:rStyle w:val="29"/>
                              <w:sz w:val="26"/>
                              <w:szCs w:val="26"/>
                            </w:rPr>
                            <w:fldChar w:fldCharType="separate"/>
                          </w:r>
                          <w:r>
                            <w:rPr>
                              <w:rStyle w:val="29"/>
                              <w:sz w:val="26"/>
                              <w:szCs w:val="26"/>
                            </w:rPr>
                            <w:t>24</w:t>
                          </w:r>
                          <w:r>
                            <w:rPr>
                              <w:rStyle w:val="29"/>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363C76C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F508D3">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sz w:val="26"/>
                        <w:szCs w:val="26"/>
                      </w:rPr>
                      <w:fldChar w:fldCharType="begin"/>
                    </w:r>
                    <w:r>
                      <w:rPr>
                        <w:rStyle w:val="29"/>
                        <w:sz w:val="26"/>
                        <w:szCs w:val="26"/>
                      </w:rPr>
                      <w:instrText xml:space="preserve">PAGE  </w:instrText>
                    </w:r>
                    <w:r>
                      <w:rPr>
                        <w:rStyle w:val="29"/>
                        <w:sz w:val="26"/>
                        <w:szCs w:val="26"/>
                      </w:rPr>
                      <w:fldChar w:fldCharType="separate"/>
                    </w:r>
                    <w:r>
                      <w:rPr>
                        <w:rStyle w:val="29"/>
                        <w:sz w:val="26"/>
                        <w:szCs w:val="26"/>
                      </w:rPr>
                      <w:t>24</w:t>
                    </w:r>
                    <w:r>
                      <w:rPr>
                        <w:rStyle w:val="29"/>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363C76C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45F3">
    <w:pPr>
      <w:pStyle w:val="1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9496E">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108</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3E82B80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9496E">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108</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3E82B80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CA141">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A35A0">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110</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4FA4C1E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4FDA35A0">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ascii="宋体" w:hAnsi="宋体"/>
                        <w:sz w:val="26"/>
                        <w:szCs w:val="26"/>
                      </w:rPr>
                      <w:fldChar w:fldCharType="begin"/>
                    </w:r>
                    <w:r>
                      <w:rPr>
                        <w:rStyle w:val="29"/>
                        <w:rFonts w:ascii="宋体" w:hAnsi="宋体"/>
                        <w:sz w:val="26"/>
                        <w:szCs w:val="26"/>
                      </w:rPr>
                      <w:instrText xml:space="preserve">PAGE  </w:instrText>
                    </w:r>
                    <w:r>
                      <w:rPr>
                        <w:rStyle w:val="29"/>
                        <w:rFonts w:ascii="宋体" w:hAnsi="宋体"/>
                        <w:sz w:val="26"/>
                        <w:szCs w:val="26"/>
                      </w:rPr>
                      <w:fldChar w:fldCharType="separate"/>
                    </w:r>
                    <w:r>
                      <w:rPr>
                        <w:rStyle w:val="29"/>
                        <w:rFonts w:ascii="宋体" w:hAnsi="宋体"/>
                        <w:sz w:val="26"/>
                        <w:szCs w:val="26"/>
                      </w:rPr>
                      <w:t>110</w:t>
                    </w:r>
                    <w:r>
                      <w:rPr>
                        <w:rStyle w:val="29"/>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14:paraId="4FA4C1E4"/>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A6F9E8"/>
    <w:multiLevelType w:val="singleLevel"/>
    <w:tmpl w:val="39A6F9E8"/>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788F1C41"/>
    <w:multiLevelType w:val="singleLevel"/>
    <w:tmpl w:val="788F1C41"/>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今天想做个好人">
    <w15:presenceInfo w15:providerId="WPS Office" w15:userId="604027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wZGE0ZWFmYzU4MWVmOGI3YWZiMWY5ZTlhOTFlN2QifQ=="/>
  </w:docVars>
  <w:rsids>
    <w:rsidRoot w:val="00172A27"/>
    <w:rsid w:val="00000050"/>
    <w:rsid w:val="00000256"/>
    <w:rsid w:val="00000DB0"/>
    <w:rsid w:val="00001524"/>
    <w:rsid w:val="00001A82"/>
    <w:rsid w:val="00003705"/>
    <w:rsid w:val="00003CDA"/>
    <w:rsid w:val="0000420B"/>
    <w:rsid w:val="00004697"/>
    <w:rsid w:val="00004AEF"/>
    <w:rsid w:val="00004B40"/>
    <w:rsid w:val="00004C1B"/>
    <w:rsid w:val="00005188"/>
    <w:rsid w:val="00005460"/>
    <w:rsid w:val="00005DDA"/>
    <w:rsid w:val="00005E01"/>
    <w:rsid w:val="00005E14"/>
    <w:rsid w:val="000060B3"/>
    <w:rsid w:val="000061EF"/>
    <w:rsid w:val="00006612"/>
    <w:rsid w:val="00006958"/>
    <w:rsid w:val="0000723B"/>
    <w:rsid w:val="000074F0"/>
    <w:rsid w:val="000110FA"/>
    <w:rsid w:val="00011561"/>
    <w:rsid w:val="00011575"/>
    <w:rsid w:val="000118F5"/>
    <w:rsid w:val="00011BB6"/>
    <w:rsid w:val="00011CB7"/>
    <w:rsid w:val="00012134"/>
    <w:rsid w:val="00012219"/>
    <w:rsid w:val="00013E0D"/>
    <w:rsid w:val="0001417B"/>
    <w:rsid w:val="000141FE"/>
    <w:rsid w:val="0001452E"/>
    <w:rsid w:val="000158CD"/>
    <w:rsid w:val="000163E5"/>
    <w:rsid w:val="00016E83"/>
    <w:rsid w:val="00017B9A"/>
    <w:rsid w:val="000206AD"/>
    <w:rsid w:val="00020C74"/>
    <w:rsid w:val="00020F33"/>
    <w:rsid w:val="00021082"/>
    <w:rsid w:val="00021386"/>
    <w:rsid w:val="00022627"/>
    <w:rsid w:val="00022CC4"/>
    <w:rsid w:val="000235C1"/>
    <w:rsid w:val="000239AD"/>
    <w:rsid w:val="00025051"/>
    <w:rsid w:val="00025F56"/>
    <w:rsid w:val="000270A2"/>
    <w:rsid w:val="00027A29"/>
    <w:rsid w:val="00027CB5"/>
    <w:rsid w:val="00030996"/>
    <w:rsid w:val="00030DBE"/>
    <w:rsid w:val="00031928"/>
    <w:rsid w:val="000324D6"/>
    <w:rsid w:val="000329FC"/>
    <w:rsid w:val="00032D6A"/>
    <w:rsid w:val="00032D95"/>
    <w:rsid w:val="00032EC1"/>
    <w:rsid w:val="00034A09"/>
    <w:rsid w:val="00035A98"/>
    <w:rsid w:val="0003786F"/>
    <w:rsid w:val="00037AFC"/>
    <w:rsid w:val="00037D18"/>
    <w:rsid w:val="00041C28"/>
    <w:rsid w:val="00041E65"/>
    <w:rsid w:val="000422BD"/>
    <w:rsid w:val="000429D9"/>
    <w:rsid w:val="0004334D"/>
    <w:rsid w:val="000435C0"/>
    <w:rsid w:val="0004364B"/>
    <w:rsid w:val="00043A19"/>
    <w:rsid w:val="00043E08"/>
    <w:rsid w:val="00044104"/>
    <w:rsid w:val="00044CEE"/>
    <w:rsid w:val="00045B85"/>
    <w:rsid w:val="00046DE3"/>
    <w:rsid w:val="00047057"/>
    <w:rsid w:val="000473E8"/>
    <w:rsid w:val="00051818"/>
    <w:rsid w:val="000524F8"/>
    <w:rsid w:val="00052711"/>
    <w:rsid w:val="00052B4E"/>
    <w:rsid w:val="000544F8"/>
    <w:rsid w:val="000546FF"/>
    <w:rsid w:val="00055032"/>
    <w:rsid w:val="000550D6"/>
    <w:rsid w:val="00055212"/>
    <w:rsid w:val="00055B82"/>
    <w:rsid w:val="00055E30"/>
    <w:rsid w:val="00057616"/>
    <w:rsid w:val="00057E42"/>
    <w:rsid w:val="0006098D"/>
    <w:rsid w:val="00060A15"/>
    <w:rsid w:val="00060BD5"/>
    <w:rsid w:val="0006157B"/>
    <w:rsid w:val="00061B1F"/>
    <w:rsid w:val="00061EAD"/>
    <w:rsid w:val="000622C3"/>
    <w:rsid w:val="00062E3D"/>
    <w:rsid w:val="000638B7"/>
    <w:rsid w:val="00064885"/>
    <w:rsid w:val="00064CF3"/>
    <w:rsid w:val="000652D3"/>
    <w:rsid w:val="00065D32"/>
    <w:rsid w:val="00066E0E"/>
    <w:rsid w:val="00067803"/>
    <w:rsid w:val="00067D3B"/>
    <w:rsid w:val="00071174"/>
    <w:rsid w:val="00072420"/>
    <w:rsid w:val="00072CCF"/>
    <w:rsid w:val="000733C4"/>
    <w:rsid w:val="00074744"/>
    <w:rsid w:val="00074783"/>
    <w:rsid w:val="000749F5"/>
    <w:rsid w:val="0007767C"/>
    <w:rsid w:val="00077C7B"/>
    <w:rsid w:val="0008070B"/>
    <w:rsid w:val="00080A75"/>
    <w:rsid w:val="00080C79"/>
    <w:rsid w:val="000810AC"/>
    <w:rsid w:val="00081518"/>
    <w:rsid w:val="00081A02"/>
    <w:rsid w:val="00082231"/>
    <w:rsid w:val="000828AC"/>
    <w:rsid w:val="00082F7C"/>
    <w:rsid w:val="00082FF2"/>
    <w:rsid w:val="00083C80"/>
    <w:rsid w:val="00084174"/>
    <w:rsid w:val="00084313"/>
    <w:rsid w:val="0008547B"/>
    <w:rsid w:val="000859F6"/>
    <w:rsid w:val="00085BF2"/>
    <w:rsid w:val="00085ECC"/>
    <w:rsid w:val="000862EF"/>
    <w:rsid w:val="00086B55"/>
    <w:rsid w:val="00086C4E"/>
    <w:rsid w:val="00087853"/>
    <w:rsid w:val="0009060E"/>
    <w:rsid w:val="000906B8"/>
    <w:rsid w:val="00090E34"/>
    <w:rsid w:val="0009133E"/>
    <w:rsid w:val="00091C60"/>
    <w:rsid w:val="00092A1C"/>
    <w:rsid w:val="00092D38"/>
    <w:rsid w:val="0009377B"/>
    <w:rsid w:val="0009395C"/>
    <w:rsid w:val="00093BBA"/>
    <w:rsid w:val="00095430"/>
    <w:rsid w:val="00095C4A"/>
    <w:rsid w:val="0009601C"/>
    <w:rsid w:val="0009654F"/>
    <w:rsid w:val="0009684C"/>
    <w:rsid w:val="00096917"/>
    <w:rsid w:val="00096E33"/>
    <w:rsid w:val="00097A22"/>
    <w:rsid w:val="00097D94"/>
    <w:rsid w:val="000A073C"/>
    <w:rsid w:val="000A0ADF"/>
    <w:rsid w:val="000A10E7"/>
    <w:rsid w:val="000A19A8"/>
    <w:rsid w:val="000A1A2D"/>
    <w:rsid w:val="000A1ACE"/>
    <w:rsid w:val="000A1B28"/>
    <w:rsid w:val="000A1DFC"/>
    <w:rsid w:val="000A20C9"/>
    <w:rsid w:val="000A25B7"/>
    <w:rsid w:val="000A26C1"/>
    <w:rsid w:val="000A36B1"/>
    <w:rsid w:val="000A4091"/>
    <w:rsid w:val="000A4649"/>
    <w:rsid w:val="000A4B70"/>
    <w:rsid w:val="000A525C"/>
    <w:rsid w:val="000A52FB"/>
    <w:rsid w:val="000A569C"/>
    <w:rsid w:val="000A622B"/>
    <w:rsid w:val="000B001D"/>
    <w:rsid w:val="000B058F"/>
    <w:rsid w:val="000B138C"/>
    <w:rsid w:val="000B1733"/>
    <w:rsid w:val="000B2564"/>
    <w:rsid w:val="000B2E17"/>
    <w:rsid w:val="000B3407"/>
    <w:rsid w:val="000B3EDD"/>
    <w:rsid w:val="000B4467"/>
    <w:rsid w:val="000B4DB9"/>
    <w:rsid w:val="000B5015"/>
    <w:rsid w:val="000B52ED"/>
    <w:rsid w:val="000B58D6"/>
    <w:rsid w:val="000B64A3"/>
    <w:rsid w:val="000B74B6"/>
    <w:rsid w:val="000B7FD7"/>
    <w:rsid w:val="000C0099"/>
    <w:rsid w:val="000C09AC"/>
    <w:rsid w:val="000C3229"/>
    <w:rsid w:val="000C372E"/>
    <w:rsid w:val="000C4097"/>
    <w:rsid w:val="000C48CB"/>
    <w:rsid w:val="000C4A77"/>
    <w:rsid w:val="000C5266"/>
    <w:rsid w:val="000C5938"/>
    <w:rsid w:val="000C5A73"/>
    <w:rsid w:val="000C6AA8"/>
    <w:rsid w:val="000C6BF3"/>
    <w:rsid w:val="000C6DB6"/>
    <w:rsid w:val="000C6F3D"/>
    <w:rsid w:val="000C767F"/>
    <w:rsid w:val="000C7E22"/>
    <w:rsid w:val="000D1BA1"/>
    <w:rsid w:val="000D2C40"/>
    <w:rsid w:val="000D2DBA"/>
    <w:rsid w:val="000D3057"/>
    <w:rsid w:val="000D3096"/>
    <w:rsid w:val="000D34A9"/>
    <w:rsid w:val="000D376D"/>
    <w:rsid w:val="000D5800"/>
    <w:rsid w:val="000D5A44"/>
    <w:rsid w:val="000E0CC8"/>
    <w:rsid w:val="000E150B"/>
    <w:rsid w:val="000E1968"/>
    <w:rsid w:val="000E24A1"/>
    <w:rsid w:val="000E3BC6"/>
    <w:rsid w:val="000E3D8C"/>
    <w:rsid w:val="000E3ED2"/>
    <w:rsid w:val="000E3F2C"/>
    <w:rsid w:val="000E415B"/>
    <w:rsid w:val="000E5220"/>
    <w:rsid w:val="000E6A5A"/>
    <w:rsid w:val="000E6FA1"/>
    <w:rsid w:val="000E70FB"/>
    <w:rsid w:val="000E7541"/>
    <w:rsid w:val="000F157C"/>
    <w:rsid w:val="000F1723"/>
    <w:rsid w:val="000F21F8"/>
    <w:rsid w:val="000F246C"/>
    <w:rsid w:val="000F4AE0"/>
    <w:rsid w:val="000F4F4F"/>
    <w:rsid w:val="000F4F5F"/>
    <w:rsid w:val="000F513B"/>
    <w:rsid w:val="000F5682"/>
    <w:rsid w:val="000F5688"/>
    <w:rsid w:val="000F6FE9"/>
    <w:rsid w:val="000F7A79"/>
    <w:rsid w:val="0010062C"/>
    <w:rsid w:val="00101AF0"/>
    <w:rsid w:val="00101E61"/>
    <w:rsid w:val="001033FA"/>
    <w:rsid w:val="001036FA"/>
    <w:rsid w:val="00103D48"/>
    <w:rsid w:val="00103DC1"/>
    <w:rsid w:val="00103E0E"/>
    <w:rsid w:val="001041E5"/>
    <w:rsid w:val="00104418"/>
    <w:rsid w:val="00104FC0"/>
    <w:rsid w:val="00105FD9"/>
    <w:rsid w:val="00106C05"/>
    <w:rsid w:val="0010766A"/>
    <w:rsid w:val="00107F41"/>
    <w:rsid w:val="00112A7D"/>
    <w:rsid w:val="001137E8"/>
    <w:rsid w:val="00113D85"/>
    <w:rsid w:val="00113DD4"/>
    <w:rsid w:val="00115AB2"/>
    <w:rsid w:val="00115B01"/>
    <w:rsid w:val="0011605C"/>
    <w:rsid w:val="001164D9"/>
    <w:rsid w:val="00116F11"/>
    <w:rsid w:val="0011724C"/>
    <w:rsid w:val="001206BB"/>
    <w:rsid w:val="00121D74"/>
    <w:rsid w:val="001227DD"/>
    <w:rsid w:val="0012451C"/>
    <w:rsid w:val="00125A3B"/>
    <w:rsid w:val="001262D5"/>
    <w:rsid w:val="00126E74"/>
    <w:rsid w:val="001270DA"/>
    <w:rsid w:val="00127161"/>
    <w:rsid w:val="00130095"/>
    <w:rsid w:val="00130CBE"/>
    <w:rsid w:val="00131A91"/>
    <w:rsid w:val="00131EE1"/>
    <w:rsid w:val="00131F42"/>
    <w:rsid w:val="00132767"/>
    <w:rsid w:val="00133859"/>
    <w:rsid w:val="001341A9"/>
    <w:rsid w:val="00134477"/>
    <w:rsid w:val="0013526F"/>
    <w:rsid w:val="001357F1"/>
    <w:rsid w:val="00135FC1"/>
    <w:rsid w:val="001362E5"/>
    <w:rsid w:val="00136B0B"/>
    <w:rsid w:val="001400AD"/>
    <w:rsid w:val="001401BF"/>
    <w:rsid w:val="0014038D"/>
    <w:rsid w:val="0014056E"/>
    <w:rsid w:val="001408F7"/>
    <w:rsid w:val="00140FA8"/>
    <w:rsid w:val="00141FCC"/>
    <w:rsid w:val="001422DF"/>
    <w:rsid w:val="00142942"/>
    <w:rsid w:val="00142FEB"/>
    <w:rsid w:val="00143A2D"/>
    <w:rsid w:val="00144EEE"/>
    <w:rsid w:val="0014521F"/>
    <w:rsid w:val="00145785"/>
    <w:rsid w:val="00145A41"/>
    <w:rsid w:val="00145C31"/>
    <w:rsid w:val="00145F80"/>
    <w:rsid w:val="0014637C"/>
    <w:rsid w:val="00146D04"/>
    <w:rsid w:val="00150317"/>
    <w:rsid w:val="00151189"/>
    <w:rsid w:val="00151675"/>
    <w:rsid w:val="00151772"/>
    <w:rsid w:val="00151A73"/>
    <w:rsid w:val="00151B9C"/>
    <w:rsid w:val="001524F1"/>
    <w:rsid w:val="00152611"/>
    <w:rsid w:val="001528C1"/>
    <w:rsid w:val="00152A93"/>
    <w:rsid w:val="00152C50"/>
    <w:rsid w:val="00152C74"/>
    <w:rsid w:val="00152F27"/>
    <w:rsid w:val="001533C6"/>
    <w:rsid w:val="00153419"/>
    <w:rsid w:val="0015462C"/>
    <w:rsid w:val="00154F2B"/>
    <w:rsid w:val="00155347"/>
    <w:rsid w:val="001559D8"/>
    <w:rsid w:val="00156414"/>
    <w:rsid w:val="00156585"/>
    <w:rsid w:val="00156C3A"/>
    <w:rsid w:val="001570DE"/>
    <w:rsid w:val="00157435"/>
    <w:rsid w:val="00157BA2"/>
    <w:rsid w:val="00160C9F"/>
    <w:rsid w:val="0016105B"/>
    <w:rsid w:val="001610D4"/>
    <w:rsid w:val="00161F1E"/>
    <w:rsid w:val="001621CA"/>
    <w:rsid w:val="00162285"/>
    <w:rsid w:val="00162890"/>
    <w:rsid w:val="00162AAA"/>
    <w:rsid w:val="0016376F"/>
    <w:rsid w:val="00163E1E"/>
    <w:rsid w:val="0016423C"/>
    <w:rsid w:val="0016440C"/>
    <w:rsid w:val="001679BA"/>
    <w:rsid w:val="00167A33"/>
    <w:rsid w:val="00170294"/>
    <w:rsid w:val="0017042B"/>
    <w:rsid w:val="00170784"/>
    <w:rsid w:val="001718E5"/>
    <w:rsid w:val="00172A27"/>
    <w:rsid w:val="00172FD9"/>
    <w:rsid w:val="0017339E"/>
    <w:rsid w:val="00173DB6"/>
    <w:rsid w:val="00173E04"/>
    <w:rsid w:val="00174D55"/>
    <w:rsid w:val="0017504D"/>
    <w:rsid w:val="00175085"/>
    <w:rsid w:val="00175191"/>
    <w:rsid w:val="001755B2"/>
    <w:rsid w:val="00175AE8"/>
    <w:rsid w:val="00175F5F"/>
    <w:rsid w:val="00176552"/>
    <w:rsid w:val="0017671A"/>
    <w:rsid w:val="00176A85"/>
    <w:rsid w:val="00177422"/>
    <w:rsid w:val="00177703"/>
    <w:rsid w:val="0018013C"/>
    <w:rsid w:val="00181353"/>
    <w:rsid w:val="0018288E"/>
    <w:rsid w:val="001832EF"/>
    <w:rsid w:val="00183AC1"/>
    <w:rsid w:val="00184590"/>
    <w:rsid w:val="001849F2"/>
    <w:rsid w:val="00184C33"/>
    <w:rsid w:val="00184F81"/>
    <w:rsid w:val="00185E64"/>
    <w:rsid w:val="00186490"/>
    <w:rsid w:val="00186A9C"/>
    <w:rsid w:val="001870D1"/>
    <w:rsid w:val="0018781E"/>
    <w:rsid w:val="00191170"/>
    <w:rsid w:val="00192190"/>
    <w:rsid w:val="0019262D"/>
    <w:rsid w:val="00194002"/>
    <w:rsid w:val="0019408C"/>
    <w:rsid w:val="00194373"/>
    <w:rsid w:val="001944B5"/>
    <w:rsid w:val="00194911"/>
    <w:rsid w:val="00194E3F"/>
    <w:rsid w:val="0019527B"/>
    <w:rsid w:val="001966BE"/>
    <w:rsid w:val="0019692F"/>
    <w:rsid w:val="001977C2"/>
    <w:rsid w:val="001A1A41"/>
    <w:rsid w:val="001A1B35"/>
    <w:rsid w:val="001A1DBE"/>
    <w:rsid w:val="001A1DFA"/>
    <w:rsid w:val="001A1EA5"/>
    <w:rsid w:val="001A226C"/>
    <w:rsid w:val="001A272D"/>
    <w:rsid w:val="001A292D"/>
    <w:rsid w:val="001A39EE"/>
    <w:rsid w:val="001A3F45"/>
    <w:rsid w:val="001A48A2"/>
    <w:rsid w:val="001A4A7C"/>
    <w:rsid w:val="001A63F1"/>
    <w:rsid w:val="001A65C9"/>
    <w:rsid w:val="001A6F61"/>
    <w:rsid w:val="001A7658"/>
    <w:rsid w:val="001B0139"/>
    <w:rsid w:val="001B0CBC"/>
    <w:rsid w:val="001B3654"/>
    <w:rsid w:val="001B37F7"/>
    <w:rsid w:val="001B3897"/>
    <w:rsid w:val="001B47F3"/>
    <w:rsid w:val="001B48A8"/>
    <w:rsid w:val="001B4B1D"/>
    <w:rsid w:val="001B5551"/>
    <w:rsid w:val="001B5597"/>
    <w:rsid w:val="001B5626"/>
    <w:rsid w:val="001B5BAF"/>
    <w:rsid w:val="001B6201"/>
    <w:rsid w:val="001B7083"/>
    <w:rsid w:val="001B7285"/>
    <w:rsid w:val="001B72B8"/>
    <w:rsid w:val="001B77CE"/>
    <w:rsid w:val="001B7C97"/>
    <w:rsid w:val="001C1288"/>
    <w:rsid w:val="001C1441"/>
    <w:rsid w:val="001C2016"/>
    <w:rsid w:val="001C28F4"/>
    <w:rsid w:val="001C3D0E"/>
    <w:rsid w:val="001C6589"/>
    <w:rsid w:val="001C65BC"/>
    <w:rsid w:val="001C69B3"/>
    <w:rsid w:val="001C6C01"/>
    <w:rsid w:val="001C6E65"/>
    <w:rsid w:val="001C6EB3"/>
    <w:rsid w:val="001D1076"/>
    <w:rsid w:val="001D1BB6"/>
    <w:rsid w:val="001D1F78"/>
    <w:rsid w:val="001D226E"/>
    <w:rsid w:val="001D2391"/>
    <w:rsid w:val="001D257E"/>
    <w:rsid w:val="001D3043"/>
    <w:rsid w:val="001D5595"/>
    <w:rsid w:val="001D580A"/>
    <w:rsid w:val="001D655A"/>
    <w:rsid w:val="001D6671"/>
    <w:rsid w:val="001D7874"/>
    <w:rsid w:val="001D7ECC"/>
    <w:rsid w:val="001D7F22"/>
    <w:rsid w:val="001E00A7"/>
    <w:rsid w:val="001E0C89"/>
    <w:rsid w:val="001E235E"/>
    <w:rsid w:val="001E2AFF"/>
    <w:rsid w:val="001E2CE7"/>
    <w:rsid w:val="001E2E96"/>
    <w:rsid w:val="001E3268"/>
    <w:rsid w:val="001E33B3"/>
    <w:rsid w:val="001E40B8"/>
    <w:rsid w:val="001E4191"/>
    <w:rsid w:val="001E4FBF"/>
    <w:rsid w:val="001E771F"/>
    <w:rsid w:val="001F0C46"/>
    <w:rsid w:val="001F0F17"/>
    <w:rsid w:val="001F1E6E"/>
    <w:rsid w:val="001F2421"/>
    <w:rsid w:val="001F275F"/>
    <w:rsid w:val="001F2A37"/>
    <w:rsid w:val="001F3347"/>
    <w:rsid w:val="001F50C5"/>
    <w:rsid w:val="001F5913"/>
    <w:rsid w:val="001F69E4"/>
    <w:rsid w:val="001F6CBB"/>
    <w:rsid w:val="001F6E6A"/>
    <w:rsid w:val="001F7383"/>
    <w:rsid w:val="001F7686"/>
    <w:rsid w:val="001F7EEA"/>
    <w:rsid w:val="002009E0"/>
    <w:rsid w:val="002009EC"/>
    <w:rsid w:val="0020163B"/>
    <w:rsid w:val="00201E47"/>
    <w:rsid w:val="0020280B"/>
    <w:rsid w:val="00202907"/>
    <w:rsid w:val="00202993"/>
    <w:rsid w:val="002049DD"/>
    <w:rsid w:val="00204D0E"/>
    <w:rsid w:val="00204EFD"/>
    <w:rsid w:val="00206189"/>
    <w:rsid w:val="0020730A"/>
    <w:rsid w:val="002073D8"/>
    <w:rsid w:val="002100CF"/>
    <w:rsid w:val="00210CF3"/>
    <w:rsid w:val="00210D86"/>
    <w:rsid w:val="002118B0"/>
    <w:rsid w:val="00211D59"/>
    <w:rsid w:val="002123FE"/>
    <w:rsid w:val="002125B4"/>
    <w:rsid w:val="00212BBA"/>
    <w:rsid w:val="00213AC2"/>
    <w:rsid w:val="00214C2D"/>
    <w:rsid w:val="002155B8"/>
    <w:rsid w:val="00215675"/>
    <w:rsid w:val="0021574F"/>
    <w:rsid w:val="00215992"/>
    <w:rsid w:val="00215C79"/>
    <w:rsid w:val="00215CEC"/>
    <w:rsid w:val="00215F84"/>
    <w:rsid w:val="00216426"/>
    <w:rsid w:val="00216CAA"/>
    <w:rsid w:val="00216FC8"/>
    <w:rsid w:val="0022026F"/>
    <w:rsid w:val="00220C7D"/>
    <w:rsid w:val="00221DA5"/>
    <w:rsid w:val="00223297"/>
    <w:rsid w:val="00223B87"/>
    <w:rsid w:val="00223CD9"/>
    <w:rsid w:val="00224839"/>
    <w:rsid w:val="002249B2"/>
    <w:rsid w:val="00225510"/>
    <w:rsid w:val="0022580A"/>
    <w:rsid w:val="00226574"/>
    <w:rsid w:val="00226C29"/>
    <w:rsid w:val="002278EC"/>
    <w:rsid w:val="00227912"/>
    <w:rsid w:val="00230303"/>
    <w:rsid w:val="0023037B"/>
    <w:rsid w:val="00230FC3"/>
    <w:rsid w:val="00231816"/>
    <w:rsid w:val="00231D71"/>
    <w:rsid w:val="0023280E"/>
    <w:rsid w:val="00232D43"/>
    <w:rsid w:val="00233351"/>
    <w:rsid w:val="002342A7"/>
    <w:rsid w:val="0023440D"/>
    <w:rsid w:val="00234E74"/>
    <w:rsid w:val="00234F47"/>
    <w:rsid w:val="00235884"/>
    <w:rsid w:val="0023597F"/>
    <w:rsid w:val="00235BB6"/>
    <w:rsid w:val="0023774E"/>
    <w:rsid w:val="002377D1"/>
    <w:rsid w:val="00237B94"/>
    <w:rsid w:val="00237BD2"/>
    <w:rsid w:val="002402C5"/>
    <w:rsid w:val="00240899"/>
    <w:rsid w:val="00240C6A"/>
    <w:rsid w:val="00241B6B"/>
    <w:rsid w:val="00242EBF"/>
    <w:rsid w:val="002435BD"/>
    <w:rsid w:val="00245680"/>
    <w:rsid w:val="00246965"/>
    <w:rsid w:val="002471F5"/>
    <w:rsid w:val="00247D49"/>
    <w:rsid w:val="002506BC"/>
    <w:rsid w:val="00250C55"/>
    <w:rsid w:val="00251542"/>
    <w:rsid w:val="002522F8"/>
    <w:rsid w:val="002526BB"/>
    <w:rsid w:val="002528A7"/>
    <w:rsid w:val="00252D55"/>
    <w:rsid w:val="00253043"/>
    <w:rsid w:val="002532D5"/>
    <w:rsid w:val="002534D3"/>
    <w:rsid w:val="00253F66"/>
    <w:rsid w:val="00254345"/>
    <w:rsid w:val="00254D65"/>
    <w:rsid w:val="0025617F"/>
    <w:rsid w:val="00256AB0"/>
    <w:rsid w:val="00257589"/>
    <w:rsid w:val="00260185"/>
    <w:rsid w:val="00260D6B"/>
    <w:rsid w:val="00260E99"/>
    <w:rsid w:val="00260F34"/>
    <w:rsid w:val="0026127C"/>
    <w:rsid w:val="00261C36"/>
    <w:rsid w:val="00261EB7"/>
    <w:rsid w:val="00261EF9"/>
    <w:rsid w:val="00263B1E"/>
    <w:rsid w:val="00264557"/>
    <w:rsid w:val="00265456"/>
    <w:rsid w:val="0026570B"/>
    <w:rsid w:val="002658D6"/>
    <w:rsid w:val="00265F92"/>
    <w:rsid w:val="00266BC0"/>
    <w:rsid w:val="00266C75"/>
    <w:rsid w:val="002718A1"/>
    <w:rsid w:val="00272419"/>
    <w:rsid w:val="00272666"/>
    <w:rsid w:val="00273981"/>
    <w:rsid w:val="00273EC7"/>
    <w:rsid w:val="002750AD"/>
    <w:rsid w:val="00275E2D"/>
    <w:rsid w:val="002774FE"/>
    <w:rsid w:val="0027777B"/>
    <w:rsid w:val="00280261"/>
    <w:rsid w:val="002805AB"/>
    <w:rsid w:val="00280A71"/>
    <w:rsid w:val="00284204"/>
    <w:rsid w:val="00284671"/>
    <w:rsid w:val="00284F8C"/>
    <w:rsid w:val="00286010"/>
    <w:rsid w:val="002869B9"/>
    <w:rsid w:val="00287C46"/>
    <w:rsid w:val="00290468"/>
    <w:rsid w:val="00291773"/>
    <w:rsid w:val="00292B9E"/>
    <w:rsid w:val="00292F11"/>
    <w:rsid w:val="0029312C"/>
    <w:rsid w:val="00293AE6"/>
    <w:rsid w:val="00293B3C"/>
    <w:rsid w:val="00293E72"/>
    <w:rsid w:val="00294023"/>
    <w:rsid w:val="00294356"/>
    <w:rsid w:val="00294721"/>
    <w:rsid w:val="002947A2"/>
    <w:rsid w:val="0029514C"/>
    <w:rsid w:val="00295B4D"/>
    <w:rsid w:val="00297A4F"/>
    <w:rsid w:val="002A0390"/>
    <w:rsid w:val="002A0EA1"/>
    <w:rsid w:val="002A10B1"/>
    <w:rsid w:val="002A168C"/>
    <w:rsid w:val="002A1739"/>
    <w:rsid w:val="002A22EA"/>
    <w:rsid w:val="002A361C"/>
    <w:rsid w:val="002A3D6E"/>
    <w:rsid w:val="002A3DC7"/>
    <w:rsid w:val="002A4D05"/>
    <w:rsid w:val="002A6201"/>
    <w:rsid w:val="002A6EA0"/>
    <w:rsid w:val="002A71B3"/>
    <w:rsid w:val="002A7691"/>
    <w:rsid w:val="002A7C17"/>
    <w:rsid w:val="002A7D0F"/>
    <w:rsid w:val="002B13BD"/>
    <w:rsid w:val="002B1973"/>
    <w:rsid w:val="002B2081"/>
    <w:rsid w:val="002B26BB"/>
    <w:rsid w:val="002B2886"/>
    <w:rsid w:val="002B3173"/>
    <w:rsid w:val="002B3CE0"/>
    <w:rsid w:val="002B44F9"/>
    <w:rsid w:val="002B49E2"/>
    <w:rsid w:val="002B4B0E"/>
    <w:rsid w:val="002B4CF0"/>
    <w:rsid w:val="002B612D"/>
    <w:rsid w:val="002B6843"/>
    <w:rsid w:val="002B7450"/>
    <w:rsid w:val="002B7B00"/>
    <w:rsid w:val="002B7C44"/>
    <w:rsid w:val="002B7CA2"/>
    <w:rsid w:val="002C02D9"/>
    <w:rsid w:val="002C131A"/>
    <w:rsid w:val="002C174F"/>
    <w:rsid w:val="002C175E"/>
    <w:rsid w:val="002C1FD0"/>
    <w:rsid w:val="002C20C5"/>
    <w:rsid w:val="002C259D"/>
    <w:rsid w:val="002C2B17"/>
    <w:rsid w:val="002C2B6C"/>
    <w:rsid w:val="002C3F78"/>
    <w:rsid w:val="002C52B1"/>
    <w:rsid w:val="002C5328"/>
    <w:rsid w:val="002C568D"/>
    <w:rsid w:val="002C5DCA"/>
    <w:rsid w:val="002C66C8"/>
    <w:rsid w:val="002C6AB8"/>
    <w:rsid w:val="002C7828"/>
    <w:rsid w:val="002D0627"/>
    <w:rsid w:val="002D0FD8"/>
    <w:rsid w:val="002D1343"/>
    <w:rsid w:val="002D173E"/>
    <w:rsid w:val="002D2327"/>
    <w:rsid w:val="002D2627"/>
    <w:rsid w:val="002D2DE4"/>
    <w:rsid w:val="002D347E"/>
    <w:rsid w:val="002D3DD0"/>
    <w:rsid w:val="002D4122"/>
    <w:rsid w:val="002D4382"/>
    <w:rsid w:val="002D4BD1"/>
    <w:rsid w:val="002D564C"/>
    <w:rsid w:val="002D587F"/>
    <w:rsid w:val="002D62BE"/>
    <w:rsid w:val="002D6AB8"/>
    <w:rsid w:val="002D6E91"/>
    <w:rsid w:val="002D6F74"/>
    <w:rsid w:val="002E09F4"/>
    <w:rsid w:val="002E0CC1"/>
    <w:rsid w:val="002E1A81"/>
    <w:rsid w:val="002E1F3A"/>
    <w:rsid w:val="002E23A9"/>
    <w:rsid w:val="002E298A"/>
    <w:rsid w:val="002E32FC"/>
    <w:rsid w:val="002E3FD4"/>
    <w:rsid w:val="002E45B5"/>
    <w:rsid w:val="002E483E"/>
    <w:rsid w:val="002E53F5"/>
    <w:rsid w:val="002E5C45"/>
    <w:rsid w:val="002E649F"/>
    <w:rsid w:val="002E6699"/>
    <w:rsid w:val="002E66EF"/>
    <w:rsid w:val="002E6F47"/>
    <w:rsid w:val="002E7583"/>
    <w:rsid w:val="002E7791"/>
    <w:rsid w:val="002E780B"/>
    <w:rsid w:val="002E78C5"/>
    <w:rsid w:val="002F063B"/>
    <w:rsid w:val="002F12E6"/>
    <w:rsid w:val="002F2828"/>
    <w:rsid w:val="002F2EFC"/>
    <w:rsid w:val="002F47A5"/>
    <w:rsid w:val="002F4F73"/>
    <w:rsid w:val="002F52E1"/>
    <w:rsid w:val="002F58B5"/>
    <w:rsid w:val="002F6EC1"/>
    <w:rsid w:val="002F7192"/>
    <w:rsid w:val="0030047B"/>
    <w:rsid w:val="00300D09"/>
    <w:rsid w:val="0030160F"/>
    <w:rsid w:val="00301626"/>
    <w:rsid w:val="00301978"/>
    <w:rsid w:val="00301B6A"/>
    <w:rsid w:val="00301D68"/>
    <w:rsid w:val="00302EE3"/>
    <w:rsid w:val="0030332C"/>
    <w:rsid w:val="00304CCE"/>
    <w:rsid w:val="003051C2"/>
    <w:rsid w:val="00305879"/>
    <w:rsid w:val="00305FEA"/>
    <w:rsid w:val="00306CF4"/>
    <w:rsid w:val="003071B5"/>
    <w:rsid w:val="00307605"/>
    <w:rsid w:val="0031049C"/>
    <w:rsid w:val="003119CF"/>
    <w:rsid w:val="00312296"/>
    <w:rsid w:val="00312B76"/>
    <w:rsid w:val="003139C4"/>
    <w:rsid w:val="00314996"/>
    <w:rsid w:val="00314CFD"/>
    <w:rsid w:val="00314F0E"/>
    <w:rsid w:val="003150E7"/>
    <w:rsid w:val="003155B9"/>
    <w:rsid w:val="0031591F"/>
    <w:rsid w:val="00315F77"/>
    <w:rsid w:val="003160F1"/>
    <w:rsid w:val="00316310"/>
    <w:rsid w:val="003168BA"/>
    <w:rsid w:val="003205DF"/>
    <w:rsid w:val="00321C84"/>
    <w:rsid w:val="00321D8E"/>
    <w:rsid w:val="0032282B"/>
    <w:rsid w:val="0032292D"/>
    <w:rsid w:val="00322A71"/>
    <w:rsid w:val="003247E0"/>
    <w:rsid w:val="0032483A"/>
    <w:rsid w:val="00325343"/>
    <w:rsid w:val="00325928"/>
    <w:rsid w:val="00327081"/>
    <w:rsid w:val="00327121"/>
    <w:rsid w:val="00330A84"/>
    <w:rsid w:val="00332863"/>
    <w:rsid w:val="00332D19"/>
    <w:rsid w:val="00333B5F"/>
    <w:rsid w:val="0033409A"/>
    <w:rsid w:val="003343DF"/>
    <w:rsid w:val="003348B4"/>
    <w:rsid w:val="0033502C"/>
    <w:rsid w:val="0033684D"/>
    <w:rsid w:val="00337B42"/>
    <w:rsid w:val="0034170A"/>
    <w:rsid w:val="00341811"/>
    <w:rsid w:val="00341B42"/>
    <w:rsid w:val="0034217B"/>
    <w:rsid w:val="003423A4"/>
    <w:rsid w:val="00342610"/>
    <w:rsid w:val="0034348F"/>
    <w:rsid w:val="00343EF4"/>
    <w:rsid w:val="00344E6D"/>
    <w:rsid w:val="00344E86"/>
    <w:rsid w:val="003450D6"/>
    <w:rsid w:val="00346007"/>
    <w:rsid w:val="003466CB"/>
    <w:rsid w:val="00346969"/>
    <w:rsid w:val="00346FDF"/>
    <w:rsid w:val="003478A4"/>
    <w:rsid w:val="00347B79"/>
    <w:rsid w:val="00347E19"/>
    <w:rsid w:val="0035090B"/>
    <w:rsid w:val="00350F71"/>
    <w:rsid w:val="00351A4C"/>
    <w:rsid w:val="0035237C"/>
    <w:rsid w:val="0035243B"/>
    <w:rsid w:val="00352C57"/>
    <w:rsid w:val="003531FC"/>
    <w:rsid w:val="003541E3"/>
    <w:rsid w:val="003547D9"/>
    <w:rsid w:val="00354DF2"/>
    <w:rsid w:val="00355524"/>
    <w:rsid w:val="0035597E"/>
    <w:rsid w:val="00355F9A"/>
    <w:rsid w:val="00356653"/>
    <w:rsid w:val="003566D1"/>
    <w:rsid w:val="00356E13"/>
    <w:rsid w:val="00357216"/>
    <w:rsid w:val="0035743F"/>
    <w:rsid w:val="003574B8"/>
    <w:rsid w:val="00357BE2"/>
    <w:rsid w:val="0036170C"/>
    <w:rsid w:val="00361AC6"/>
    <w:rsid w:val="00361AF5"/>
    <w:rsid w:val="00361F18"/>
    <w:rsid w:val="00361FA3"/>
    <w:rsid w:val="00362961"/>
    <w:rsid w:val="00363156"/>
    <w:rsid w:val="00364600"/>
    <w:rsid w:val="00364D89"/>
    <w:rsid w:val="00364F9E"/>
    <w:rsid w:val="003650F9"/>
    <w:rsid w:val="00365840"/>
    <w:rsid w:val="00365B00"/>
    <w:rsid w:val="00365BBB"/>
    <w:rsid w:val="00365D54"/>
    <w:rsid w:val="00366632"/>
    <w:rsid w:val="00366E0F"/>
    <w:rsid w:val="00367B8A"/>
    <w:rsid w:val="00370B37"/>
    <w:rsid w:val="00371456"/>
    <w:rsid w:val="00371908"/>
    <w:rsid w:val="00371A05"/>
    <w:rsid w:val="003724CC"/>
    <w:rsid w:val="003729E1"/>
    <w:rsid w:val="00372CCD"/>
    <w:rsid w:val="0037366D"/>
    <w:rsid w:val="003744F6"/>
    <w:rsid w:val="003748E7"/>
    <w:rsid w:val="003756AF"/>
    <w:rsid w:val="0037706D"/>
    <w:rsid w:val="00377A08"/>
    <w:rsid w:val="00380F88"/>
    <w:rsid w:val="0038137F"/>
    <w:rsid w:val="00381683"/>
    <w:rsid w:val="00381A72"/>
    <w:rsid w:val="00383929"/>
    <w:rsid w:val="00383A16"/>
    <w:rsid w:val="00383D85"/>
    <w:rsid w:val="00384676"/>
    <w:rsid w:val="003846DE"/>
    <w:rsid w:val="00385570"/>
    <w:rsid w:val="00385E96"/>
    <w:rsid w:val="00390857"/>
    <w:rsid w:val="00391904"/>
    <w:rsid w:val="00391D19"/>
    <w:rsid w:val="00393A1D"/>
    <w:rsid w:val="00394246"/>
    <w:rsid w:val="00394273"/>
    <w:rsid w:val="0039633C"/>
    <w:rsid w:val="0039657A"/>
    <w:rsid w:val="00396601"/>
    <w:rsid w:val="003972FE"/>
    <w:rsid w:val="00397FFB"/>
    <w:rsid w:val="003A092E"/>
    <w:rsid w:val="003A1B9D"/>
    <w:rsid w:val="003A32EF"/>
    <w:rsid w:val="003A369F"/>
    <w:rsid w:val="003A36B8"/>
    <w:rsid w:val="003A3AD0"/>
    <w:rsid w:val="003A3E4D"/>
    <w:rsid w:val="003A4BF0"/>
    <w:rsid w:val="003A4BF3"/>
    <w:rsid w:val="003A58D6"/>
    <w:rsid w:val="003A5D1D"/>
    <w:rsid w:val="003A5E6E"/>
    <w:rsid w:val="003A6B35"/>
    <w:rsid w:val="003B0143"/>
    <w:rsid w:val="003B08D4"/>
    <w:rsid w:val="003B09C2"/>
    <w:rsid w:val="003B143F"/>
    <w:rsid w:val="003B1507"/>
    <w:rsid w:val="003B1F39"/>
    <w:rsid w:val="003B3164"/>
    <w:rsid w:val="003B3391"/>
    <w:rsid w:val="003B420D"/>
    <w:rsid w:val="003B4477"/>
    <w:rsid w:val="003B4878"/>
    <w:rsid w:val="003B4A10"/>
    <w:rsid w:val="003B4B2C"/>
    <w:rsid w:val="003B6BD7"/>
    <w:rsid w:val="003B6BEE"/>
    <w:rsid w:val="003B7147"/>
    <w:rsid w:val="003B74B1"/>
    <w:rsid w:val="003B75F9"/>
    <w:rsid w:val="003B7929"/>
    <w:rsid w:val="003C0AA7"/>
    <w:rsid w:val="003C1496"/>
    <w:rsid w:val="003C1983"/>
    <w:rsid w:val="003C1BA3"/>
    <w:rsid w:val="003C1DD5"/>
    <w:rsid w:val="003C24FA"/>
    <w:rsid w:val="003C29FC"/>
    <w:rsid w:val="003C3404"/>
    <w:rsid w:val="003C3623"/>
    <w:rsid w:val="003C5715"/>
    <w:rsid w:val="003C6B85"/>
    <w:rsid w:val="003C6C16"/>
    <w:rsid w:val="003C7529"/>
    <w:rsid w:val="003C7599"/>
    <w:rsid w:val="003C7DE1"/>
    <w:rsid w:val="003D008E"/>
    <w:rsid w:val="003D0C0A"/>
    <w:rsid w:val="003D1437"/>
    <w:rsid w:val="003D1CD5"/>
    <w:rsid w:val="003D278B"/>
    <w:rsid w:val="003D3845"/>
    <w:rsid w:val="003D4A47"/>
    <w:rsid w:val="003D4DA9"/>
    <w:rsid w:val="003D4E12"/>
    <w:rsid w:val="003D4F1A"/>
    <w:rsid w:val="003D56A5"/>
    <w:rsid w:val="003D626C"/>
    <w:rsid w:val="003D63C0"/>
    <w:rsid w:val="003D65FC"/>
    <w:rsid w:val="003D7583"/>
    <w:rsid w:val="003D7654"/>
    <w:rsid w:val="003D794D"/>
    <w:rsid w:val="003D7A08"/>
    <w:rsid w:val="003E06EC"/>
    <w:rsid w:val="003E0F99"/>
    <w:rsid w:val="003E1097"/>
    <w:rsid w:val="003E13F7"/>
    <w:rsid w:val="003E14F1"/>
    <w:rsid w:val="003E1D5D"/>
    <w:rsid w:val="003E2118"/>
    <w:rsid w:val="003E2815"/>
    <w:rsid w:val="003E2CC4"/>
    <w:rsid w:val="003E3058"/>
    <w:rsid w:val="003E3164"/>
    <w:rsid w:val="003E3D6E"/>
    <w:rsid w:val="003E422E"/>
    <w:rsid w:val="003E4231"/>
    <w:rsid w:val="003E4CF5"/>
    <w:rsid w:val="003E7261"/>
    <w:rsid w:val="003E76A9"/>
    <w:rsid w:val="003F032C"/>
    <w:rsid w:val="003F051A"/>
    <w:rsid w:val="003F0809"/>
    <w:rsid w:val="003F16E5"/>
    <w:rsid w:val="003F36D1"/>
    <w:rsid w:val="003F39DD"/>
    <w:rsid w:val="003F3CA7"/>
    <w:rsid w:val="003F4E78"/>
    <w:rsid w:val="003F5154"/>
    <w:rsid w:val="003F5B8A"/>
    <w:rsid w:val="003F6A8C"/>
    <w:rsid w:val="003F6FD8"/>
    <w:rsid w:val="003F755C"/>
    <w:rsid w:val="003F76BF"/>
    <w:rsid w:val="003F787C"/>
    <w:rsid w:val="0040033F"/>
    <w:rsid w:val="004003B5"/>
    <w:rsid w:val="004011F5"/>
    <w:rsid w:val="0040167D"/>
    <w:rsid w:val="00401DB2"/>
    <w:rsid w:val="00401E19"/>
    <w:rsid w:val="00403190"/>
    <w:rsid w:val="00404546"/>
    <w:rsid w:val="00405805"/>
    <w:rsid w:val="004059DF"/>
    <w:rsid w:val="00405AF7"/>
    <w:rsid w:val="00406184"/>
    <w:rsid w:val="004069FE"/>
    <w:rsid w:val="00406CF5"/>
    <w:rsid w:val="00406F01"/>
    <w:rsid w:val="00407AF2"/>
    <w:rsid w:val="004102EA"/>
    <w:rsid w:val="0041044D"/>
    <w:rsid w:val="004115D9"/>
    <w:rsid w:val="00411A42"/>
    <w:rsid w:val="0041448F"/>
    <w:rsid w:val="00414C05"/>
    <w:rsid w:val="0041533C"/>
    <w:rsid w:val="00415587"/>
    <w:rsid w:val="00415A8F"/>
    <w:rsid w:val="00415CB4"/>
    <w:rsid w:val="004163FA"/>
    <w:rsid w:val="00416B73"/>
    <w:rsid w:val="00416D50"/>
    <w:rsid w:val="00416FD5"/>
    <w:rsid w:val="004174CE"/>
    <w:rsid w:val="00417772"/>
    <w:rsid w:val="004206BF"/>
    <w:rsid w:val="00420900"/>
    <w:rsid w:val="00420E6A"/>
    <w:rsid w:val="004239C3"/>
    <w:rsid w:val="00424BC9"/>
    <w:rsid w:val="00425275"/>
    <w:rsid w:val="00425A16"/>
    <w:rsid w:val="00425A9E"/>
    <w:rsid w:val="00425B25"/>
    <w:rsid w:val="00425E1C"/>
    <w:rsid w:val="004268A3"/>
    <w:rsid w:val="004269CB"/>
    <w:rsid w:val="00426D6B"/>
    <w:rsid w:val="004274DA"/>
    <w:rsid w:val="00427861"/>
    <w:rsid w:val="00427982"/>
    <w:rsid w:val="00430958"/>
    <w:rsid w:val="0043099E"/>
    <w:rsid w:val="00430B71"/>
    <w:rsid w:val="00431A52"/>
    <w:rsid w:val="00431E6C"/>
    <w:rsid w:val="00432220"/>
    <w:rsid w:val="0043354E"/>
    <w:rsid w:val="00433ACC"/>
    <w:rsid w:val="00433CE7"/>
    <w:rsid w:val="004355AD"/>
    <w:rsid w:val="00436C53"/>
    <w:rsid w:val="004374CA"/>
    <w:rsid w:val="00437931"/>
    <w:rsid w:val="00437BAD"/>
    <w:rsid w:val="00437D43"/>
    <w:rsid w:val="00437D8F"/>
    <w:rsid w:val="004400E1"/>
    <w:rsid w:val="00441425"/>
    <w:rsid w:val="004416E2"/>
    <w:rsid w:val="00441BBF"/>
    <w:rsid w:val="00442617"/>
    <w:rsid w:val="00442FDE"/>
    <w:rsid w:val="004441D4"/>
    <w:rsid w:val="00444C96"/>
    <w:rsid w:val="00444E81"/>
    <w:rsid w:val="004453A1"/>
    <w:rsid w:val="00445F08"/>
    <w:rsid w:val="00446208"/>
    <w:rsid w:val="004462B7"/>
    <w:rsid w:val="00446911"/>
    <w:rsid w:val="00446915"/>
    <w:rsid w:val="00446F36"/>
    <w:rsid w:val="0044735A"/>
    <w:rsid w:val="00450233"/>
    <w:rsid w:val="00450E26"/>
    <w:rsid w:val="00452738"/>
    <w:rsid w:val="00452F99"/>
    <w:rsid w:val="00453E66"/>
    <w:rsid w:val="0045436A"/>
    <w:rsid w:val="00454BA8"/>
    <w:rsid w:val="00455706"/>
    <w:rsid w:val="00455F27"/>
    <w:rsid w:val="00456091"/>
    <w:rsid w:val="004562A2"/>
    <w:rsid w:val="004564DE"/>
    <w:rsid w:val="00457A5A"/>
    <w:rsid w:val="00457D99"/>
    <w:rsid w:val="0046044D"/>
    <w:rsid w:val="004607C3"/>
    <w:rsid w:val="004608F0"/>
    <w:rsid w:val="00460B01"/>
    <w:rsid w:val="00460C52"/>
    <w:rsid w:val="00460C9A"/>
    <w:rsid w:val="00460CBB"/>
    <w:rsid w:val="004617BD"/>
    <w:rsid w:val="00462BD5"/>
    <w:rsid w:val="00462EDC"/>
    <w:rsid w:val="0046370D"/>
    <w:rsid w:val="0046425A"/>
    <w:rsid w:val="0046433C"/>
    <w:rsid w:val="00465875"/>
    <w:rsid w:val="00466321"/>
    <w:rsid w:val="004667FE"/>
    <w:rsid w:val="004670A5"/>
    <w:rsid w:val="004674CF"/>
    <w:rsid w:val="00467939"/>
    <w:rsid w:val="00467A6E"/>
    <w:rsid w:val="004705F4"/>
    <w:rsid w:val="00471694"/>
    <w:rsid w:val="00471AE2"/>
    <w:rsid w:val="00471FD1"/>
    <w:rsid w:val="004725F6"/>
    <w:rsid w:val="00472C7C"/>
    <w:rsid w:val="00472E95"/>
    <w:rsid w:val="00474746"/>
    <w:rsid w:val="0047484A"/>
    <w:rsid w:val="00476E04"/>
    <w:rsid w:val="004779F8"/>
    <w:rsid w:val="0048102C"/>
    <w:rsid w:val="00481896"/>
    <w:rsid w:val="004825FB"/>
    <w:rsid w:val="00484B9B"/>
    <w:rsid w:val="004855F6"/>
    <w:rsid w:val="0048593C"/>
    <w:rsid w:val="00485CC6"/>
    <w:rsid w:val="0048661E"/>
    <w:rsid w:val="00486E19"/>
    <w:rsid w:val="0049071C"/>
    <w:rsid w:val="00490B26"/>
    <w:rsid w:val="004911EC"/>
    <w:rsid w:val="00492B9A"/>
    <w:rsid w:val="004935B6"/>
    <w:rsid w:val="00493F2F"/>
    <w:rsid w:val="0049404F"/>
    <w:rsid w:val="00494670"/>
    <w:rsid w:val="004958D5"/>
    <w:rsid w:val="00497A95"/>
    <w:rsid w:val="004A0498"/>
    <w:rsid w:val="004A34CD"/>
    <w:rsid w:val="004A3762"/>
    <w:rsid w:val="004A3823"/>
    <w:rsid w:val="004A4760"/>
    <w:rsid w:val="004A5A30"/>
    <w:rsid w:val="004A6114"/>
    <w:rsid w:val="004B0439"/>
    <w:rsid w:val="004B11AB"/>
    <w:rsid w:val="004B12FA"/>
    <w:rsid w:val="004B15E5"/>
    <w:rsid w:val="004B1793"/>
    <w:rsid w:val="004B1995"/>
    <w:rsid w:val="004B31BE"/>
    <w:rsid w:val="004B34E1"/>
    <w:rsid w:val="004B365C"/>
    <w:rsid w:val="004B42D4"/>
    <w:rsid w:val="004B434D"/>
    <w:rsid w:val="004B494A"/>
    <w:rsid w:val="004B5667"/>
    <w:rsid w:val="004B5CE8"/>
    <w:rsid w:val="004B5FF0"/>
    <w:rsid w:val="004B6184"/>
    <w:rsid w:val="004B73D7"/>
    <w:rsid w:val="004B74B4"/>
    <w:rsid w:val="004B7C42"/>
    <w:rsid w:val="004B7D31"/>
    <w:rsid w:val="004B7F2C"/>
    <w:rsid w:val="004C0314"/>
    <w:rsid w:val="004C0C8D"/>
    <w:rsid w:val="004C28F4"/>
    <w:rsid w:val="004C302F"/>
    <w:rsid w:val="004C345E"/>
    <w:rsid w:val="004C3516"/>
    <w:rsid w:val="004C3BDA"/>
    <w:rsid w:val="004C3BE8"/>
    <w:rsid w:val="004C3CA3"/>
    <w:rsid w:val="004C593B"/>
    <w:rsid w:val="004C5E4B"/>
    <w:rsid w:val="004C62FC"/>
    <w:rsid w:val="004C64C3"/>
    <w:rsid w:val="004C6702"/>
    <w:rsid w:val="004C68BC"/>
    <w:rsid w:val="004C6AE7"/>
    <w:rsid w:val="004C7651"/>
    <w:rsid w:val="004C7BF2"/>
    <w:rsid w:val="004D02C7"/>
    <w:rsid w:val="004D0AFA"/>
    <w:rsid w:val="004D0DF2"/>
    <w:rsid w:val="004D1401"/>
    <w:rsid w:val="004D2A55"/>
    <w:rsid w:val="004D2D45"/>
    <w:rsid w:val="004D3958"/>
    <w:rsid w:val="004D3BB1"/>
    <w:rsid w:val="004D3BB2"/>
    <w:rsid w:val="004D3CA8"/>
    <w:rsid w:val="004D4426"/>
    <w:rsid w:val="004D686A"/>
    <w:rsid w:val="004D7883"/>
    <w:rsid w:val="004D7A37"/>
    <w:rsid w:val="004D7C8F"/>
    <w:rsid w:val="004E06CA"/>
    <w:rsid w:val="004E0BAE"/>
    <w:rsid w:val="004E0E50"/>
    <w:rsid w:val="004E10C9"/>
    <w:rsid w:val="004E2AB5"/>
    <w:rsid w:val="004E3300"/>
    <w:rsid w:val="004E53BC"/>
    <w:rsid w:val="004E55B0"/>
    <w:rsid w:val="004E5D89"/>
    <w:rsid w:val="004E5F81"/>
    <w:rsid w:val="004E68A0"/>
    <w:rsid w:val="004E68A9"/>
    <w:rsid w:val="004E6946"/>
    <w:rsid w:val="004E6A84"/>
    <w:rsid w:val="004E6D2A"/>
    <w:rsid w:val="004E7A9B"/>
    <w:rsid w:val="004F01F6"/>
    <w:rsid w:val="004F0F65"/>
    <w:rsid w:val="004F1AD8"/>
    <w:rsid w:val="004F28AC"/>
    <w:rsid w:val="004F2E5A"/>
    <w:rsid w:val="004F30B2"/>
    <w:rsid w:val="004F4B90"/>
    <w:rsid w:val="004F5BE5"/>
    <w:rsid w:val="004F65C7"/>
    <w:rsid w:val="004F673A"/>
    <w:rsid w:val="004F6AC4"/>
    <w:rsid w:val="004F6DE0"/>
    <w:rsid w:val="004F7A2C"/>
    <w:rsid w:val="004F7DF8"/>
    <w:rsid w:val="00500424"/>
    <w:rsid w:val="0050119C"/>
    <w:rsid w:val="00502169"/>
    <w:rsid w:val="00502E55"/>
    <w:rsid w:val="00503424"/>
    <w:rsid w:val="005039CB"/>
    <w:rsid w:val="0050491F"/>
    <w:rsid w:val="00504B01"/>
    <w:rsid w:val="00504B23"/>
    <w:rsid w:val="0050558F"/>
    <w:rsid w:val="00505936"/>
    <w:rsid w:val="005061E3"/>
    <w:rsid w:val="00506286"/>
    <w:rsid w:val="00507DAF"/>
    <w:rsid w:val="005105C9"/>
    <w:rsid w:val="00510813"/>
    <w:rsid w:val="0051081D"/>
    <w:rsid w:val="0051083E"/>
    <w:rsid w:val="00510993"/>
    <w:rsid w:val="005109E5"/>
    <w:rsid w:val="005109E6"/>
    <w:rsid w:val="00511990"/>
    <w:rsid w:val="00511C89"/>
    <w:rsid w:val="00511CF2"/>
    <w:rsid w:val="00511DE0"/>
    <w:rsid w:val="0051225C"/>
    <w:rsid w:val="005122EB"/>
    <w:rsid w:val="0051237E"/>
    <w:rsid w:val="00512A45"/>
    <w:rsid w:val="00512C30"/>
    <w:rsid w:val="005138E9"/>
    <w:rsid w:val="0051457B"/>
    <w:rsid w:val="00514870"/>
    <w:rsid w:val="00514A91"/>
    <w:rsid w:val="00514B9B"/>
    <w:rsid w:val="00514E42"/>
    <w:rsid w:val="00514E7B"/>
    <w:rsid w:val="0051599E"/>
    <w:rsid w:val="00515E92"/>
    <w:rsid w:val="005166C3"/>
    <w:rsid w:val="005167F7"/>
    <w:rsid w:val="00516A66"/>
    <w:rsid w:val="0051703B"/>
    <w:rsid w:val="00517D0C"/>
    <w:rsid w:val="00517F02"/>
    <w:rsid w:val="005203FA"/>
    <w:rsid w:val="00521D5A"/>
    <w:rsid w:val="00522412"/>
    <w:rsid w:val="005232D6"/>
    <w:rsid w:val="005239BF"/>
    <w:rsid w:val="00524303"/>
    <w:rsid w:val="005244DE"/>
    <w:rsid w:val="005258A2"/>
    <w:rsid w:val="005258E0"/>
    <w:rsid w:val="00526353"/>
    <w:rsid w:val="0052691B"/>
    <w:rsid w:val="00526DD9"/>
    <w:rsid w:val="005274E6"/>
    <w:rsid w:val="00527834"/>
    <w:rsid w:val="00531A78"/>
    <w:rsid w:val="005330D9"/>
    <w:rsid w:val="00534D04"/>
    <w:rsid w:val="00535B30"/>
    <w:rsid w:val="0053644E"/>
    <w:rsid w:val="005401AE"/>
    <w:rsid w:val="0054021A"/>
    <w:rsid w:val="005418EF"/>
    <w:rsid w:val="00541BD4"/>
    <w:rsid w:val="005424C6"/>
    <w:rsid w:val="005425B7"/>
    <w:rsid w:val="00542E07"/>
    <w:rsid w:val="0054362A"/>
    <w:rsid w:val="00543672"/>
    <w:rsid w:val="005439F6"/>
    <w:rsid w:val="00543B5E"/>
    <w:rsid w:val="00543C9C"/>
    <w:rsid w:val="00544953"/>
    <w:rsid w:val="00544FA4"/>
    <w:rsid w:val="00545424"/>
    <w:rsid w:val="00545B6D"/>
    <w:rsid w:val="00545FB4"/>
    <w:rsid w:val="00546461"/>
    <w:rsid w:val="00546561"/>
    <w:rsid w:val="0054668F"/>
    <w:rsid w:val="0054674C"/>
    <w:rsid w:val="00547139"/>
    <w:rsid w:val="00547499"/>
    <w:rsid w:val="00547964"/>
    <w:rsid w:val="005501CC"/>
    <w:rsid w:val="00551677"/>
    <w:rsid w:val="00551A61"/>
    <w:rsid w:val="00551C13"/>
    <w:rsid w:val="00551C52"/>
    <w:rsid w:val="005530DC"/>
    <w:rsid w:val="00554A7B"/>
    <w:rsid w:val="00554AF2"/>
    <w:rsid w:val="0055572C"/>
    <w:rsid w:val="00555D47"/>
    <w:rsid w:val="0056013E"/>
    <w:rsid w:val="00560719"/>
    <w:rsid w:val="0056106A"/>
    <w:rsid w:val="00561519"/>
    <w:rsid w:val="00562160"/>
    <w:rsid w:val="005621E5"/>
    <w:rsid w:val="00565C0E"/>
    <w:rsid w:val="00566007"/>
    <w:rsid w:val="005660D0"/>
    <w:rsid w:val="0056628A"/>
    <w:rsid w:val="00566320"/>
    <w:rsid w:val="005669CC"/>
    <w:rsid w:val="00567207"/>
    <w:rsid w:val="00567285"/>
    <w:rsid w:val="00567AB0"/>
    <w:rsid w:val="00571598"/>
    <w:rsid w:val="00571675"/>
    <w:rsid w:val="00571D43"/>
    <w:rsid w:val="00571E27"/>
    <w:rsid w:val="005720AE"/>
    <w:rsid w:val="00572848"/>
    <w:rsid w:val="00573E4C"/>
    <w:rsid w:val="00574A5E"/>
    <w:rsid w:val="00575164"/>
    <w:rsid w:val="00576B8F"/>
    <w:rsid w:val="00580203"/>
    <w:rsid w:val="005809EF"/>
    <w:rsid w:val="00581670"/>
    <w:rsid w:val="00582D96"/>
    <w:rsid w:val="0058302C"/>
    <w:rsid w:val="0058423C"/>
    <w:rsid w:val="00584EB3"/>
    <w:rsid w:val="005851D9"/>
    <w:rsid w:val="00586115"/>
    <w:rsid w:val="00587B7A"/>
    <w:rsid w:val="00590367"/>
    <w:rsid w:val="0059073C"/>
    <w:rsid w:val="00591FC0"/>
    <w:rsid w:val="005920BF"/>
    <w:rsid w:val="0059495F"/>
    <w:rsid w:val="00594968"/>
    <w:rsid w:val="00594D77"/>
    <w:rsid w:val="00595672"/>
    <w:rsid w:val="00595FC7"/>
    <w:rsid w:val="005966A1"/>
    <w:rsid w:val="00596702"/>
    <w:rsid w:val="005969E4"/>
    <w:rsid w:val="00596A70"/>
    <w:rsid w:val="0059780A"/>
    <w:rsid w:val="00597B58"/>
    <w:rsid w:val="00597CEA"/>
    <w:rsid w:val="005A01C1"/>
    <w:rsid w:val="005A06B7"/>
    <w:rsid w:val="005A0A0D"/>
    <w:rsid w:val="005A0F8B"/>
    <w:rsid w:val="005A13BE"/>
    <w:rsid w:val="005A16D4"/>
    <w:rsid w:val="005A1759"/>
    <w:rsid w:val="005A1E33"/>
    <w:rsid w:val="005A22D2"/>
    <w:rsid w:val="005A2C49"/>
    <w:rsid w:val="005A3938"/>
    <w:rsid w:val="005A4F16"/>
    <w:rsid w:val="005A5514"/>
    <w:rsid w:val="005A663F"/>
    <w:rsid w:val="005A68A7"/>
    <w:rsid w:val="005A6B99"/>
    <w:rsid w:val="005A6FB9"/>
    <w:rsid w:val="005B0CFF"/>
    <w:rsid w:val="005B15C9"/>
    <w:rsid w:val="005B17E1"/>
    <w:rsid w:val="005B2273"/>
    <w:rsid w:val="005B22FC"/>
    <w:rsid w:val="005B2B07"/>
    <w:rsid w:val="005B3367"/>
    <w:rsid w:val="005B4036"/>
    <w:rsid w:val="005B44B5"/>
    <w:rsid w:val="005B5DD5"/>
    <w:rsid w:val="005C09BB"/>
    <w:rsid w:val="005C1602"/>
    <w:rsid w:val="005C2786"/>
    <w:rsid w:val="005C2E2C"/>
    <w:rsid w:val="005C38DD"/>
    <w:rsid w:val="005C442D"/>
    <w:rsid w:val="005C4551"/>
    <w:rsid w:val="005C47E6"/>
    <w:rsid w:val="005C49E3"/>
    <w:rsid w:val="005C4A79"/>
    <w:rsid w:val="005C5207"/>
    <w:rsid w:val="005C5299"/>
    <w:rsid w:val="005C5C9A"/>
    <w:rsid w:val="005C74FB"/>
    <w:rsid w:val="005D069B"/>
    <w:rsid w:val="005D0C56"/>
    <w:rsid w:val="005D0D37"/>
    <w:rsid w:val="005D0DFE"/>
    <w:rsid w:val="005D1392"/>
    <w:rsid w:val="005D1773"/>
    <w:rsid w:val="005D18EB"/>
    <w:rsid w:val="005D1940"/>
    <w:rsid w:val="005D1B78"/>
    <w:rsid w:val="005D273D"/>
    <w:rsid w:val="005D36AB"/>
    <w:rsid w:val="005D383B"/>
    <w:rsid w:val="005D3873"/>
    <w:rsid w:val="005D4AD3"/>
    <w:rsid w:val="005D4DC9"/>
    <w:rsid w:val="005D4F68"/>
    <w:rsid w:val="005D5378"/>
    <w:rsid w:val="005D5916"/>
    <w:rsid w:val="005D626D"/>
    <w:rsid w:val="005D6A6E"/>
    <w:rsid w:val="005E0604"/>
    <w:rsid w:val="005E0F0F"/>
    <w:rsid w:val="005E1A35"/>
    <w:rsid w:val="005E299E"/>
    <w:rsid w:val="005E2BA1"/>
    <w:rsid w:val="005E3614"/>
    <w:rsid w:val="005E4493"/>
    <w:rsid w:val="005E4A0C"/>
    <w:rsid w:val="005E567C"/>
    <w:rsid w:val="005E71A2"/>
    <w:rsid w:val="005E7410"/>
    <w:rsid w:val="005E788B"/>
    <w:rsid w:val="005F00B7"/>
    <w:rsid w:val="005F0815"/>
    <w:rsid w:val="005F0C53"/>
    <w:rsid w:val="005F0D41"/>
    <w:rsid w:val="005F0E89"/>
    <w:rsid w:val="005F1021"/>
    <w:rsid w:val="005F14A7"/>
    <w:rsid w:val="005F1F64"/>
    <w:rsid w:val="005F243A"/>
    <w:rsid w:val="005F2E36"/>
    <w:rsid w:val="005F3EFD"/>
    <w:rsid w:val="005F40E1"/>
    <w:rsid w:val="005F4ADA"/>
    <w:rsid w:val="005F5914"/>
    <w:rsid w:val="005F5D52"/>
    <w:rsid w:val="005F69B0"/>
    <w:rsid w:val="005F6A0F"/>
    <w:rsid w:val="005F7338"/>
    <w:rsid w:val="005F7396"/>
    <w:rsid w:val="005F757F"/>
    <w:rsid w:val="005F75BD"/>
    <w:rsid w:val="005F7BB9"/>
    <w:rsid w:val="00600AF3"/>
    <w:rsid w:val="00600D0F"/>
    <w:rsid w:val="00600E13"/>
    <w:rsid w:val="00601920"/>
    <w:rsid w:val="00601FFB"/>
    <w:rsid w:val="00602CB0"/>
    <w:rsid w:val="00602CEE"/>
    <w:rsid w:val="0060311B"/>
    <w:rsid w:val="00603331"/>
    <w:rsid w:val="00604073"/>
    <w:rsid w:val="00604EA7"/>
    <w:rsid w:val="00607570"/>
    <w:rsid w:val="00610662"/>
    <w:rsid w:val="00610E34"/>
    <w:rsid w:val="006119E7"/>
    <w:rsid w:val="0061200C"/>
    <w:rsid w:val="006123B9"/>
    <w:rsid w:val="0061250C"/>
    <w:rsid w:val="006125DB"/>
    <w:rsid w:val="006127EF"/>
    <w:rsid w:val="00613BC3"/>
    <w:rsid w:val="0061459D"/>
    <w:rsid w:val="006151A9"/>
    <w:rsid w:val="00615C52"/>
    <w:rsid w:val="00615C9A"/>
    <w:rsid w:val="0061701F"/>
    <w:rsid w:val="00617CC3"/>
    <w:rsid w:val="006200C0"/>
    <w:rsid w:val="0062055C"/>
    <w:rsid w:val="0062241B"/>
    <w:rsid w:val="00622861"/>
    <w:rsid w:val="00623096"/>
    <w:rsid w:val="00624748"/>
    <w:rsid w:val="00624820"/>
    <w:rsid w:val="00626731"/>
    <w:rsid w:val="00626833"/>
    <w:rsid w:val="00626A6B"/>
    <w:rsid w:val="00626C97"/>
    <w:rsid w:val="006273BC"/>
    <w:rsid w:val="00627506"/>
    <w:rsid w:val="00630080"/>
    <w:rsid w:val="0063086B"/>
    <w:rsid w:val="0063157E"/>
    <w:rsid w:val="0063320C"/>
    <w:rsid w:val="00634387"/>
    <w:rsid w:val="0063478E"/>
    <w:rsid w:val="00634C3D"/>
    <w:rsid w:val="00636306"/>
    <w:rsid w:val="006369FA"/>
    <w:rsid w:val="00636DA5"/>
    <w:rsid w:val="0063722E"/>
    <w:rsid w:val="006377A6"/>
    <w:rsid w:val="00637A3D"/>
    <w:rsid w:val="006402C6"/>
    <w:rsid w:val="00640518"/>
    <w:rsid w:val="006405CD"/>
    <w:rsid w:val="006411EF"/>
    <w:rsid w:val="0064195D"/>
    <w:rsid w:val="00641CF1"/>
    <w:rsid w:val="006423F7"/>
    <w:rsid w:val="00642412"/>
    <w:rsid w:val="0064266C"/>
    <w:rsid w:val="00642E29"/>
    <w:rsid w:val="006449EA"/>
    <w:rsid w:val="0064600D"/>
    <w:rsid w:val="0064639A"/>
    <w:rsid w:val="00647583"/>
    <w:rsid w:val="00650880"/>
    <w:rsid w:val="00650EC2"/>
    <w:rsid w:val="00651F67"/>
    <w:rsid w:val="006521E7"/>
    <w:rsid w:val="00653A97"/>
    <w:rsid w:val="00654070"/>
    <w:rsid w:val="00654DB1"/>
    <w:rsid w:val="00655184"/>
    <w:rsid w:val="006605CA"/>
    <w:rsid w:val="0066062A"/>
    <w:rsid w:val="00660679"/>
    <w:rsid w:val="00661F37"/>
    <w:rsid w:val="006622C0"/>
    <w:rsid w:val="00663804"/>
    <w:rsid w:val="006639E4"/>
    <w:rsid w:val="0066437F"/>
    <w:rsid w:val="00664DFC"/>
    <w:rsid w:val="006655E9"/>
    <w:rsid w:val="00665676"/>
    <w:rsid w:val="00665C4A"/>
    <w:rsid w:val="00665D73"/>
    <w:rsid w:val="00665DBC"/>
    <w:rsid w:val="00666809"/>
    <w:rsid w:val="00666E7F"/>
    <w:rsid w:val="00667291"/>
    <w:rsid w:val="00671318"/>
    <w:rsid w:val="00671821"/>
    <w:rsid w:val="00671E42"/>
    <w:rsid w:val="006725DC"/>
    <w:rsid w:val="0067299B"/>
    <w:rsid w:val="0067304B"/>
    <w:rsid w:val="00673B19"/>
    <w:rsid w:val="006748B8"/>
    <w:rsid w:val="00674A67"/>
    <w:rsid w:val="00675A64"/>
    <w:rsid w:val="00675D33"/>
    <w:rsid w:val="00676520"/>
    <w:rsid w:val="006775C3"/>
    <w:rsid w:val="0067785B"/>
    <w:rsid w:val="00677F13"/>
    <w:rsid w:val="00680528"/>
    <w:rsid w:val="00680C7E"/>
    <w:rsid w:val="00682C7B"/>
    <w:rsid w:val="00683129"/>
    <w:rsid w:val="006836FD"/>
    <w:rsid w:val="0068435C"/>
    <w:rsid w:val="00684CE8"/>
    <w:rsid w:val="00685249"/>
    <w:rsid w:val="006857CE"/>
    <w:rsid w:val="00687450"/>
    <w:rsid w:val="006876F4"/>
    <w:rsid w:val="00687833"/>
    <w:rsid w:val="00690F8E"/>
    <w:rsid w:val="006914FA"/>
    <w:rsid w:val="006925BD"/>
    <w:rsid w:val="006925D5"/>
    <w:rsid w:val="0069290A"/>
    <w:rsid w:val="00693165"/>
    <w:rsid w:val="006933C8"/>
    <w:rsid w:val="0069341C"/>
    <w:rsid w:val="00694895"/>
    <w:rsid w:val="00694B15"/>
    <w:rsid w:val="0069526B"/>
    <w:rsid w:val="006952DA"/>
    <w:rsid w:val="00695512"/>
    <w:rsid w:val="00695C85"/>
    <w:rsid w:val="0069613E"/>
    <w:rsid w:val="00696DF0"/>
    <w:rsid w:val="00696E09"/>
    <w:rsid w:val="006976D6"/>
    <w:rsid w:val="0069775A"/>
    <w:rsid w:val="00697813"/>
    <w:rsid w:val="00697912"/>
    <w:rsid w:val="00697C9D"/>
    <w:rsid w:val="00697D70"/>
    <w:rsid w:val="006A05EC"/>
    <w:rsid w:val="006A11A7"/>
    <w:rsid w:val="006A11CC"/>
    <w:rsid w:val="006A185F"/>
    <w:rsid w:val="006A1D4B"/>
    <w:rsid w:val="006A2576"/>
    <w:rsid w:val="006A309A"/>
    <w:rsid w:val="006A3EA7"/>
    <w:rsid w:val="006A3EE8"/>
    <w:rsid w:val="006A41CC"/>
    <w:rsid w:val="006A4B56"/>
    <w:rsid w:val="006A4D29"/>
    <w:rsid w:val="006A5BB1"/>
    <w:rsid w:val="006A635B"/>
    <w:rsid w:val="006A67E0"/>
    <w:rsid w:val="006A6C0D"/>
    <w:rsid w:val="006A6E68"/>
    <w:rsid w:val="006A72BF"/>
    <w:rsid w:val="006A79BE"/>
    <w:rsid w:val="006A79FE"/>
    <w:rsid w:val="006B03F2"/>
    <w:rsid w:val="006B1264"/>
    <w:rsid w:val="006B130A"/>
    <w:rsid w:val="006B1430"/>
    <w:rsid w:val="006B32E0"/>
    <w:rsid w:val="006B37DC"/>
    <w:rsid w:val="006B392D"/>
    <w:rsid w:val="006B3BEA"/>
    <w:rsid w:val="006B4681"/>
    <w:rsid w:val="006B46B9"/>
    <w:rsid w:val="006B4AE1"/>
    <w:rsid w:val="006B4B0C"/>
    <w:rsid w:val="006B4C68"/>
    <w:rsid w:val="006B4F68"/>
    <w:rsid w:val="006B57CC"/>
    <w:rsid w:val="006B5898"/>
    <w:rsid w:val="006B61A8"/>
    <w:rsid w:val="006B6E55"/>
    <w:rsid w:val="006B7356"/>
    <w:rsid w:val="006B7E93"/>
    <w:rsid w:val="006C0592"/>
    <w:rsid w:val="006C272E"/>
    <w:rsid w:val="006C476C"/>
    <w:rsid w:val="006C499F"/>
    <w:rsid w:val="006C5421"/>
    <w:rsid w:val="006C5479"/>
    <w:rsid w:val="006C55ED"/>
    <w:rsid w:val="006C565E"/>
    <w:rsid w:val="006C6555"/>
    <w:rsid w:val="006C6DC5"/>
    <w:rsid w:val="006C71FC"/>
    <w:rsid w:val="006D13B5"/>
    <w:rsid w:val="006D1812"/>
    <w:rsid w:val="006D2356"/>
    <w:rsid w:val="006D31EE"/>
    <w:rsid w:val="006D3E75"/>
    <w:rsid w:val="006D4454"/>
    <w:rsid w:val="006D4BAD"/>
    <w:rsid w:val="006D4E45"/>
    <w:rsid w:val="006D5194"/>
    <w:rsid w:val="006D59C7"/>
    <w:rsid w:val="006D5A0D"/>
    <w:rsid w:val="006D7B81"/>
    <w:rsid w:val="006E0DB7"/>
    <w:rsid w:val="006E12FF"/>
    <w:rsid w:val="006E4442"/>
    <w:rsid w:val="006E4DDC"/>
    <w:rsid w:val="006E526E"/>
    <w:rsid w:val="006E56FE"/>
    <w:rsid w:val="006E607E"/>
    <w:rsid w:val="006E6D31"/>
    <w:rsid w:val="006E6F8A"/>
    <w:rsid w:val="006E7809"/>
    <w:rsid w:val="006E7C5C"/>
    <w:rsid w:val="006E7D40"/>
    <w:rsid w:val="006E7F37"/>
    <w:rsid w:val="006F1297"/>
    <w:rsid w:val="006F2865"/>
    <w:rsid w:val="006F28F6"/>
    <w:rsid w:val="006F3A15"/>
    <w:rsid w:val="006F3E07"/>
    <w:rsid w:val="006F58F8"/>
    <w:rsid w:val="006F695A"/>
    <w:rsid w:val="00701497"/>
    <w:rsid w:val="007030E9"/>
    <w:rsid w:val="00703522"/>
    <w:rsid w:val="00703CA9"/>
    <w:rsid w:val="00704020"/>
    <w:rsid w:val="00705D97"/>
    <w:rsid w:val="00705E69"/>
    <w:rsid w:val="00706B28"/>
    <w:rsid w:val="00706C5D"/>
    <w:rsid w:val="00706E33"/>
    <w:rsid w:val="0070707D"/>
    <w:rsid w:val="0070769F"/>
    <w:rsid w:val="007111E9"/>
    <w:rsid w:val="00711E32"/>
    <w:rsid w:val="00712569"/>
    <w:rsid w:val="007126B3"/>
    <w:rsid w:val="00712E4B"/>
    <w:rsid w:val="007144F9"/>
    <w:rsid w:val="007149C2"/>
    <w:rsid w:val="00715DA8"/>
    <w:rsid w:val="00715EAD"/>
    <w:rsid w:val="00715F30"/>
    <w:rsid w:val="00717C00"/>
    <w:rsid w:val="00721CB0"/>
    <w:rsid w:val="007222FC"/>
    <w:rsid w:val="00722323"/>
    <w:rsid w:val="00722D72"/>
    <w:rsid w:val="007235E8"/>
    <w:rsid w:val="00723C12"/>
    <w:rsid w:val="00723C79"/>
    <w:rsid w:val="00724F8A"/>
    <w:rsid w:val="00725238"/>
    <w:rsid w:val="007256B7"/>
    <w:rsid w:val="00725B86"/>
    <w:rsid w:val="0072629A"/>
    <w:rsid w:val="00727BFA"/>
    <w:rsid w:val="00727F4B"/>
    <w:rsid w:val="007302E6"/>
    <w:rsid w:val="00730338"/>
    <w:rsid w:val="00730541"/>
    <w:rsid w:val="0073059D"/>
    <w:rsid w:val="00730648"/>
    <w:rsid w:val="00730A33"/>
    <w:rsid w:val="00730BEC"/>
    <w:rsid w:val="00731855"/>
    <w:rsid w:val="00731A7B"/>
    <w:rsid w:val="00732922"/>
    <w:rsid w:val="00732C06"/>
    <w:rsid w:val="00733B56"/>
    <w:rsid w:val="00733EB5"/>
    <w:rsid w:val="007344D5"/>
    <w:rsid w:val="0073482F"/>
    <w:rsid w:val="00734BAF"/>
    <w:rsid w:val="007355F1"/>
    <w:rsid w:val="007357BF"/>
    <w:rsid w:val="00735BCF"/>
    <w:rsid w:val="00736012"/>
    <w:rsid w:val="00736506"/>
    <w:rsid w:val="0073673A"/>
    <w:rsid w:val="00736DB3"/>
    <w:rsid w:val="00737BD3"/>
    <w:rsid w:val="00740C4A"/>
    <w:rsid w:val="00741474"/>
    <w:rsid w:val="00741870"/>
    <w:rsid w:val="007419A4"/>
    <w:rsid w:val="00742616"/>
    <w:rsid w:val="00744CCF"/>
    <w:rsid w:val="007455B9"/>
    <w:rsid w:val="0074594B"/>
    <w:rsid w:val="007461FE"/>
    <w:rsid w:val="007470FF"/>
    <w:rsid w:val="00747D3A"/>
    <w:rsid w:val="00747E4E"/>
    <w:rsid w:val="0075069A"/>
    <w:rsid w:val="00750AF2"/>
    <w:rsid w:val="00750CE1"/>
    <w:rsid w:val="007515AD"/>
    <w:rsid w:val="0075162E"/>
    <w:rsid w:val="00751659"/>
    <w:rsid w:val="00751D25"/>
    <w:rsid w:val="007523AA"/>
    <w:rsid w:val="00752720"/>
    <w:rsid w:val="007529C5"/>
    <w:rsid w:val="00753900"/>
    <w:rsid w:val="00753EA2"/>
    <w:rsid w:val="00754034"/>
    <w:rsid w:val="0075413F"/>
    <w:rsid w:val="00754B5D"/>
    <w:rsid w:val="00754C42"/>
    <w:rsid w:val="00754CAD"/>
    <w:rsid w:val="00756556"/>
    <w:rsid w:val="00756EB3"/>
    <w:rsid w:val="00760E4F"/>
    <w:rsid w:val="00760EFA"/>
    <w:rsid w:val="007610B0"/>
    <w:rsid w:val="007618C4"/>
    <w:rsid w:val="00762A47"/>
    <w:rsid w:val="00763D19"/>
    <w:rsid w:val="00764061"/>
    <w:rsid w:val="00764440"/>
    <w:rsid w:val="00764705"/>
    <w:rsid w:val="007658B9"/>
    <w:rsid w:val="00765AEB"/>
    <w:rsid w:val="0076636B"/>
    <w:rsid w:val="0076690D"/>
    <w:rsid w:val="007672ED"/>
    <w:rsid w:val="007673F4"/>
    <w:rsid w:val="0076777C"/>
    <w:rsid w:val="00767800"/>
    <w:rsid w:val="00767980"/>
    <w:rsid w:val="00770991"/>
    <w:rsid w:val="00770AA9"/>
    <w:rsid w:val="00770B19"/>
    <w:rsid w:val="00773778"/>
    <w:rsid w:val="007741EB"/>
    <w:rsid w:val="0077463F"/>
    <w:rsid w:val="00775435"/>
    <w:rsid w:val="00775686"/>
    <w:rsid w:val="00776850"/>
    <w:rsid w:val="00777A09"/>
    <w:rsid w:val="007803FC"/>
    <w:rsid w:val="00780AF5"/>
    <w:rsid w:val="00782125"/>
    <w:rsid w:val="0078237B"/>
    <w:rsid w:val="00782F1A"/>
    <w:rsid w:val="0078360F"/>
    <w:rsid w:val="007836EA"/>
    <w:rsid w:val="00783959"/>
    <w:rsid w:val="00783F6A"/>
    <w:rsid w:val="0078401E"/>
    <w:rsid w:val="00784CDA"/>
    <w:rsid w:val="00785103"/>
    <w:rsid w:val="00785BA2"/>
    <w:rsid w:val="0078626F"/>
    <w:rsid w:val="007865B2"/>
    <w:rsid w:val="00786785"/>
    <w:rsid w:val="00787CE5"/>
    <w:rsid w:val="00787EFE"/>
    <w:rsid w:val="00787F9E"/>
    <w:rsid w:val="007906C4"/>
    <w:rsid w:val="00791780"/>
    <w:rsid w:val="00792348"/>
    <w:rsid w:val="0079292D"/>
    <w:rsid w:val="00793969"/>
    <w:rsid w:val="00793EC5"/>
    <w:rsid w:val="00793F7B"/>
    <w:rsid w:val="007940EA"/>
    <w:rsid w:val="0079429E"/>
    <w:rsid w:val="00794675"/>
    <w:rsid w:val="0079577A"/>
    <w:rsid w:val="007967E8"/>
    <w:rsid w:val="00796BA8"/>
    <w:rsid w:val="00796D2A"/>
    <w:rsid w:val="007972BD"/>
    <w:rsid w:val="0079798A"/>
    <w:rsid w:val="007A027F"/>
    <w:rsid w:val="007A077F"/>
    <w:rsid w:val="007A1638"/>
    <w:rsid w:val="007A2170"/>
    <w:rsid w:val="007A22BF"/>
    <w:rsid w:val="007A2529"/>
    <w:rsid w:val="007A2584"/>
    <w:rsid w:val="007A2B4B"/>
    <w:rsid w:val="007A2BEA"/>
    <w:rsid w:val="007A3252"/>
    <w:rsid w:val="007A3323"/>
    <w:rsid w:val="007A36C5"/>
    <w:rsid w:val="007A3A73"/>
    <w:rsid w:val="007A49A8"/>
    <w:rsid w:val="007A49C4"/>
    <w:rsid w:val="007A50E6"/>
    <w:rsid w:val="007A533F"/>
    <w:rsid w:val="007A5C2A"/>
    <w:rsid w:val="007A5C77"/>
    <w:rsid w:val="007A5E12"/>
    <w:rsid w:val="007A5E9F"/>
    <w:rsid w:val="007A61AD"/>
    <w:rsid w:val="007A627B"/>
    <w:rsid w:val="007B0940"/>
    <w:rsid w:val="007B0A2F"/>
    <w:rsid w:val="007B0BBC"/>
    <w:rsid w:val="007B1983"/>
    <w:rsid w:val="007B2E57"/>
    <w:rsid w:val="007B4E59"/>
    <w:rsid w:val="007B61CC"/>
    <w:rsid w:val="007B6468"/>
    <w:rsid w:val="007B6AFF"/>
    <w:rsid w:val="007B6EBE"/>
    <w:rsid w:val="007B72B8"/>
    <w:rsid w:val="007B7A58"/>
    <w:rsid w:val="007B7BD0"/>
    <w:rsid w:val="007B7BDF"/>
    <w:rsid w:val="007C1578"/>
    <w:rsid w:val="007C1826"/>
    <w:rsid w:val="007C1DBF"/>
    <w:rsid w:val="007C21B5"/>
    <w:rsid w:val="007C3AE6"/>
    <w:rsid w:val="007C3D03"/>
    <w:rsid w:val="007C429D"/>
    <w:rsid w:val="007C42CB"/>
    <w:rsid w:val="007C4A2E"/>
    <w:rsid w:val="007C4A80"/>
    <w:rsid w:val="007C63D4"/>
    <w:rsid w:val="007C66BE"/>
    <w:rsid w:val="007C6A4F"/>
    <w:rsid w:val="007C6CC2"/>
    <w:rsid w:val="007C709F"/>
    <w:rsid w:val="007C7D39"/>
    <w:rsid w:val="007D0557"/>
    <w:rsid w:val="007D0A9A"/>
    <w:rsid w:val="007D1BE6"/>
    <w:rsid w:val="007D1E83"/>
    <w:rsid w:val="007D2052"/>
    <w:rsid w:val="007D20DF"/>
    <w:rsid w:val="007D35FE"/>
    <w:rsid w:val="007D40CB"/>
    <w:rsid w:val="007D42C0"/>
    <w:rsid w:val="007D4959"/>
    <w:rsid w:val="007D4C3F"/>
    <w:rsid w:val="007D60E3"/>
    <w:rsid w:val="007D6981"/>
    <w:rsid w:val="007D6A17"/>
    <w:rsid w:val="007D6F0E"/>
    <w:rsid w:val="007D73C2"/>
    <w:rsid w:val="007E12D9"/>
    <w:rsid w:val="007E1502"/>
    <w:rsid w:val="007E16FE"/>
    <w:rsid w:val="007E1DD3"/>
    <w:rsid w:val="007E21E2"/>
    <w:rsid w:val="007E22EE"/>
    <w:rsid w:val="007E2329"/>
    <w:rsid w:val="007E2BE9"/>
    <w:rsid w:val="007E3B9A"/>
    <w:rsid w:val="007E4778"/>
    <w:rsid w:val="007E48BA"/>
    <w:rsid w:val="007E4BD2"/>
    <w:rsid w:val="007E5D66"/>
    <w:rsid w:val="007E6F35"/>
    <w:rsid w:val="007E723B"/>
    <w:rsid w:val="007E7CC1"/>
    <w:rsid w:val="007F0534"/>
    <w:rsid w:val="007F13C8"/>
    <w:rsid w:val="007F1FE0"/>
    <w:rsid w:val="007F2168"/>
    <w:rsid w:val="007F5257"/>
    <w:rsid w:val="007F5A42"/>
    <w:rsid w:val="007F5B74"/>
    <w:rsid w:val="007F64CA"/>
    <w:rsid w:val="007F6AA3"/>
    <w:rsid w:val="007F7016"/>
    <w:rsid w:val="007F7DE8"/>
    <w:rsid w:val="00800A47"/>
    <w:rsid w:val="0080120E"/>
    <w:rsid w:val="00801393"/>
    <w:rsid w:val="00801988"/>
    <w:rsid w:val="00802CFA"/>
    <w:rsid w:val="00802F88"/>
    <w:rsid w:val="0080321B"/>
    <w:rsid w:val="00803FE4"/>
    <w:rsid w:val="00804002"/>
    <w:rsid w:val="00804CBB"/>
    <w:rsid w:val="008050D8"/>
    <w:rsid w:val="0080578C"/>
    <w:rsid w:val="00805ED5"/>
    <w:rsid w:val="00805EDA"/>
    <w:rsid w:val="00806E05"/>
    <w:rsid w:val="00807CBC"/>
    <w:rsid w:val="00807F72"/>
    <w:rsid w:val="00810573"/>
    <w:rsid w:val="00810EA1"/>
    <w:rsid w:val="00811554"/>
    <w:rsid w:val="0081171E"/>
    <w:rsid w:val="0081244C"/>
    <w:rsid w:val="008125FF"/>
    <w:rsid w:val="00812870"/>
    <w:rsid w:val="0081293E"/>
    <w:rsid w:val="008136FB"/>
    <w:rsid w:val="00813C24"/>
    <w:rsid w:val="00813CBB"/>
    <w:rsid w:val="00815465"/>
    <w:rsid w:val="008157FD"/>
    <w:rsid w:val="0081619A"/>
    <w:rsid w:val="008169D3"/>
    <w:rsid w:val="00817E9A"/>
    <w:rsid w:val="008205CD"/>
    <w:rsid w:val="00821177"/>
    <w:rsid w:val="0082157D"/>
    <w:rsid w:val="008222AD"/>
    <w:rsid w:val="00822AF2"/>
    <w:rsid w:val="00823D8A"/>
    <w:rsid w:val="00824664"/>
    <w:rsid w:val="00824A47"/>
    <w:rsid w:val="00824F9C"/>
    <w:rsid w:val="00825726"/>
    <w:rsid w:val="00825B1E"/>
    <w:rsid w:val="00826031"/>
    <w:rsid w:val="0082697B"/>
    <w:rsid w:val="00826BD2"/>
    <w:rsid w:val="0082719E"/>
    <w:rsid w:val="00827342"/>
    <w:rsid w:val="00827ED7"/>
    <w:rsid w:val="00830061"/>
    <w:rsid w:val="008306BD"/>
    <w:rsid w:val="00830D30"/>
    <w:rsid w:val="00831A80"/>
    <w:rsid w:val="0083233E"/>
    <w:rsid w:val="0083240C"/>
    <w:rsid w:val="00832818"/>
    <w:rsid w:val="00833743"/>
    <w:rsid w:val="008340A4"/>
    <w:rsid w:val="008340CD"/>
    <w:rsid w:val="00834A8C"/>
    <w:rsid w:val="00835BBE"/>
    <w:rsid w:val="00835CD8"/>
    <w:rsid w:val="00836C86"/>
    <w:rsid w:val="00837054"/>
    <w:rsid w:val="00837948"/>
    <w:rsid w:val="008409F9"/>
    <w:rsid w:val="00840AE3"/>
    <w:rsid w:val="00840EFD"/>
    <w:rsid w:val="008417CA"/>
    <w:rsid w:val="008420E5"/>
    <w:rsid w:val="00842303"/>
    <w:rsid w:val="00842F1B"/>
    <w:rsid w:val="00842F52"/>
    <w:rsid w:val="00843111"/>
    <w:rsid w:val="00843D06"/>
    <w:rsid w:val="00844042"/>
    <w:rsid w:val="008441B9"/>
    <w:rsid w:val="00844814"/>
    <w:rsid w:val="00844878"/>
    <w:rsid w:val="00845114"/>
    <w:rsid w:val="00845C99"/>
    <w:rsid w:val="0084715B"/>
    <w:rsid w:val="00850525"/>
    <w:rsid w:val="00850F68"/>
    <w:rsid w:val="00851B4A"/>
    <w:rsid w:val="00851C7D"/>
    <w:rsid w:val="008528CC"/>
    <w:rsid w:val="00853494"/>
    <w:rsid w:val="00854E0D"/>
    <w:rsid w:val="00854E88"/>
    <w:rsid w:val="008556E8"/>
    <w:rsid w:val="00855B0D"/>
    <w:rsid w:val="00855D51"/>
    <w:rsid w:val="0085626D"/>
    <w:rsid w:val="00856634"/>
    <w:rsid w:val="008568F7"/>
    <w:rsid w:val="00857F97"/>
    <w:rsid w:val="00857FE8"/>
    <w:rsid w:val="00860AF0"/>
    <w:rsid w:val="00861A33"/>
    <w:rsid w:val="00862039"/>
    <w:rsid w:val="00862E7C"/>
    <w:rsid w:val="00863436"/>
    <w:rsid w:val="00864460"/>
    <w:rsid w:val="00864DCC"/>
    <w:rsid w:val="00866F89"/>
    <w:rsid w:val="008677AA"/>
    <w:rsid w:val="00867BC1"/>
    <w:rsid w:val="00867ED9"/>
    <w:rsid w:val="0087135F"/>
    <w:rsid w:val="008723C8"/>
    <w:rsid w:val="00872BB7"/>
    <w:rsid w:val="00872BCC"/>
    <w:rsid w:val="00872D94"/>
    <w:rsid w:val="00873F30"/>
    <w:rsid w:val="00873F3D"/>
    <w:rsid w:val="00874760"/>
    <w:rsid w:val="008759B2"/>
    <w:rsid w:val="00875BA8"/>
    <w:rsid w:val="00875CA6"/>
    <w:rsid w:val="00876033"/>
    <w:rsid w:val="008801E8"/>
    <w:rsid w:val="00880364"/>
    <w:rsid w:val="00880B73"/>
    <w:rsid w:val="00880BCA"/>
    <w:rsid w:val="00883221"/>
    <w:rsid w:val="00883683"/>
    <w:rsid w:val="00883782"/>
    <w:rsid w:val="00883D3F"/>
    <w:rsid w:val="00883F4C"/>
    <w:rsid w:val="008846EA"/>
    <w:rsid w:val="0088522A"/>
    <w:rsid w:val="008859AC"/>
    <w:rsid w:val="00885A90"/>
    <w:rsid w:val="00885B27"/>
    <w:rsid w:val="00885C21"/>
    <w:rsid w:val="00886758"/>
    <w:rsid w:val="008874CC"/>
    <w:rsid w:val="008874D1"/>
    <w:rsid w:val="008874FA"/>
    <w:rsid w:val="00890CF9"/>
    <w:rsid w:val="00890CFC"/>
    <w:rsid w:val="00891592"/>
    <w:rsid w:val="00891E9E"/>
    <w:rsid w:val="00892E80"/>
    <w:rsid w:val="00894895"/>
    <w:rsid w:val="00894DCA"/>
    <w:rsid w:val="008952C9"/>
    <w:rsid w:val="0089597B"/>
    <w:rsid w:val="00896C62"/>
    <w:rsid w:val="00897B29"/>
    <w:rsid w:val="008A019C"/>
    <w:rsid w:val="008A0B48"/>
    <w:rsid w:val="008A0C50"/>
    <w:rsid w:val="008A1819"/>
    <w:rsid w:val="008A1EA2"/>
    <w:rsid w:val="008A2B36"/>
    <w:rsid w:val="008A2CE1"/>
    <w:rsid w:val="008A2F68"/>
    <w:rsid w:val="008A3CDB"/>
    <w:rsid w:val="008A431D"/>
    <w:rsid w:val="008A55A9"/>
    <w:rsid w:val="008A56E9"/>
    <w:rsid w:val="008A615B"/>
    <w:rsid w:val="008A65AF"/>
    <w:rsid w:val="008A6EB5"/>
    <w:rsid w:val="008A74DD"/>
    <w:rsid w:val="008A756F"/>
    <w:rsid w:val="008A7AE3"/>
    <w:rsid w:val="008B0579"/>
    <w:rsid w:val="008B087C"/>
    <w:rsid w:val="008B158A"/>
    <w:rsid w:val="008B1621"/>
    <w:rsid w:val="008B1ECA"/>
    <w:rsid w:val="008B28F5"/>
    <w:rsid w:val="008B2AB5"/>
    <w:rsid w:val="008B3ED4"/>
    <w:rsid w:val="008B4007"/>
    <w:rsid w:val="008B4589"/>
    <w:rsid w:val="008B47DE"/>
    <w:rsid w:val="008B4CC4"/>
    <w:rsid w:val="008B4FA6"/>
    <w:rsid w:val="008B5282"/>
    <w:rsid w:val="008B5395"/>
    <w:rsid w:val="008B5FC5"/>
    <w:rsid w:val="008B6733"/>
    <w:rsid w:val="008B7027"/>
    <w:rsid w:val="008B77F7"/>
    <w:rsid w:val="008B790D"/>
    <w:rsid w:val="008B7C17"/>
    <w:rsid w:val="008C02C5"/>
    <w:rsid w:val="008C1055"/>
    <w:rsid w:val="008C199F"/>
    <w:rsid w:val="008C1DDA"/>
    <w:rsid w:val="008C2D01"/>
    <w:rsid w:val="008C33A1"/>
    <w:rsid w:val="008C40E6"/>
    <w:rsid w:val="008C4857"/>
    <w:rsid w:val="008C649D"/>
    <w:rsid w:val="008C6830"/>
    <w:rsid w:val="008C6838"/>
    <w:rsid w:val="008C7928"/>
    <w:rsid w:val="008D0707"/>
    <w:rsid w:val="008D0DC0"/>
    <w:rsid w:val="008D0F7A"/>
    <w:rsid w:val="008D1BBF"/>
    <w:rsid w:val="008D25F5"/>
    <w:rsid w:val="008D4282"/>
    <w:rsid w:val="008D5508"/>
    <w:rsid w:val="008D5CC8"/>
    <w:rsid w:val="008D65E3"/>
    <w:rsid w:val="008D68E4"/>
    <w:rsid w:val="008D6BA4"/>
    <w:rsid w:val="008D77DB"/>
    <w:rsid w:val="008D783C"/>
    <w:rsid w:val="008E0506"/>
    <w:rsid w:val="008E0C41"/>
    <w:rsid w:val="008E0CFF"/>
    <w:rsid w:val="008E1286"/>
    <w:rsid w:val="008E1495"/>
    <w:rsid w:val="008E1F6A"/>
    <w:rsid w:val="008E386F"/>
    <w:rsid w:val="008E393E"/>
    <w:rsid w:val="008E3C7A"/>
    <w:rsid w:val="008E4400"/>
    <w:rsid w:val="008E573A"/>
    <w:rsid w:val="008E5D18"/>
    <w:rsid w:val="008E5D6B"/>
    <w:rsid w:val="008E753E"/>
    <w:rsid w:val="008E76F0"/>
    <w:rsid w:val="008F042C"/>
    <w:rsid w:val="008F0AE8"/>
    <w:rsid w:val="008F0D5F"/>
    <w:rsid w:val="008F15FE"/>
    <w:rsid w:val="008F1D42"/>
    <w:rsid w:val="008F2208"/>
    <w:rsid w:val="008F296E"/>
    <w:rsid w:val="008F29E7"/>
    <w:rsid w:val="008F2BB9"/>
    <w:rsid w:val="008F2D29"/>
    <w:rsid w:val="008F33AF"/>
    <w:rsid w:val="008F4878"/>
    <w:rsid w:val="008F5187"/>
    <w:rsid w:val="008F5A73"/>
    <w:rsid w:val="008F5E31"/>
    <w:rsid w:val="008F602B"/>
    <w:rsid w:val="008F60D8"/>
    <w:rsid w:val="008F74E0"/>
    <w:rsid w:val="008F7C47"/>
    <w:rsid w:val="00900111"/>
    <w:rsid w:val="00900FA7"/>
    <w:rsid w:val="00900FEF"/>
    <w:rsid w:val="009019E9"/>
    <w:rsid w:val="00901BE0"/>
    <w:rsid w:val="009021B2"/>
    <w:rsid w:val="0090229A"/>
    <w:rsid w:val="009024E4"/>
    <w:rsid w:val="00902727"/>
    <w:rsid w:val="00902A93"/>
    <w:rsid w:val="00902C60"/>
    <w:rsid w:val="0090312B"/>
    <w:rsid w:val="00903AF8"/>
    <w:rsid w:val="009040F6"/>
    <w:rsid w:val="00904334"/>
    <w:rsid w:val="009043DE"/>
    <w:rsid w:val="00904994"/>
    <w:rsid w:val="009058F2"/>
    <w:rsid w:val="0090598B"/>
    <w:rsid w:val="00906170"/>
    <w:rsid w:val="0090624E"/>
    <w:rsid w:val="009068F3"/>
    <w:rsid w:val="00906E34"/>
    <w:rsid w:val="009070DF"/>
    <w:rsid w:val="009076B9"/>
    <w:rsid w:val="00911099"/>
    <w:rsid w:val="00911B25"/>
    <w:rsid w:val="00911F5F"/>
    <w:rsid w:val="00912C99"/>
    <w:rsid w:val="00913063"/>
    <w:rsid w:val="0091619D"/>
    <w:rsid w:val="0091736D"/>
    <w:rsid w:val="0091784F"/>
    <w:rsid w:val="00917DEB"/>
    <w:rsid w:val="009205B2"/>
    <w:rsid w:val="00920BF9"/>
    <w:rsid w:val="00921797"/>
    <w:rsid w:val="00922329"/>
    <w:rsid w:val="009224D0"/>
    <w:rsid w:val="0092325A"/>
    <w:rsid w:val="00923D78"/>
    <w:rsid w:val="00923EB8"/>
    <w:rsid w:val="00923F0D"/>
    <w:rsid w:val="00923F80"/>
    <w:rsid w:val="00924003"/>
    <w:rsid w:val="00925795"/>
    <w:rsid w:val="00925D57"/>
    <w:rsid w:val="00927B44"/>
    <w:rsid w:val="0093037A"/>
    <w:rsid w:val="00930796"/>
    <w:rsid w:val="00930A7B"/>
    <w:rsid w:val="00930B42"/>
    <w:rsid w:val="009310E7"/>
    <w:rsid w:val="0093199C"/>
    <w:rsid w:val="009319FA"/>
    <w:rsid w:val="00931A00"/>
    <w:rsid w:val="009324F0"/>
    <w:rsid w:val="009327BA"/>
    <w:rsid w:val="00932F7C"/>
    <w:rsid w:val="009340EF"/>
    <w:rsid w:val="009346CD"/>
    <w:rsid w:val="0093581F"/>
    <w:rsid w:val="00936353"/>
    <w:rsid w:val="00936E51"/>
    <w:rsid w:val="0093737B"/>
    <w:rsid w:val="009408AB"/>
    <w:rsid w:val="00940EF8"/>
    <w:rsid w:val="0094154D"/>
    <w:rsid w:val="00941CC2"/>
    <w:rsid w:val="00941DC9"/>
    <w:rsid w:val="00942B8B"/>
    <w:rsid w:val="0094309E"/>
    <w:rsid w:val="00943B7B"/>
    <w:rsid w:val="0094440E"/>
    <w:rsid w:val="00944A2C"/>
    <w:rsid w:val="0094635B"/>
    <w:rsid w:val="00946EB7"/>
    <w:rsid w:val="009474FD"/>
    <w:rsid w:val="00950FF0"/>
    <w:rsid w:val="00951423"/>
    <w:rsid w:val="0095155F"/>
    <w:rsid w:val="009531EA"/>
    <w:rsid w:val="0095364F"/>
    <w:rsid w:val="00954429"/>
    <w:rsid w:val="0095447C"/>
    <w:rsid w:val="00955D5E"/>
    <w:rsid w:val="00955E6B"/>
    <w:rsid w:val="00955F99"/>
    <w:rsid w:val="009563CE"/>
    <w:rsid w:val="00956850"/>
    <w:rsid w:val="00957249"/>
    <w:rsid w:val="00957A1C"/>
    <w:rsid w:val="00961C76"/>
    <w:rsid w:val="00961F85"/>
    <w:rsid w:val="0096272D"/>
    <w:rsid w:val="00962FDD"/>
    <w:rsid w:val="0096351B"/>
    <w:rsid w:val="00963F2C"/>
    <w:rsid w:val="0096423A"/>
    <w:rsid w:val="00964393"/>
    <w:rsid w:val="00964948"/>
    <w:rsid w:val="00964FC0"/>
    <w:rsid w:val="00965AB8"/>
    <w:rsid w:val="009665D3"/>
    <w:rsid w:val="00967BD8"/>
    <w:rsid w:val="00967C36"/>
    <w:rsid w:val="00967D73"/>
    <w:rsid w:val="00970B69"/>
    <w:rsid w:val="00970DC6"/>
    <w:rsid w:val="0097112E"/>
    <w:rsid w:val="00971B99"/>
    <w:rsid w:val="00971EFB"/>
    <w:rsid w:val="00972094"/>
    <w:rsid w:val="009729BB"/>
    <w:rsid w:val="009745A4"/>
    <w:rsid w:val="0097464D"/>
    <w:rsid w:val="00974A1C"/>
    <w:rsid w:val="0097535A"/>
    <w:rsid w:val="00975FA4"/>
    <w:rsid w:val="00976328"/>
    <w:rsid w:val="0097680D"/>
    <w:rsid w:val="0098028A"/>
    <w:rsid w:val="00980ABC"/>
    <w:rsid w:val="00981E91"/>
    <w:rsid w:val="00982438"/>
    <w:rsid w:val="009836D2"/>
    <w:rsid w:val="0098404C"/>
    <w:rsid w:val="0098504E"/>
    <w:rsid w:val="00985283"/>
    <w:rsid w:val="0098531C"/>
    <w:rsid w:val="00985431"/>
    <w:rsid w:val="009858FF"/>
    <w:rsid w:val="009859B2"/>
    <w:rsid w:val="00987887"/>
    <w:rsid w:val="009879CA"/>
    <w:rsid w:val="00992C15"/>
    <w:rsid w:val="00992CD7"/>
    <w:rsid w:val="009942FF"/>
    <w:rsid w:val="009948CA"/>
    <w:rsid w:val="00994FA5"/>
    <w:rsid w:val="00995992"/>
    <w:rsid w:val="0099665B"/>
    <w:rsid w:val="00996A4E"/>
    <w:rsid w:val="00996D99"/>
    <w:rsid w:val="0099738A"/>
    <w:rsid w:val="009977C6"/>
    <w:rsid w:val="009A03E5"/>
    <w:rsid w:val="009A086B"/>
    <w:rsid w:val="009A097F"/>
    <w:rsid w:val="009A0B94"/>
    <w:rsid w:val="009A0E98"/>
    <w:rsid w:val="009A0F3B"/>
    <w:rsid w:val="009A11DD"/>
    <w:rsid w:val="009A161B"/>
    <w:rsid w:val="009A1B0C"/>
    <w:rsid w:val="009A1BB4"/>
    <w:rsid w:val="009A1CCE"/>
    <w:rsid w:val="009A1DBF"/>
    <w:rsid w:val="009A2433"/>
    <w:rsid w:val="009A2628"/>
    <w:rsid w:val="009A3200"/>
    <w:rsid w:val="009A349A"/>
    <w:rsid w:val="009A385E"/>
    <w:rsid w:val="009A5659"/>
    <w:rsid w:val="009A5AF0"/>
    <w:rsid w:val="009A5B63"/>
    <w:rsid w:val="009A7017"/>
    <w:rsid w:val="009A761C"/>
    <w:rsid w:val="009B06DB"/>
    <w:rsid w:val="009B0878"/>
    <w:rsid w:val="009B0897"/>
    <w:rsid w:val="009B0F65"/>
    <w:rsid w:val="009B2C1B"/>
    <w:rsid w:val="009B2DDD"/>
    <w:rsid w:val="009B32F4"/>
    <w:rsid w:val="009B3533"/>
    <w:rsid w:val="009B42F9"/>
    <w:rsid w:val="009B452F"/>
    <w:rsid w:val="009B493F"/>
    <w:rsid w:val="009B4DF8"/>
    <w:rsid w:val="009B5161"/>
    <w:rsid w:val="009B587D"/>
    <w:rsid w:val="009B6361"/>
    <w:rsid w:val="009B63E9"/>
    <w:rsid w:val="009B6667"/>
    <w:rsid w:val="009B7BD9"/>
    <w:rsid w:val="009C0A34"/>
    <w:rsid w:val="009C1272"/>
    <w:rsid w:val="009C13AE"/>
    <w:rsid w:val="009C168D"/>
    <w:rsid w:val="009C17BF"/>
    <w:rsid w:val="009C1DDC"/>
    <w:rsid w:val="009C22A2"/>
    <w:rsid w:val="009C2EFB"/>
    <w:rsid w:val="009C328D"/>
    <w:rsid w:val="009C33EE"/>
    <w:rsid w:val="009C3A09"/>
    <w:rsid w:val="009C3A6D"/>
    <w:rsid w:val="009C3A89"/>
    <w:rsid w:val="009C4B28"/>
    <w:rsid w:val="009C4D52"/>
    <w:rsid w:val="009C4FEF"/>
    <w:rsid w:val="009C51D0"/>
    <w:rsid w:val="009C559F"/>
    <w:rsid w:val="009C5C31"/>
    <w:rsid w:val="009C6744"/>
    <w:rsid w:val="009C7167"/>
    <w:rsid w:val="009C7DD5"/>
    <w:rsid w:val="009D0470"/>
    <w:rsid w:val="009D04DF"/>
    <w:rsid w:val="009D1197"/>
    <w:rsid w:val="009D2B47"/>
    <w:rsid w:val="009D2CBB"/>
    <w:rsid w:val="009D3079"/>
    <w:rsid w:val="009D3444"/>
    <w:rsid w:val="009D3552"/>
    <w:rsid w:val="009D3966"/>
    <w:rsid w:val="009D3C17"/>
    <w:rsid w:val="009D422F"/>
    <w:rsid w:val="009D47F0"/>
    <w:rsid w:val="009D5009"/>
    <w:rsid w:val="009D5FDC"/>
    <w:rsid w:val="009D6227"/>
    <w:rsid w:val="009D76B4"/>
    <w:rsid w:val="009D776B"/>
    <w:rsid w:val="009E0B73"/>
    <w:rsid w:val="009E0DC5"/>
    <w:rsid w:val="009E2030"/>
    <w:rsid w:val="009E227D"/>
    <w:rsid w:val="009E2C91"/>
    <w:rsid w:val="009E346B"/>
    <w:rsid w:val="009E3D9D"/>
    <w:rsid w:val="009E3FDA"/>
    <w:rsid w:val="009E438D"/>
    <w:rsid w:val="009E4A70"/>
    <w:rsid w:val="009E5019"/>
    <w:rsid w:val="009E5242"/>
    <w:rsid w:val="009E5520"/>
    <w:rsid w:val="009E562E"/>
    <w:rsid w:val="009E6EBC"/>
    <w:rsid w:val="009E70F4"/>
    <w:rsid w:val="009E7140"/>
    <w:rsid w:val="009E7B7B"/>
    <w:rsid w:val="009F06DD"/>
    <w:rsid w:val="009F0E05"/>
    <w:rsid w:val="009F1B99"/>
    <w:rsid w:val="009F2E8B"/>
    <w:rsid w:val="009F2EA4"/>
    <w:rsid w:val="009F3BDA"/>
    <w:rsid w:val="009F3F72"/>
    <w:rsid w:val="009F434B"/>
    <w:rsid w:val="009F5FE9"/>
    <w:rsid w:val="009F5FF3"/>
    <w:rsid w:val="009F60AE"/>
    <w:rsid w:val="009F716E"/>
    <w:rsid w:val="00A0043B"/>
    <w:rsid w:val="00A01613"/>
    <w:rsid w:val="00A01FE0"/>
    <w:rsid w:val="00A04F1B"/>
    <w:rsid w:val="00A0501B"/>
    <w:rsid w:val="00A053C2"/>
    <w:rsid w:val="00A0573A"/>
    <w:rsid w:val="00A05936"/>
    <w:rsid w:val="00A07136"/>
    <w:rsid w:val="00A0721C"/>
    <w:rsid w:val="00A07705"/>
    <w:rsid w:val="00A07D79"/>
    <w:rsid w:val="00A131BF"/>
    <w:rsid w:val="00A13767"/>
    <w:rsid w:val="00A13991"/>
    <w:rsid w:val="00A13A38"/>
    <w:rsid w:val="00A13AAC"/>
    <w:rsid w:val="00A148F9"/>
    <w:rsid w:val="00A14947"/>
    <w:rsid w:val="00A14952"/>
    <w:rsid w:val="00A151F3"/>
    <w:rsid w:val="00A1529C"/>
    <w:rsid w:val="00A15521"/>
    <w:rsid w:val="00A1591D"/>
    <w:rsid w:val="00A1627F"/>
    <w:rsid w:val="00A16D65"/>
    <w:rsid w:val="00A16F05"/>
    <w:rsid w:val="00A177A5"/>
    <w:rsid w:val="00A20458"/>
    <w:rsid w:val="00A20D24"/>
    <w:rsid w:val="00A20E62"/>
    <w:rsid w:val="00A2107F"/>
    <w:rsid w:val="00A21A5E"/>
    <w:rsid w:val="00A21E1D"/>
    <w:rsid w:val="00A22A2A"/>
    <w:rsid w:val="00A22D5E"/>
    <w:rsid w:val="00A231EF"/>
    <w:rsid w:val="00A257A7"/>
    <w:rsid w:val="00A25921"/>
    <w:rsid w:val="00A27FF3"/>
    <w:rsid w:val="00A30625"/>
    <w:rsid w:val="00A30D09"/>
    <w:rsid w:val="00A31640"/>
    <w:rsid w:val="00A3205F"/>
    <w:rsid w:val="00A32A83"/>
    <w:rsid w:val="00A332C1"/>
    <w:rsid w:val="00A3398E"/>
    <w:rsid w:val="00A34D97"/>
    <w:rsid w:val="00A35D52"/>
    <w:rsid w:val="00A368DB"/>
    <w:rsid w:val="00A36A85"/>
    <w:rsid w:val="00A36FC5"/>
    <w:rsid w:val="00A3733D"/>
    <w:rsid w:val="00A3785A"/>
    <w:rsid w:val="00A40A95"/>
    <w:rsid w:val="00A40C2B"/>
    <w:rsid w:val="00A41659"/>
    <w:rsid w:val="00A4182C"/>
    <w:rsid w:val="00A41937"/>
    <w:rsid w:val="00A423AA"/>
    <w:rsid w:val="00A42ECA"/>
    <w:rsid w:val="00A43789"/>
    <w:rsid w:val="00A43952"/>
    <w:rsid w:val="00A43CCE"/>
    <w:rsid w:val="00A44597"/>
    <w:rsid w:val="00A44BCA"/>
    <w:rsid w:val="00A45E5F"/>
    <w:rsid w:val="00A45EBC"/>
    <w:rsid w:val="00A475C4"/>
    <w:rsid w:val="00A47C45"/>
    <w:rsid w:val="00A5053E"/>
    <w:rsid w:val="00A50788"/>
    <w:rsid w:val="00A50965"/>
    <w:rsid w:val="00A50B52"/>
    <w:rsid w:val="00A51423"/>
    <w:rsid w:val="00A515E5"/>
    <w:rsid w:val="00A52237"/>
    <w:rsid w:val="00A52F79"/>
    <w:rsid w:val="00A537EC"/>
    <w:rsid w:val="00A5388B"/>
    <w:rsid w:val="00A53EC6"/>
    <w:rsid w:val="00A5409E"/>
    <w:rsid w:val="00A54E11"/>
    <w:rsid w:val="00A55084"/>
    <w:rsid w:val="00A557A5"/>
    <w:rsid w:val="00A55C0F"/>
    <w:rsid w:val="00A55C3D"/>
    <w:rsid w:val="00A57A1E"/>
    <w:rsid w:val="00A604D3"/>
    <w:rsid w:val="00A608E4"/>
    <w:rsid w:val="00A61477"/>
    <w:rsid w:val="00A61AAF"/>
    <w:rsid w:val="00A62058"/>
    <w:rsid w:val="00A62D74"/>
    <w:rsid w:val="00A63348"/>
    <w:rsid w:val="00A63B99"/>
    <w:rsid w:val="00A63C7E"/>
    <w:rsid w:val="00A6423A"/>
    <w:rsid w:val="00A64326"/>
    <w:rsid w:val="00A6434B"/>
    <w:rsid w:val="00A64CE7"/>
    <w:rsid w:val="00A6520E"/>
    <w:rsid w:val="00A652B8"/>
    <w:rsid w:val="00A65C17"/>
    <w:rsid w:val="00A66186"/>
    <w:rsid w:val="00A663A6"/>
    <w:rsid w:val="00A66E7E"/>
    <w:rsid w:val="00A67D8E"/>
    <w:rsid w:val="00A7104C"/>
    <w:rsid w:val="00A72600"/>
    <w:rsid w:val="00A72D2E"/>
    <w:rsid w:val="00A732C6"/>
    <w:rsid w:val="00A74B36"/>
    <w:rsid w:val="00A7517A"/>
    <w:rsid w:val="00A75702"/>
    <w:rsid w:val="00A774E2"/>
    <w:rsid w:val="00A777B6"/>
    <w:rsid w:val="00A80004"/>
    <w:rsid w:val="00A804F5"/>
    <w:rsid w:val="00A818AB"/>
    <w:rsid w:val="00A820A5"/>
    <w:rsid w:val="00A822D4"/>
    <w:rsid w:val="00A82BAB"/>
    <w:rsid w:val="00A83E98"/>
    <w:rsid w:val="00A85775"/>
    <w:rsid w:val="00A85DB2"/>
    <w:rsid w:val="00A8646D"/>
    <w:rsid w:val="00A869B7"/>
    <w:rsid w:val="00A8713F"/>
    <w:rsid w:val="00A87D21"/>
    <w:rsid w:val="00A87F36"/>
    <w:rsid w:val="00A90743"/>
    <w:rsid w:val="00A90BA1"/>
    <w:rsid w:val="00A91EA8"/>
    <w:rsid w:val="00A925C8"/>
    <w:rsid w:val="00A926D0"/>
    <w:rsid w:val="00A9435E"/>
    <w:rsid w:val="00A957D3"/>
    <w:rsid w:val="00A9683E"/>
    <w:rsid w:val="00A96F6E"/>
    <w:rsid w:val="00A971D5"/>
    <w:rsid w:val="00A97A9A"/>
    <w:rsid w:val="00A97B01"/>
    <w:rsid w:val="00A97EB3"/>
    <w:rsid w:val="00AA00F1"/>
    <w:rsid w:val="00AA02B8"/>
    <w:rsid w:val="00AA0671"/>
    <w:rsid w:val="00AA0A7D"/>
    <w:rsid w:val="00AA0D50"/>
    <w:rsid w:val="00AA1274"/>
    <w:rsid w:val="00AA1653"/>
    <w:rsid w:val="00AA1777"/>
    <w:rsid w:val="00AA1F28"/>
    <w:rsid w:val="00AA2308"/>
    <w:rsid w:val="00AA2531"/>
    <w:rsid w:val="00AA3157"/>
    <w:rsid w:val="00AA373D"/>
    <w:rsid w:val="00AA60BF"/>
    <w:rsid w:val="00AA6A23"/>
    <w:rsid w:val="00AB00EA"/>
    <w:rsid w:val="00AB05A8"/>
    <w:rsid w:val="00AB085E"/>
    <w:rsid w:val="00AB0F6E"/>
    <w:rsid w:val="00AB1E09"/>
    <w:rsid w:val="00AB24BF"/>
    <w:rsid w:val="00AB3FDE"/>
    <w:rsid w:val="00AB4992"/>
    <w:rsid w:val="00AB4ED6"/>
    <w:rsid w:val="00AB51EF"/>
    <w:rsid w:val="00AB5330"/>
    <w:rsid w:val="00AB533E"/>
    <w:rsid w:val="00AB5634"/>
    <w:rsid w:val="00AB5C58"/>
    <w:rsid w:val="00AB6AE8"/>
    <w:rsid w:val="00AB6DC7"/>
    <w:rsid w:val="00AB7747"/>
    <w:rsid w:val="00AB7C0C"/>
    <w:rsid w:val="00AB7F0D"/>
    <w:rsid w:val="00AB7F70"/>
    <w:rsid w:val="00AC001C"/>
    <w:rsid w:val="00AC00E1"/>
    <w:rsid w:val="00AC0747"/>
    <w:rsid w:val="00AC130C"/>
    <w:rsid w:val="00AC14CE"/>
    <w:rsid w:val="00AC178D"/>
    <w:rsid w:val="00AC1820"/>
    <w:rsid w:val="00AC2480"/>
    <w:rsid w:val="00AC2A56"/>
    <w:rsid w:val="00AC33F5"/>
    <w:rsid w:val="00AC3E0D"/>
    <w:rsid w:val="00AC3EB8"/>
    <w:rsid w:val="00AC4D95"/>
    <w:rsid w:val="00AC502A"/>
    <w:rsid w:val="00AC50FB"/>
    <w:rsid w:val="00AC513E"/>
    <w:rsid w:val="00AC599F"/>
    <w:rsid w:val="00AC5A85"/>
    <w:rsid w:val="00AC636B"/>
    <w:rsid w:val="00AC647B"/>
    <w:rsid w:val="00AC756A"/>
    <w:rsid w:val="00AC7CDB"/>
    <w:rsid w:val="00AD055E"/>
    <w:rsid w:val="00AD06E3"/>
    <w:rsid w:val="00AD1610"/>
    <w:rsid w:val="00AD2A0D"/>
    <w:rsid w:val="00AD369A"/>
    <w:rsid w:val="00AD427E"/>
    <w:rsid w:val="00AD47A7"/>
    <w:rsid w:val="00AD4FC0"/>
    <w:rsid w:val="00AD5619"/>
    <w:rsid w:val="00AD7635"/>
    <w:rsid w:val="00AE06F9"/>
    <w:rsid w:val="00AE07C9"/>
    <w:rsid w:val="00AE0B77"/>
    <w:rsid w:val="00AE0EEF"/>
    <w:rsid w:val="00AE1427"/>
    <w:rsid w:val="00AE2F3C"/>
    <w:rsid w:val="00AE4CFC"/>
    <w:rsid w:val="00AE73CB"/>
    <w:rsid w:val="00AE7AFD"/>
    <w:rsid w:val="00AF0CBF"/>
    <w:rsid w:val="00AF1002"/>
    <w:rsid w:val="00AF1045"/>
    <w:rsid w:val="00AF15D2"/>
    <w:rsid w:val="00AF257F"/>
    <w:rsid w:val="00AF28BD"/>
    <w:rsid w:val="00AF2B08"/>
    <w:rsid w:val="00AF33CF"/>
    <w:rsid w:val="00AF347E"/>
    <w:rsid w:val="00AF46E2"/>
    <w:rsid w:val="00AF49D3"/>
    <w:rsid w:val="00AF4BAB"/>
    <w:rsid w:val="00AF4D50"/>
    <w:rsid w:val="00AF601B"/>
    <w:rsid w:val="00AF6179"/>
    <w:rsid w:val="00AF624A"/>
    <w:rsid w:val="00AF6467"/>
    <w:rsid w:val="00AF789C"/>
    <w:rsid w:val="00AF7BC4"/>
    <w:rsid w:val="00B01DEB"/>
    <w:rsid w:val="00B0212B"/>
    <w:rsid w:val="00B0258C"/>
    <w:rsid w:val="00B02621"/>
    <w:rsid w:val="00B02FC2"/>
    <w:rsid w:val="00B03578"/>
    <w:rsid w:val="00B038C2"/>
    <w:rsid w:val="00B03F50"/>
    <w:rsid w:val="00B0411E"/>
    <w:rsid w:val="00B05F85"/>
    <w:rsid w:val="00B06479"/>
    <w:rsid w:val="00B06ADD"/>
    <w:rsid w:val="00B07050"/>
    <w:rsid w:val="00B0705D"/>
    <w:rsid w:val="00B07EC9"/>
    <w:rsid w:val="00B10009"/>
    <w:rsid w:val="00B1029C"/>
    <w:rsid w:val="00B103E6"/>
    <w:rsid w:val="00B11177"/>
    <w:rsid w:val="00B11571"/>
    <w:rsid w:val="00B116A8"/>
    <w:rsid w:val="00B1295A"/>
    <w:rsid w:val="00B12C40"/>
    <w:rsid w:val="00B132CF"/>
    <w:rsid w:val="00B13743"/>
    <w:rsid w:val="00B142A4"/>
    <w:rsid w:val="00B151C1"/>
    <w:rsid w:val="00B153E6"/>
    <w:rsid w:val="00B15A45"/>
    <w:rsid w:val="00B168CD"/>
    <w:rsid w:val="00B177A9"/>
    <w:rsid w:val="00B20A45"/>
    <w:rsid w:val="00B211FD"/>
    <w:rsid w:val="00B21B74"/>
    <w:rsid w:val="00B21F65"/>
    <w:rsid w:val="00B22C5C"/>
    <w:rsid w:val="00B232BA"/>
    <w:rsid w:val="00B23E54"/>
    <w:rsid w:val="00B241ED"/>
    <w:rsid w:val="00B24AC1"/>
    <w:rsid w:val="00B24CEB"/>
    <w:rsid w:val="00B24F30"/>
    <w:rsid w:val="00B25104"/>
    <w:rsid w:val="00B264D7"/>
    <w:rsid w:val="00B26F36"/>
    <w:rsid w:val="00B27795"/>
    <w:rsid w:val="00B30505"/>
    <w:rsid w:val="00B31ABF"/>
    <w:rsid w:val="00B32E87"/>
    <w:rsid w:val="00B33794"/>
    <w:rsid w:val="00B33932"/>
    <w:rsid w:val="00B33BE3"/>
    <w:rsid w:val="00B33D89"/>
    <w:rsid w:val="00B341B2"/>
    <w:rsid w:val="00B34FBB"/>
    <w:rsid w:val="00B35858"/>
    <w:rsid w:val="00B35B0A"/>
    <w:rsid w:val="00B35F9A"/>
    <w:rsid w:val="00B40382"/>
    <w:rsid w:val="00B40AA7"/>
    <w:rsid w:val="00B40B73"/>
    <w:rsid w:val="00B417D9"/>
    <w:rsid w:val="00B41F82"/>
    <w:rsid w:val="00B425FE"/>
    <w:rsid w:val="00B4347E"/>
    <w:rsid w:val="00B440A7"/>
    <w:rsid w:val="00B4453A"/>
    <w:rsid w:val="00B47202"/>
    <w:rsid w:val="00B472AA"/>
    <w:rsid w:val="00B506B7"/>
    <w:rsid w:val="00B50B7A"/>
    <w:rsid w:val="00B50E69"/>
    <w:rsid w:val="00B51DBA"/>
    <w:rsid w:val="00B51DE7"/>
    <w:rsid w:val="00B53796"/>
    <w:rsid w:val="00B53B5D"/>
    <w:rsid w:val="00B53D18"/>
    <w:rsid w:val="00B54563"/>
    <w:rsid w:val="00B55699"/>
    <w:rsid w:val="00B55939"/>
    <w:rsid w:val="00B55C96"/>
    <w:rsid w:val="00B55D12"/>
    <w:rsid w:val="00B561D9"/>
    <w:rsid w:val="00B562F5"/>
    <w:rsid w:val="00B56AD7"/>
    <w:rsid w:val="00B577DC"/>
    <w:rsid w:val="00B6055E"/>
    <w:rsid w:val="00B609F2"/>
    <w:rsid w:val="00B6284A"/>
    <w:rsid w:val="00B6317D"/>
    <w:rsid w:val="00B63795"/>
    <w:rsid w:val="00B6447E"/>
    <w:rsid w:val="00B64A79"/>
    <w:rsid w:val="00B650A4"/>
    <w:rsid w:val="00B65163"/>
    <w:rsid w:val="00B65286"/>
    <w:rsid w:val="00B65F55"/>
    <w:rsid w:val="00B664F6"/>
    <w:rsid w:val="00B67148"/>
    <w:rsid w:val="00B67EA5"/>
    <w:rsid w:val="00B70300"/>
    <w:rsid w:val="00B7045D"/>
    <w:rsid w:val="00B71204"/>
    <w:rsid w:val="00B714B5"/>
    <w:rsid w:val="00B725BC"/>
    <w:rsid w:val="00B72B38"/>
    <w:rsid w:val="00B72F98"/>
    <w:rsid w:val="00B73D3D"/>
    <w:rsid w:val="00B74544"/>
    <w:rsid w:val="00B74BD5"/>
    <w:rsid w:val="00B7723F"/>
    <w:rsid w:val="00B80001"/>
    <w:rsid w:val="00B80534"/>
    <w:rsid w:val="00B8148F"/>
    <w:rsid w:val="00B81DFB"/>
    <w:rsid w:val="00B81F0A"/>
    <w:rsid w:val="00B823B7"/>
    <w:rsid w:val="00B83035"/>
    <w:rsid w:val="00B83909"/>
    <w:rsid w:val="00B839AA"/>
    <w:rsid w:val="00B83E1F"/>
    <w:rsid w:val="00B83F04"/>
    <w:rsid w:val="00B8433C"/>
    <w:rsid w:val="00B8607A"/>
    <w:rsid w:val="00B86415"/>
    <w:rsid w:val="00B87491"/>
    <w:rsid w:val="00B87944"/>
    <w:rsid w:val="00B87A18"/>
    <w:rsid w:val="00B90409"/>
    <w:rsid w:val="00B908D4"/>
    <w:rsid w:val="00B90AC8"/>
    <w:rsid w:val="00B90E4F"/>
    <w:rsid w:val="00B9104B"/>
    <w:rsid w:val="00B9264B"/>
    <w:rsid w:val="00B92936"/>
    <w:rsid w:val="00B92BF4"/>
    <w:rsid w:val="00B92F9C"/>
    <w:rsid w:val="00B931F0"/>
    <w:rsid w:val="00B93A1E"/>
    <w:rsid w:val="00B93A54"/>
    <w:rsid w:val="00B948AF"/>
    <w:rsid w:val="00B96D6A"/>
    <w:rsid w:val="00B97BF6"/>
    <w:rsid w:val="00BA0F43"/>
    <w:rsid w:val="00BA10AB"/>
    <w:rsid w:val="00BA1392"/>
    <w:rsid w:val="00BA21E5"/>
    <w:rsid w:val="00BA29E9"/>
    <w:rsid w:val="00BA363A"/>
    <w:rsid w:val="00BA3A2D"/>
    <w:rsid w:val="00BA437B"/>
    <w:rsid w:val="00BA4452"/>
    <w:rsid w:val="00BA5717"/>
    <w:rsid w:val="00BA5E85"/>
    <w:rsid w:val="00BA615F"/>
    <w:rsid w:val="00BA6591"/>
    <w:rsid w:val="00BA6754"/>
    <w:rsid w:val="00BA6A51"/>
    <w:rsid w:val="00BA7142"/>
    <w:rsid w:val="00BA7216"/>
    <w:rsid w:val="00BA74FA"/>
    <w:rsid w:val="00BA75C3"/>
    <w:rsid w:val="00BA7686"/>
    <w:rsid w:val="00BB0CDE"/>
    <w:rsid w:val="00BB1DF7"/>
    <w:rsid w:val="00BB2015"/>
    <w:rsid w:val="00BB20B2"/>
    <w:rsid w:val="00BB20E1"/>
    <w:rsid w:val="00BB237C"/>
    <w:rsid w:val="00BB3D38"/>
    <w:rsid w:val="00BB41A3"/>
    <w:rsid w:val="00BB4F95"/>
    <w:rsid w:val="00BB5900"/>
    <w:rsid w:val="00BB5E10"/>
    <w:rsid w:val="00BB6867"/>
    <w:rsid w:val="00BB6B52"/>
    <w:rsid w:val="00BB6FBC"/>
    <w:rsid w:val="00BB7282"/>
    <w:rsid w:val="00BB759A"/>
    <w:rsid w:val="00BB7605"/>
    <w:rsid w:val="00BB76DF"/>
    <w:rsid w:val="00BC0B18"/>
    <w:rsid w:val="00BC0D1E"/>
    <w:rsid w:val="00BC1E44"/>
    <w:rsid w:val="00BC1F45"/>
    <w:rsid w:val="00BC24F2"/>
    <w:rsid w:val="00BC284A"/>
    <w:rsid w:val="00BC32DC"/>
    <w:rsid w:val="00BC35B6"/>
    <w:rsid w:val="00BC40F3"/>
    <w:rsid w:val="00BC460E"/>
    <w:rsid w:val="00BC58D3"/>
    <w:rsid w:val="00BC5A53"/>
    <w:rsid w:val="00BC5EC1"/>
    <w:rsid w:val="00BC5F69"/>
    <w:rsid w:val="00BC6D08"/>
    <w:rsid w:val="00BC6F53"/>
    <w:rsid w:val="00BC743E"/>
    <w:rsid w:val="00BD060B"/>
    <w:rsid w:val="00BD06D6"/>
    <w:rsid w:val="00BD1AB1"/>
    <w:rsid w:val="00BD1B51"/>
    <w:rsid w:val="00BD1D09"/>
    <w:rsid w:val="00BD21CC"/>
    <w:rsid w:val="00BD29EC"/>
    <w:rsid w:val="00BD3124"/>
    <w:rsid w:val="00BD4596"/>
    <w:rsid w:val="00BD49DC"/>
    <w:rsid w:val="00BD4FAA"/>
    <w:rsid w:val="00BD587E"/>
    <w:rsid w:val="00BD6274"/>
    <w:rsid w:val="00BD7F0C"/>
    <w:rsid w:val="00BE0447"/>
    <w:rsid w:val="00BE0B7A"/>
    <w:rsid w:val="00BE1405"/>
    <w:rsid w:val="00BE1E92"/>
    <w:rsid w:val="00BE2339"/>
    <w:rsid w:val="00BE312D"/>
    <w:rsid w:val="00BE3768"/>
    <w:rsid w:val="00BE3C50"/>
    <w:rsid w:val="00BE4038"/>
    <w:rsid w:val="00BE5E4D"/>
    <w:rsid w:val="00BE6C20"/>
    <w:rsid w:val="00BE7027"/>
    <w:rsid w:val="00BE7D16"/>
    <w:rsid w:val="00BF012E"/>
    <w:rsid w:val="00BF0BC8"/>
    <w:rsid w:val="00BF1071"/>
    <w:rsid w:val="00BF1390"/>
    <w:rsid w:val="00BF1A2A"/>
    <w:rsid w:val="00BF1B7E"/>
    <w:rsid w:val="00BF1C20"/>
    <w:rsid w:val="00BF1E70"/>
    <w:rsid w:val="00BF1EB5"/>
    <w:rsid w:val="00BF2260"/>
    <w:rsid w:val="00BF2571"/>
    <w:rsid w:val="00BF296E"/>
    <w:rsid w:val="00BF2FB7"/>
    <w:rsid w:val="00BF3975"/>
    <w:rsid w:val="00BF3FE7"/>
    <w:rsid w:val="00BF40FF"/>
    <w:rsid w:val="00BF510B"/>
    <w:rsid w:val="00BF5209"/>
    <w:rsid w:val="00BF61FB"/>
    <w:rsid w:val="00BF6BDF"/>
    <w:rsid w:val="00BF6CE0"/>
    <w:rsid w:val="00BF6FEC"/>
    <w:rsid w:val="00C00C18"/>
    <w:rsid w:val="00C014AE"/>
    <w:rsid w:val="00C016B0"/>
    <w:rsid w:val="00C0193C"/>
    <w:rsid w:val="00C028A9"/>
    <w:rsid w:val="00C035E0"/>
    <w:rsid w:val="00C037D2"/>
    <w:rsid w:val="00C04407"/>
    <w:rsid w:val="00C04E80"/>
    <w:rsid w:val="00C055F4"/>
    <w:rsid w:val="00C061BF"/>
    <w:rsid w:val="00C0645D"/>
    <w:rsid w:val="00C0656E"/>
    <w:rsid w:val="00C06C18"/>
    <w:rsid w:val="00C07081"/>
    <w:rsid w:val="00C10578"/>
    <w:rsid w:val="00C10988"/>
    <w:rsid w:val="00C109DB"/>
    <w:rsid w:val="00C10E3C"/>
    <w:rsid w:val="00C11168"/>
    <w:rsid w:val="00C11E9F"/>
    <w:rsid w:val="00C1207B"/>
    <w:rsid w:val="00C126AC"/>
    <w:rsid w:val="00C12C46"/>
    <w:rsid w:val="00C12D6E"/>
    <w:rsid w:val="00C134AF"/>
    <w:rsid w:val="00C135BC"/>
    <w:rsid w:val="00C14112"/>
    <w:rsid w:val="00C1427A"/>
    <w:rsid w:val="00C149C6"/>
    <w:rsid w:val="00C15C95"/>
    <w:rsid w:val="00C15F54"/>
    <w:rsid w:val="00C16A89"/>
    <w:rsid w:val="00C16E00"/>
    <w:rsid w:val="00C173C3"/>
    <w:rsid w:val="00C17845"/>
    <w:rsid w:val="00C17C19"/>
    <w:rsid w:val="00C2003F"/>
    <w:rsid w:val="00C204ED"/>
    <w:rsid w:val="00C20CAC"/>
    <w:rsid w:val="00C20FD4"/>
    <w:rsid w:val="00C2160F"/>
    <w:rsid w:val="00C226A1"/>
    <w:rsid w:val="00C226AE"/>
    <w:rsid w:val="00C2272D"/>
    <w:rsid w:val="00C22E36"/>
    <w:rsid w:val="00C23CD8"/>
    <w:rsid w:val="00C24D39"/>
    <w:rsid w:val="00C2549D"/>
    <w:rsid w:val="00C2596A"/>
    <w:rsid w:val="00C25EF9"/>
    <w:rsid w:val="00C268F4"/>
    <w:rsid w:val="00C26AA0"/>
    <w:rsid w:val="00C26ADB"/>
    <w:rsid w:val="00C27537"/>
    <w:rsid w:val="00C30A61"/>
    <w:rsid w:val="00C30DA3"/>
    <w:rsid w:val="00C328FB"/>
    <w:rsid w:val="00C328FE"/>
    <w:rsid w:val="00C32EEF"/>
    <w:rsid w:val="00C33507"/>
    <w:rsid w:val="00C337BB"/>
    <w:rsid w:val="00C33E35"/>
    <w:rsid w:val="00C3502E"/>
    <w:rsid w:val="00C35076"/>
    <w:rsid w:val="00C35A04"/>
    <w:rsid w:val="00C35D8E"/>
    <w:rsid w:val="00C35F76"/>
    <w:rsid w:val="00C3631B"/>
    <w:rsid w:val="00C36394"/>
    <w:rsid w:val="00C40941"/>
    <w:rsid w:val="00C40E94"/>
    <w:rsid w:val="00C4322F"/>
    <w:rsid w:val="00C43763"/>
    <w:rsid w:val="00C4409D"/>
    <w:rsid w:val="00C44137"/>
    <w:rsid w:val="00C44403"/>
    <w:rsid w:val="00C44761"/>
    <w:rsid w:val="00C448B0"/>
    <w:rsid w:val="00C44A77"/>
    <w:rsid w:val="00C44E72"/>
    <w:rsid w:val="00C45A06"/>
    <w:rsid w:val="00C45BCA"/>
    <w:rsid w:val="00C46AAF"/>
    <w:rsid w:val="00C47E5B"/>
    <w:rsid w:val="00C518C8"/>
    <w:rsid w:val="00C53D6C"/>
    <w:rsid w:val="00C547E9"/>
    <w:rsid w:val="00C55762"/>
    <w:rsid w:val="00C55DCA"/>
    <w:rsid w:val="00C572B3"/>
    <w:rsid w:val="00C57FBE"/>
    <w:rsid w:val="00C60BB3"/>
    <w:rsid w:val="00C60F9D"/>
    <w:rsid w:val="00C61BBA"/>
    <w:rsid w:val="00C61E4B"/>
    <w:rsid w:val="00C61EDF"/>
    <w:rsid w:val="00C625C3"/>
    <w:rsid w:val="00C626E6"/>
    <w:rsid w:val="00C62FB6"/>
    <w:rsid w:val="00C6462E"/>
    <w:rsid w:val="00C64BFF"/>
    <w:rsid w:val="00C64E51"/>
    <w:rsid w:val="00C6771D"/>
    <w:rsid w:val="00C67803"/>
    <w:rsid w:val="00C704E9"/>
    <w:rsid w:val="00C71302"/>
    <w:rsid w:val="00C7142B"/>
    <w:rsid w:val="00C718AD"/>
    <w:rsid w:val="00C71F4A"/>
    <w:rsid w:val="00C724BE"/>
    <w:rsid w:val="00C7370A"/>
    <w:rsid w:val="00C737A3"/>
    <w:rsid w:val="00C73D53"/>
    <w:rsid w:val="00C74D90"/>
    <w:rsid w:val="00C74EB6"/>
    <w:rsid w:val="00C753F8"/>
    <w:rsid w:val="00C754D0"/>
    <w:rsid w:val="00C763C9"/>
    <w:rsid w:val="00C76C92"/>
    <w:rsid w:val="00C77577"/>
    <w:rsid w:val="00C775A0"/>
    <w:rsid w:val="00C77840"/>
    <w:rsid w:val="00C80057"/>
    <w:rsid w:val="00C804A9"/>
    <w:rsid w:val="00C82186"/>
    <w:rsid w:val="00C82232"/>
    <w:rsid w:val="00C824C9"/>
    <w:rsid w:val="00C82913"/>
    <w:rsid w:val="00C82A0C"/>
    <w:rsid w:val="00C82E61"/>
    <w:rsid w:val="00C82F88"/>
    <w:rsid w:val="00C8331B"/>
    <w:rsid w:val="00C83513"/>
    <w:rsid w:val="00C84291"/>
    <w:rsid w:val="00C84461"/>
    <w:rsid w:val="00C84D2B"/>
    <w:rsid w:val="00C85498"/>
    <w:rsid w:val="00C8619E"/>
    <w:rsid w:val="00C86444"/>
    <w:rsid w:val="00C86AF9"/>
    <w:rsid w:val="00C87AF3"/>
    <w:rsid w:val="00C87CCE"/>
    <w:rsid w:val="00C90418"/>
    <w:rsid w:val="00C90EDC"/>
    <w:rsid w:val="00C91452"/>
    <w:rsid w:val="00C917D9"/>
    <w:rsid w:val="00C91E98"/>
    <w:rsid w:val="00C923D1"/>
    <w:rsid w:val="00C9299A"/>
    <w:rsid w:val="00C92AAE"/>
    <w:rsid w:val="00C93870"/>
    <w:rsid w:val="00C94329"/>
    <w:rsid w:val="00C94557"/>
    <w:rsid w:val="00C9473A"/>
    <w:rsid w:val="00C96C92"/>
    <w:rsid w:val="00C97253"/>
    <w:rsid w:val="00C972B1"/>
    <w:rsid w:val="00C977BC"/>
    <w:rsid w:val="00CA0D2A"/>
    <w:rsid w:val="00CA255D"/>
    <w:rsid w:val="00CA2BB5"/>
    <w:rsid w:val="00CA2CCE"/>
    <w:rsid w:val="00CA369D"/>
    <w:rsid w:val="00CA3C11"/>
    <w:rsid w:val="00CA3D20"/>
    <w:rsid w:val="00CA3EB0"/>
    <w:rsid w:val="00CA43FD"/>
    <w:rsid w:val="00CA4509"/>
    <w:rsid w:val="00CA4669"/>
    <w:rsid w:val="00CA547D"/>
    <w:rsid w:val="00CA5B91"/>
    <w:rsid w:val="00CA6169"/>
    <w:rsid w:val="00CA65AB"/>
    <w:rsid w:val="00CA6A6B"/>
    <w:rsid w:val="00CA72B1"/>
    <w:rsid w:val="00CA7911"/>
    <w:rsid w:val="00CA7B4E"/>
    <w:rsid w:val="00CA7EF8"/>
    <w:rsid w:val="00CB0DA1"/>
    <w:rsid w:val="00CB1B5B"/>
    <w:rsid w:val="00CB24F2"/>
    <w:rsid w:val="00CB270C"/>
    <w:rsid w:val="00CB2900"/>
    <w:rsid w:val="00CB2E6E"/>
    <w:rsid w:val="00CB35D8"/>
    <w:rsid w:val="00CB42F8"/>
    <w:rsid w:val="00CB480C"/>
    <w:rsid w:val="00CB48AE"/>
    <w:rsid w:val="00CB4CAC"/>
    <w:rsid w:val="00CB4D9A"/>
    <w:rsid w:val="00CB4DCD"/>
    <w:rsid w:val="00CB5F00"/>
    <w:rsid w:val="00CB60D9"/>
    <w:rsid w:val="00CB638C"/>
    <w:rsid w:val="00CB65D8"/>
    <w:rsid w:val="00CB663B"/>
    <w:rsid w:val="00CB6A30"/>
    <w:rsid w:val="00CB6B57"/>
    <w:rsid w:val="00CB6FB9"/>
    <w:rsid w:val="00CB74B3"/>
    <w:rsid w:val="00CB7534"/>
    <w:rsid w:val="00CC0108"/>
    <w:rsid w:val="00CC09BF"/>
    <w:rsid w:val="00CC11F5"/>
    <w:rsid w:val="00CC1CD3"/>
    <w:rsid w:val="00CC2945"/>
    <w:rsid w:val="00CC3527"/>
    <w:rsid w:val="00CC3674"/>
    <w:rsid w:val="00CC3D52"/>
    <w:rsid w:val="00CC44F5"/>
    <w:rsid w:val="00CC46BD"/>
    <w:rsid w:val="00CC489B"/>
    <w:rsid w:val="00CC54C1"/>
    <w:rsid w:val="00CC6499"/>
    <w:rsid w:val="00CC71E2"/>
    <w:rsid w:val="00CC727C"/>
    <w:rsid w:val="00CC75ED"/>
    <w:rsid w:val="00CC7F4E"/>
    <w:rsid w:val="00CD00F6"/>
    <w:rsid w:val="00CD07B4"/>
    <w:rsid w:val="00CD0E8F"/>
    <w:rsid w:val="00CD0FC0"/>
    <w:rsid w:val="00CD127B"/>
    <w:rsid w:val="00CD127E"/>
    <w:rsid w:val="00CD143F"/>
    <w:rsid w:val="00CD1E3E"/>
    <w:rsid w:val="00CD248C"/>
    <w:rsid w:val="00CD2BCD"/>
    <w:rsid w:val="00CD2D82"/>
    <w:rsid w:val="00CD31D9"/>
    <w:rsid w:val="00CD3462"/>
    <w:rsid w:val="00CD367E"/>
    <w:rsid w:val="00CD3A4C"/>
    <w:rsid w:val="00CD3BC8"/>
    <w:rsid w:val="00CD4ACE"/>
    <w:rsid w:val="00CD57BF"/>
    <w:rsid w:val="00CD6355"/>
    <w:rsid w:val="00CD6940"/>
    <w:rsid w:val="00CD6A89"/>
    <w:rsid w:val="00CE068B"/>
    <w:rsid w:val="00CE10E9"/>
    <w:rsid w:val="00CE15CF"/>
    <w:rsid w:val="00CE2037"/>
    <w:rsid w:val="00CE2135"/>
    <w:rsid w:val="00CE2910"/>
    <w:rsid w:val="00CE2CDD"/>
    <w:rsid w:val="00CE3828"/>
    <w:rsid w:val="00CE40B5"/>
    <w:rsid w:val="00CE442A"/>
    <w:rsid w:val="00CE5393"/>
    <w:rsid w:val="00CE63B6"/>
    <w:rsid w:val="00CE6DA3"/>
    <w:rsid w:val="00CE6FDC"/>
    <w:rsid w:val="00CE75FE"/>
    <w:rsid w:val="00CF13C6"/>
    <w:rsid w:val="00CF15E4"/>
    <w:rsid w:val="00CF1A33"/>
    <w:rsid w:val="00CF22CC"/>
    <w:rsid w:val="00CF271D"/>
    <w:rsid w:val="00CF276E"/>
    <w:rsid w:val="00CF27BF"/>
    <w:rsid w:val="00CF2D5A"/>
    <w:rsid w:val="00CF36BE"/>
    <w:rsid w:val="00CF375E"/>
    <w:rsid w:val="00CF3C3B"/>
    <w:rsid w:val="00CF45EB"/>
    <w:rsid w:val="00CF48AD"/>
    <w:rsid w:val="00CF48DF"/>
    <w:rsid w:val="00CF4D68"/>
    <w:rsid w:val="00CF50D8"/>
    <w:rsid w:val="00CF5638"/>
    <w:rsid w:val="00CF6000"/>
    <w:rsid w:val="00CF62D1"/>
    <w:rsid w:val="00CF658B"/>
    <w:rsid w:val="00CF6B51"/>
    <w:rsid w:val="00CF72E3"/>
    <w:rsid w:val="00CF760D"/>
    <w:rsid w:val="00CF76FB"/>
    <w:rsid w:val="00CF771F"/>
    <w:rsid w:val="00CF7987"/>
    <w:rsid w:val="00CF7D4A"/>
    <w:rsid w:val="00D003F3"/>
    <w:rsid w:val="00D01366"/>
    <w:rsid w:val="00D01807"/>
    <w:rsid w:val="00D018A8"/>
    <w:rsid w:val="00D01D47"/>
    <w:rsid w:val="00D01F43"/>
    <w:rsid w:val="00D02066"/>
    <w:rsid w:val="00D02171"/>
    <w:rsid w:val="00D022DF"/>
    <w:rsid w:val="00D02B35"/>
    <w:rsid w:val="00D02C48"/>
    <w:rsid w:val="00D03005"/>
    <w:rsid w:val="00D0364F"/>
    <w:rsid w:val="00D039E6"/>
    <w:rsid w:val="00D03C9D"/>
    <w:rsid w:val="00D04449"/>
    <w:rsid w:val="00D04E91"/>
    <w:rsid w:val="00D051D3"/>
    <w:rsid w:val="00D06834"/>
    <w:rsid w:val="00D069F0"/>
    <w:rsid w:val="00D06B7B"/>
    <w:rsid w:val="00D071CF"/>
    <w:rsid w:val="00D0760A"/>
    <w:rsid w:val="00D100F7"/>
    <w:rsid w:val="00D1017D"/>
    <w:rsid w:val="00D102AB"/>
    <w:rsid w:val="00D11F02"/>
    <w:rsid w:val="00D14562"/>
    <w:rsid w:val="00D15D85"/>
    <w:rsid w:val="00D17034"/>
    <w:rsid w:val="00D17B08"/>
    <w:rsid w:val="00D17D50"/>
    <w:rsid w:val="00D20787"/>
    <w:rsid w:val="00D20C2A"/>
    <w:rsid w:val="00D21D99"/>
    <w:rsid w:val="00D21E56"/>
    <w:rsid w:val="00D21F5F"/>
    <w:rsid w:val="00D222ED"/>
    <w:rsid w:val="00D2257D"/>
    <w:rsid w:val="00D22B04"/>
    <w:rsid w:val="00D22B61"/>
    <w:rsid w:val="00D25270"/>
    <w:rsid w:val="00D2564C"/>
    <w:rsid w:val="00D2582B"/>
    <w:rsid w:val="00D26904"/>
    <w:rsid w:val="00D271B6"/>
    <w:rsid w:val="00D308ED"/>
    <w:rsid w:val="00D30A22"/>
    <w:rsid w:val="00D30F94"/>
    <w:rsid w:val="00D31160"/>
    <w:rsid w:val="00D32252"/>
    <w:rsid w:val="00D341BF"/>
    <w:rsid w:val="00D34822"/>
    <w:rsid w:val="00D350F9"/>
    <w:rsid w:val="00D36086"/>
    <w:rsid w:val="00D360AE"/>
    <w:rsid w:val="00D36D86"/>
    <w:rsid w:val="00D373F6"/>
    <w:rsid w:val="00D4062C"/>
    <w:rsid w:val="00D40C9A"/>
    <w:rsid w:val="00D417A8"/>
    <w:rsid w:val="00D428AA"/>
    <w:rsid w:val="00D4290C"/>
    <w:rsid w:val="00D42ED8"/>
    <w:rsid w:val="00D43CBA"/>
    <w:rsid w:val="00D43D27"/>
    <w:rsid w:val="00D4403C"/>
    <w:rsid w:val="00D4476A"/>
    <w:rsid w:val="00D451A9"/>
    <w:rsid w:val="00D45C32"/>
    <w:rsid w:val="00D4709A"/>
    <w:rsid w:val="00D50A34"/>
    <w:rsid w:val="00D50B95"/>
    <w:rsid w:val="00D50F37"/>
    <w:rsid w:val="00D5225B"/>
    <w:rsid w:val="00D52478"/>
    <w:rsid w:val="00D52F8C"/>
    <w:rsid w:val="00D5330D"/>
    <w:rsid w:val="00D53570"/>
    <w:rsid w:val="00D53EFA"/>
    <w:rsid w:val="00D54085"/>
    <w:rsid w:val="00D55501"/>
    <w:rsid w:val="00D55A51"/>
    <w:rsid w:val="00D55E73"/>
    <w:rsid w:val="00D560FF"/>
    <w:rsid w:val="00D56405"/>
    <w:rsid w:val="00D613F5"/>
    <w:rsid w:val="00D6169D"/>
    <w:rsid w:val="00D62BE6"/>
    <w:rsid w:val="00D62D07"/>
    <w:rsid w:val="00D6356E"/>
    <w:rsid w:val="00D63CB4"/>
    <w:rsid w:val="00D6471A"/>
    <w:rsid w:val="00D64AD5"/>
    <w:rsid w:val="00D65A80"/>
    <w:rsid w:val="00D663DD"/>
    <w:rsid w:val="00D669CB"/>
    <w:rsid w:val="00D66BA0"/>
    <w:rsid w:val="00D66DCC"/>
    <w:rsid w:val="00D70270"/>
    <w:rsid w:val="00D70668"/>
    <w:rsid w:val="00D7114D"/>
    <w:rsid w:val="00D71372"/>
    <w:rsid w:val="00D71EE4"/>
    <w:rsid w:val="00D71FDA"/>
    <w:rsid w:val="00D725B8"/>
    <w:rsid w:val="00D72E8D"/>
    <w:rsid w:val="00D7316B"/>
    <w:rsid w:val="00D739F4"/>
    <w:rsid w:val="00D7435B"/>
    <w:rsid w:val="00D7449D"/>
    <w:rsid w:val="00D756BD"/>
    <w:rsid w:val="00D764CB"/>
    <w:rsid w:val="00D779E8"/>
    <w:rsid w:val="00D77BB3"/>
    <w:rsid w:val="00D77DE6"/>
    <w:rsid w:val="00D8055C"/>
    <w:rsid w:val="00D80966"/>
    <w:rsid w:val="00D80D22"/>
    <w:rsid w:val="00D8168E"/>
    <w:rsid w:val="00D820C6"/>
    <w:rsid w:val="00D82535"/>
    <w:rsid w:val="00D82921"/>
    <w:rsid w:val="00D8390B"/>
    <w:rsid w:val="00D84881"/>
    <w:rsid w:val="00D8496F"/>
    <w:rsid w:val="00D86052"/>
    <w:rsid w:val="00D86CC0"/>
    <w:rsid w:val="00D86DBD"/>
    <w:rsid w:val="00D8791B"/>
    <w:rsid w:val="00D9096C"/>
    <w:rsid w:val="00D90E3C"/>
    <w:rsid w:val="00D91D66"/>
    <w:rsid w:val="00D929EA"/>
    <w:rsid w:val="00D93422"/>
    <w:rsid w:val="00D93DEB"/>
    <w:rsid w:val="00D93ED9"/>
    <w:rsid w:val="00D944F9"/>
    <w:rsid w:val="00D94A7C"/>
    <w:rsid w:val="00D95896"/>
    <w:rsid w:val="00D964D6"/>
    <w:rsid w:val="00D974BD"/>
    <w:rsid w:val="00D9762C"/>
    <w:rsid w:val="00D97BB8"/>
    <w:rsid w:val="00DA0F44"/>
    <w:rsid w:val="00DA11A4"/>
    <w:rsid w:val="00DA163C"/>
    <w:rsid w:val="00DA1F39"/>
    <w:rsid w:val="00DA2323"/>
    <w:rsid w:val="00DA248B"/>
    <w:rsid w:val="00DA3EBD"/>
    <w:rsid w:val="00DA48BD"/>
    <w:rsid w:val="00DA4E4A"/>
    <w:rsid w:val="00DA51A4"/>
    <w:rsid w:val="00DA572E"/>
    <w:rsid w:val="00DA5745"/>
    <w:rsid w:val="00DA5A88"/>
    <w:rsid w:val="00DA6763"/>
    <w:rsid w:val="00DA6ED0"/>
    <w:rsid w:val="00DA6FAB"/>
    <w:rsid w:val="00DB0396"/>
    <w:rsid w:val="00DB0779"/>
    <w:rsid w:val="00DB08A6"/>
    <w:rsid w:val="00DB1F22"/>
    <w:rsid w:val="00DB216D"/>
    <w:rsid w:val="00DB2427"/>
    <w:rsid w:val="00DB2983"/>
    <w:rsid w:val="00DB3BFA"/>
    <w:rsid w:val="00DB477A"/>
    <w:rsid w:val="00DB6256"/>
    <w:rsid w:val="00DB632C"/>
    <w:rsid w:val="00DB6369"/>
    <w:rsid w:val="00DB6CF9"/>
    <w:rsid w:val="00DC09D1"/>
    <w:rsid w:val="00DC0C20"/>
    <w:rsid w:val="00DC1257"/>
    <w:rsid w:val="00DC2799"/>
    <w:rsid w:val="00DC281C"/>
    <w:rsid w:val="00DC2B8E"/>
    <w:rsid w:val="00DC2D51"/>
    <w:rsid w:val="00DC2EFC"/>
    <w:rsid w:val="00DC3018"/>
    <w:rsid w:val="00DC32A2"/>
    <w:rsid w:val="00DC3A7A"/>
    <w:rsid w:val="00DC3DC0"/>
    <w:rsid w:val="00DC45B4"/>
    <w:rsid w:val="00DC4DBA"/>
    <w:rsid w:val="00DC5B2B"/>
    <w:rsid w:val="00DC60A3"/>
    <w:rsid w:val="00DC62A6"/>
    <w:rsid w:val="00DC6AA9"/>
    <w:rsid w:val="00DC7AA9"/>
    <w:rsid w:val="00DD001A"/>
    <w:rsid w:val="00DD1E72"/>
    <w:rsid w:val="00DD21BC"/>
    <w:rsid w:val="00DD2475"/>
    <w:rsid w:val="00DD318D"/>
    <w:rsid w:val="00DD33C4"/>
    <w:rsid w:val="00DD4335"/>
    <w:rsid w:val="00DD46B5"/>
    <w:rsid w:val="00DD4F42"/>
    <w:rsid w:val="00DD532F"/>
    <w:rsid w:val="00DD603C"/>
    <w:rsid w:val="00DD6323"/>
    <w:rsid w:val="00DE0C8C"/>
    <w:rsid w:val="00DE0E39"/>
    <w:rsid w:val="00DE14F8"/>
    <w:rsid w:val="00DE1D91"/>
    <w:rsid w:val="00DE31FD"/>
    <w:rsid w:val="00DE4397"/>
    <w:rsid w:val="00DE489D"/>
    <w:rsid w:val="00DE4A76"/>
    <w:rsid w:val="00DE4C32"/>
    <w:rsid w:val="00DE4D1E"/>
    <w:rsid w:val="00DE664D"/>
    <w:rsid w:val="00DE70CA"/>
    <w:rsid w:val="00DE722E"/>
    <w:rsid w:val="00DF01D2"/>
    <w:rsid w:val="00DF0CCC"/>
    <w:rsid w:val="00DF1110"/>
    <w:rsid w:val="00DF18D5"/>
    <w:rsid w:val="00DF1DAD"/>
    <w:rsid w:val="00DF1F3F"/>
    <w:rsid w:val="00DF2B6A"/>
    <w:rsid w:val="00DF2E12"/>
    <w:rsid w:val="00DF34D8"/>
    <w:rsid w:val="00DF3F85"/>
    <w:rsid w:val="00DF4BD9"/>
    <w:rsid w:val="00DF514A"/>
    <w:rsid w:val="00DF5823"/>
    <w:rsid w:val="00DF5D6B"/>
    <w:rsid w:val="00DF61AF"/>
    <w:rsid w:val="00DF63EC"/>
    <w:rsid w:val="00DF6540"/>
    <w:rsid w:val="00DF6563"/>
    <w:rsid w:val="00DF6690"/>
    <w:rsid w:val="00DF66E0"/>
    <w:rsid w:val="00DF6804"/>
    <w:rsid w:val="00DF6B37"/>
    <w:rsid w:val="00DF6F5E"/>
    <w:rsid w:val="00DF75A4"/>
    <w:rsid w:val="00DF7B34"/>
    <w:rsid w:val="00DF7B46"/>
    <w:rsid w:val="00DF7C3B"/>
    <w:rsid w:val="00E002B5"/>
    <w:rsid w:val="00E009D1"/>
    <w:rsid w:val="00E010F4"/>
    <w:rsid w:val="00E012D8"/>
    <w:rsid w:val="00E016D4"/>
    <w:rsid w:val="00E01D2A"/>
    <w:rsid w:val="00E027AE"/>
    <w:rsid w:val="00E029B8"/>
    <w:rsid w:val="00E02C37"/>
    <w:rsid w:val="00E02F04"/>
    <w:rsid w:val="00E0315F"/>
    <w:rsid w:val="00E0358D"/>
    <w:rsid w:val="00E03A96"/>
    <w:rsid w:val="00E04323"/>
    <w:rsid w:val="00E04A29"/>
    <w:rsid w:val="00E04CAF"/>
    <w:rsid w:val="00E052B2"/>
    <w:rsid w:val="00E05A01"/>
    <w:rsid w:val="00E06225"/>
    <w:rsid w:val="00E064AF"/>
    <w:rsid w:val="00E064B8"/>
    <w:rsid w:val="00E06616"/>
    <w:rsid w:val="00E06946"/>
    <w:rsid w:val="00E06BF5"/>
    <w:rsid w:val="00E06C48"/>
    <w:rsid w:val="00E06DEB"/>
    <w:rsid w:val="00E070A2"/>
    <w:rsid w:val="00E07CA3"/>
    <w:rsid w:val="00E103F9"/>
    <w:rsid w:val="00E117D6"/>
    <w:rsid w:val="00E1187F"/>
    <w:rsid w:val="00E11B14"/>
    <w:rsid w:val="00E13131"/>
    <w:rsid w:val="00E131C6"/>
    <w:rsid w:val="00E13ADF"/>
    <w:rsid w:val="00E13C02"/>
    <w:rsid w:val="00E14752"/>
    <w:rsid w:val="00E155F7"/>
    <w:rsid w:val="00E1560F"/>
    <w:rsid w:val="00E15752"/>
    <w:rsid w:val="00E16601"/>
    <w:rsid w:val="00E16B76"/>
    <w:rsid w:val="00E16C51"/>
    <w:rsid w:val="00E17984"/>
    <w:rsid w:val="00E203A1"/>
    <w:rsid w:val="00E20E85"/>
    <w:rsid w:val="00E216CB"/>
    <w:rsid w:val="00E2274B"/>
    <w:rsid w:val="00E22E93"/>
    <w:rsid w:val="00E23433"/>
    <w:rsid w:val="00E23926"/>
    <w:rsid w:val="00E24F63"/>
    <w:rsid w:val="00E260FC"/>
    <w:rsid w:val="00E2656A"/>
    <w:rsid w:val="00E26810"/>
    <w:rsid w:val="00E26EAB"/>
    <w:rsid w:val="00E27118"/>
    <w:rsid w:val="00E27521"/>
    <w:rsid w:val="00E2784C"/>
    <w:rsid w:val="00E27B8C"/>
    <w:rsid w:val="00E27F68"/>
    <w:rsid w:val="00E3003D"/>
    <w:rsid w:val="00E30612"/>
    <w:rsid w:val="00E306D2"/>
    <w:rsid w:val="00E31089"/>
    <w:rsid w:val="00E31515"/>
    <w:rsid w:val="00E31617"/>
    <w:rsid w:val="00E325B0"/>
    <w:rsid w:val="00E32882"/>
    <w:rsid w:val="00E330B8"/>
    <w:rsid w:val="00E33DC8"/>
    <w:rsid w:val="00E343B1"/>
    <w:rsid w:val="00E34788"/>
    <w:rsid w:val="00E34AE9"/>
    <w:rsid w:val="00E35B73"/>
    <w:rsid w:val="00E35BD4"/>
    <w:rsid w:val="00E37FA5"/>
    <w:rsid w:val="00E40EA9"/>
    <w:rsid w:val="00E412D0"/>
    <w:rsid w:val="00E417C4"/>
    <w:rsid w:val="00E4400E"/>
    <w:rsid w:val="00E44088"/>
    <w:rsid w:val="00E444CC"/>
    <w:rsid w:val="00E45031"/>
    <w:rsid w:val="00E4505A"/>
    <w:rsid w:val="00E4750C"/>
    <w:rsid w:val="00E479E2"/>
    <w:rsid w:val="00E47EB9"/>
    <w:rsid w:val="00E500A2"/>
    <w:rsid w:val="00E507C3"/>
    <w:rsid w:val="00E514B9"/>
    <w:rsid w:val="00E51926"/>
    <w:rsid w:val="00E520E6"/>
    <w:rsid w:val="00E5214C"/>
    <w:rsid w:val="00E52412"/>
    <w:rsid w:val="00E529EF"/>
    <w:rsid w:val="00E52E25"/>
    <w:rsid w:val="00E5336C"/>
    <w:rsid w:val="00E53515"/>
    <w:rsid w:val="00E54FA7"/>
    <w:rsid w:val="00E55576"/>
    <w:rsid w:val="00E55C49"/>
    <w:rsid w:val="00E56322"/>
    <w:rsid w:val="00E5647B"/>
    <w:rsid w:val="00E5684F"/>
    <w:rsid w:val="00E5691F"/>
    <w:rsid w:val="00E56E1E"/>
    <w:rsid w:val="00E5775D"/>
    <w:rsid w:val="00E602D2"/>
    <w:rsid w:val="00E6049D"/>
    <w:rsid w:val="00E608DD"/>
    <w:rsid w:val="00E60982"/>
    <w:rsid w:val="00E6122C"/>
    <w:rsid w:val="00E6246D"/>
    <w:rsid w:val="00E62C62"/>
    <w:rsid w:val="00E62EBE"/>
    <w:rsid w:val="00E63949"/>
    <w:rsid w:val="00E64DAB"/>
    <w:rsid w:val="00E64F6F"/>
    <w:rsid w:val="00E651C0"/>
    <w:rsid w:val="00E654C1"/>
    <w:rsid w:val="00E6561B"/>
    <w:rsid w:val="00E659F6"/>
    <w:rsid w:val="00E65B56"/>
    <w:rsid w:val="00E65D97"/>
    <w:rsid w:val="00E667DF"/>
    <w:rsid w:val="00E66B3C"/>
    <w:rsid w:val="00E67E24"/>
    <w:rsid w:val="00E70CA6"/>
    <w:rsid w:val="00E70F4D"/>
    <w:rsid w:val="00E70F9F"/>
    <w:rsid w:val="00E72A5A"/>
    <w:rsid w:val="00E73354"/>
    <w:rsid w:val="00E73D24"/>
    <w:rsid w:val="00E747C1"/>
    <w:rsid w:val="00E748C1"/>
    <w:rsid w:val="00E76A68"/>
    <w:rsid w:val="00E76A95"/>
    <w:rsid w:val="00E77749"/>
    <w:rsid w:val="00E80204"/>
    <w:rsid w:val="00E80C3A"/>
    <w:rsid w:val="00E80E46"/>
    <w:rsid w:val="00E82AF6"/>
    <w:rsid w:val="00E8337B"/>
    <w:rsid w:val="00E84B93"/>
    <w:rsid w:val="00E84EFB"/>
    <w:rsid w:val="00E85B35"/>
    <w:rsid w:val="00E87FFB"/>
    <w:rsid w:val="00E901E0"/>
    <w:rsid w:val="00E9040E"/>
    <w:rsid w:val="00E916DD"/>
    <w:rsid w:val="00E9242D"/>
    <w:rsid w:val="00E92877"/>
    <w:rsid w:val="00E92957"/>
    <w:rsid w:val="00E929E6"/>
    <w:rsid w:val="00E92AEB"/>
    <w:rsid w:val="00E932B2"/>
    <w:rsid w:val="00E9364A"/>
    <w:rsid w:val="00E93FBF"/>
    <w:rsid w:val="00E9474D"/>
    <w:rsid w:val="00E94C9E"/>
    <w:rsid w:val="00E9510B"/>
    <w:rsid w:val="00E953AF"/>
    <w:rsid w:val="00E9694F"/>
    <w:rsid w:val="00E96A00"/>
    <w:rsid w:val="00E96E2A"/>
    <w:rsid w:val="00EA0C42"/>
    <w:rsid w:val="00EA0EBE"/>
    <w:rsid w:val="00EA18AE"/>
    <w:rsid w:val="00EA1D32"/>
    <w:rsid w:val="00EA2168"/>
    <w:rsid w:val="00EA2F6B"/>
    <w:rsid w:val="00EA3105"/>
    <w:rsid w:val="00EA3F65"/>
    <w:rsid w:val="00EA4475"/>
    <w:rsid w:val="00EA612B"/>
    <w:rsid w:val="00EA63B6"/>
    <w:rsid w:val="00EA672F"/>
    <w:rsid w:val="00EA6CE2"/>
    <w:rsid w:val="00EA7E15"/>
    <w:rsid w:val="00EB041F"/>
    <w:rsid w:val="00EB0F98"/>
    <w:rsid w:val="00EB2690"/>
    <w:rsid w:val="00EB290C"/>
    <w:rsid w:val="00EB38C9"/>
    <w:rsid w:val="00EB40BB"/>
    <w:rsid w:val="00EB4F44"/>
    <w:rsid w:val="00EB5255"/>
    <w:rsid w:val="00EB52DD"/>
    <w:rsid w:val="00EB5C47"/>
    <w:rsid w:val="00EB693E"/>
    <w:rsid w:val="00EB7297"/>
    <w:rsid w:val="00EB7B4D"/>
    <w:rsid w:val="00EB7C73"/>
    <w:rsid w:val="00EC0E7E"/>
    <w:rsid w:val="00EC2376"/>
    <w:rsid w:val="00EC2BE9"/>
    <w:rsid w:val="00EC2EFA"/>
    <w:rsid w:val="00EC3282"/>
    <w:rsid w:val="00EC3424"/>
    <w:rsid w:val="00EC3D3B"/>
    <w:rsid w:val="00EC4396"/>
    <w:rsid w:val="00EC5504"/>
    <w:rsid w:val="00EC5B89"/>
    <w:rsid w:val="00EC5E99"/>
    <w:rsid w:val="00EC673A"/>
    <w:rsid w:val="00EC684E"/>
    <w:rsid w:val="00EC68C0"/>
    <w:rsid w:val="00EC7547"/>
    <w:rsid w:val="00ED0555"/>
    <w:rsid w:val="00ED0639"/>
    <w:rsid w:val="00ED12BD"/>
    <w:rsid w:val="00ED1B4C"/>
    <w:rsid w:val="00ED1F84"/>
    <w:rsid w:val="00ED215C"/>
    <w:rsid w:val="00ED2984"/>
    <w:rsid w:val="00ED36B4"/>
    <w:rsid w:val="00ED3D38"/>
    <w:rsid w:val="00ED4A15"/>
    <w:rsid w:val="00ED624B"/>
    <w:rsid w:val="00ED670F"/>
    <w:rsid w:val="00ED683B"/>
    <w:rsid w:val="00ED799F"/>
    <w:rsid w:val="00ED7C94"/>
    <w:rsid w:val="00EE0FFB"/>
    <w:rsid w:val="00EE10BF"/>
    <w:rsid w:val="00EE1E29"/>
    <w:rsid w:val="00EE1E7F"/>
    <w:rsid w:val="00EE2125"/>
    <w:rsid w:val="00EE254E"/>
    <w:rsid w:val="00EE3574"/>
    <w:rsid w:val="00EE3937"/>
    <w:rsid w:val="00EE4266"/>
    <w:rsid w:val="00EE508C"/>
    <w:rsid w:val="00EE51E1"/>
    <w:rsid w:val="00EE6233"/>
    <w:rsid w:val="00EE6721"/>
    <w:rsid w:val="00EE6F02"/>
    <w:rsid w:val="00EE7896"/>
    <w:rsid w:val="00EF1E7A"/>
    <w:rsid w:val="00EF1FD1"/>
    <w:rsid w:val="00EF21D2"/>
    <w:rsid w:val="00EF24C1"/>
    <w:rsid w:val="00EF29EC"/>
    <w:rsid w:val="00EF3668"/>
    <w:rsid w:val="00EF4755"/>
    <w:rsid w:val="00EF516C"/>
    <w:rsid w:val="00EF57CC"/>
    <w:rsid w:val="00EF5CE6"/>
    <w:rsid w:val="00EF7135"/>
    <w:rsid w:val="00F00201"/>
    <w:rsid w:val="00F008BB"/>
    <w:rsid w:val="00F01A4E"/>
    <w:rsid w:val="00F027DB"/>
    <w:rsid w:val="00F03611"/>
    <w:rsid w:val="00F03847"/>
    <w:rsid w:val="00F0578D"/>
    <w:rsid w:val="00F05EA1"/>
    <w:rsid w:val="00F06201"/>
    <w:rsid w:val="00F06727"/>
    <w:rsid w:val="00F0767C"/>
    <w:rsid w:val="00F07B2E"/>
    <w:rsid w:val="00F10246"/>
    <w:rsid w:val="00F1066B"/>
    <w:rsid w:val="00F110BC"/>
    <w:rsid w:val="00F11EA3"/>
    <w:rsid w:val="00F11EBF"/>
    <w:rsid w:val="00F127A1"/>
    <w:rsid w:val="00F12B7B"/>
    <w:rsid w:val="00F13754"/>
    <w:rsid w:val="00F13FC0"/>
    <w:rsid w:val="00F14043"/>
    <w:rsid w:val="00F14A7A"/>
    <w:rsid w:val="00F15640"/>
    <w:rsid w:val="00F15B2E"/>
    <w:rsid w:val="00F1635B"/>
    <w:rsid w:val="00F169A0"/>
    <w:rsid w:val="00F16D11"/>
    <w:rsid w:val="00F17075"/>
    <w:rsid w:val="00F20D3C"/>
    <w:rsid w:val="00F21363"/>
    <w:rsid w:val="00F21B45"/>
    <w:rsid w:val="00F21DAE"/>
    <w:rsid w:val="00F22071"/>
    <w:rsid w:val="00F22985"/>
    <w:rsid w:val="00F231DE"/>
    <w:rsid w:val="00F23E0D"/>
    <w:rsid w:val="00F25C2D"/>
    <w:rsid w:val="00F268F3"/>
    <w:rsid w:val="00F26CBA"/>
    <w:rsid w:val="00F27A10"/>
    <w:rsid w:val="00F30329"/>
    <w:rsid w:val="00F30EF4"/>
    <w:rsid w:val="00F31D88"/>
    <w:rsid w:val="00F31F24"/>
    <w:rsid w:val="00F32325"/>
    <w:rsid w:val="00F32A4B"/>
    <w:rsid w:val="00F3383E"/>
    <w:rsid w:val="00F343C0"/>
    <w:rsid w:val="00F35146"/>
    <w:rsid w:val="00F367D1"/>
    <w:rsid w:val="00F370F0"/>
    <w:rsid w:val="00F374C9"/>
    <w:rsid w:val="00F41006"/>
    <w:rsid w:val="00F412D5"/>
    <w:rsid w:val="00F41579"/>
    <w:rsid w:val="00F4198F"/>
    <w:rsid w:val="00F41A26"/>
    <w:rsid w:val="00F41B2A"/>
    <w:rsid w:val="00F4269A"/>
    <w:rsid w:val="00F42B91"/>
    <w:rsid w:val="00F44A68"/>
    <w:rsid w:val="00F44B7F"/>
    <w:rsid w:val="00F452AF"/>
    <w:rsid w:val="00F45E5B"/>
    <w:rsid w:val="00F4621C"/>
    <w:rsid w:val="00F465A7"/>
    <w:rsid w:val="00F46C14"/>
    <w:rsid w:val="00F46F31"/>
    <w:rsid w:val="00F47921"/>
    <w:rsid w:val="00F50034"/>
    <w:rsid w:val="00F500ED"/>
    <w:rsid w:val="00F50213"/>
    <w:rsid w:val="00F50B7C"/>
    <w:rsid w:val="00F52523"/>
    <w:rsid w:val="00F53C42"/>
    <w:rsid w:val="00F53D5C"/>
    <w:rsid w:val="00F54551"/>
    <w:rsid w:val="00F550E6"/>
    <w:rsid w:val="00F5563F"/>
    <w:rsid w:val="00F5585C"/>
    <w:rsid w:val="00F558D9"/>
    <w:rsid w:val="00F568EA"/>
    <w:rsid w:val="00F5698E"/>
    <w:rsid w:val="00F56FEB"/>
    <w:rsid w:val="00F57CA1"/>
    <w:rsid w:val="00F603C1"/>
    <w:rsid w:val="00F60E45"/>
    <w:rsid w:val="00F61181"/>
    <w:rsid w:val="00F614A2"/>
    <w:rsid w:val="00F617F0"/>
    <w:rsid w:val="00F624F6"/>
    <w:rsid w:val="00F62600"/>
    <w:rsid w:val="00F63102"/>
    <w:rsid w:val="00F63681"/>
    <w:rsid w:val="00F64B08"/>
    <w:rsid w:val="00F66487"/>
    <w:rsid w:val="00F70278"/>
    <w:rsid w:val="00F70510"/>
    <w:rsid w:val="00F707FF"/>
    <w:rsid w:val="00F7087F"/>
    <w:rsid w:val="00F70FDA"/>
    <w:rsid w:val="00F71E14"/>
    <w:rsid w:val="00F721E6"/>
    <w:rsid w:val="00F73524"/>
    <w:rsid w:val="00F73E08"/>
    <w:rsid w:val="00F74345"/>
    <w:rsid w:val="00F749E2"/>
    <w:rsid w:val="00F7540C"/>
    <w:rsid w:val="00F75644"/>
    <w:rsid w:val="00F757F2"/>
    <w:rsid w:val="00F75B15"/>
    <w:rsid w:val="00F75F7C"/>
    <w:rsid w:val="00F7638C"/>
    <w:rsid w:val="00F76FB4"/>
    <w:rsid w:val="00F7734F"/>
    <w:rsid w:val="00F80588"/>
    <w:rsid w:val="00F8090E"/>
    <w:rsid w:val="00F80A0A"/>
    <w:rsid w:val="00F81207"/>
    <w:rsid w:val="00F8148D"/>
    <w:rsid w:val="00F8159D"/>
    <w:rsid w:val="00F8237C"/>
    <w:rsid w:val="00F82A61"/>
    <w:rsid w:val="00F82B19"/>
    <w:rsid w:val="00F83098"/>
    <w:rsid w:val="00F8405F"/>
    <w:rsid w:val="00F84AD2"/>
    <w:rsid w:val="00F8543D"/>
    <w:rsid w:val="00F8544B"/>
    <w:rsid w:val="00F867EA"/>
    <w:rsid w:val="00F86C9C"/>
    <w:rsid w:val="00F86F84"/>
    <w:rsid w:val="00F87A77"/>
    <w:rsid w:val="00F87E2C"/>
    <w:rsid w:val="00F913E9"/>
    <w:rsid w:val="00F91442"/>
    <w:rsid w:val="00F91D7F"/>
    <w:rsid w:val="00F91EB4"/>
    <w:rsid w:val="00F9212D"/>
    <w:rsid w:val="00F92572"/>
    <w:rsid w:val="00F92595"/>
    <w:rsid w:val="00F92A86"/>
    <w:rsid w:val="00F93BCC"/>
    <w:rsid w:val="00F93EB3"/>
    <w:rsid w:val="00F94130"/>
    <w:rsid w:val="00F95582"/>
    <w:rsid w:val="00F9574A"/>
    <w:rsid w:val="00F965DA"/>
    <w:rsid w:val="00F968F9"/>
    <w:rsid w:val="00F970E7"/>
    <w:rsid w:val="00F974DA"/>
    <w:rsid w:val="00FA01DB"/>
    <w:rsid w:val="00FA12F7"/>
    <w:rsid w:val="00FA2934"/>
    <w:rsid w:val="00FA30BC"/>
    <w:rsid w:val="00FA38E4"/>
    <w:rsid w:val="00FA406A"/>
    <w:rsid w:val="00FA444E"/>
    <w:rsid w:val="00FA451E"/>
    <w:rsid w:val="00FA4A31"/>
    <w:rsid w:val="00FA54EF"/>
    <w:rsid w:val="00FA59C5"/>
    <w:rsid w:val="00FB036E"/>
    <w:rsid w:val="00FB0E32"/>
    <w:rsid w:val="00FB17D1"/>
    <w:rsid w:val="00FB25E1"/>
    <w:rsid w:val="00FB3450"/>
    <w:rsid w:val="00FB3563"/>
    <w:rsid w:val="00FB503A"/>
    <w:rsid w:val="00FB516C"/>
    <w:rsid w:val="00FB51F4"/>
    <w:rsid w:val="00FB6202"/>
    <w:rsid w:val="00FB6E1B"/>
    <w:rsid w:val="00FB70FE"/>
    <w:rsid w:val="00FB77E9"/>
    <w:rsid w:val="00FB7FD8"/>
    <w:rsid w:val="00FC0295"/>
    <w:rsid w:val="00FC02D8"/>
    <w:rsid w:val="00FC0455"/>
    <w:rsid w:val="00FC06B9"/>
    <w:rsid w:val="00FC096C"/>
    <w:rsid w:val="00FC2438"/>
    <w:rsid w:val="00FC273B"/>
    <w:rsid w:val="00FC2956"/>
    <w:rsid w:val="00FC2BE1"/>
    <w:rsid w:val="00FC332C"/>
    <w:rsid w:val="00FC34AD"/>
    <w:rsid w:val="00FC369E"/>
    <w:rsid w:val="00FC3A41"/>
    <w:rsid w:val="00FC3EC1"/>
    <w:rsid w:val="00FC4AAE"/>
    <w:rsid w:val="00FC4E13"/>
    <w:rsid w:val="00FC66E7"/>
    <w:rsid w:val="00FC671F"/>
    <w:rsid w:val="00FC691E"/>
    <w:rsid w:val="00FC697D"/>
    <w:rsid w:val="00FC7206"/>
    <w:rsid w:val="00FD0236"/>
    <w:rsid w:val="00FD07BE"/>
    <w:rsid w:val="00FD0AC5"/>
    <w:rsid w:val="00FD0CA1"/>
    <w:rsid w:val="00FD0FCB"/>
    <w:rsid w:val="00FD18F4"/>
    <w:rsid w:val="00FD1EFA"/>
    <w:rsid w:val="00FD2DC8"/>
    <w:rsid w:val="00FD3CD4"/>
    <w:rsid w:val="00FD4410"/>
    <w:rsid w:val="00FD4DFD"/>
    <w:rsid w:val="00FD5332"/>
    <w:rsid w:val="00FD5442"/>
    <w:rsid w:val="00FD54DB"/>
    <w:rsid w:val="00FD619F"/>
    <w:rsid w:val="00FD627F"/>
    <w:rsid w:val="00FD7386"/>
    <w:rsid w:val="00FD7719"/>
    <w:rsid w:val="00FD7844"/>
    <w:rsid w:val="00FD7C80"/>
    <w:rsid w:val="00FE027D"/>
    <w:rsid w:val="00FE046F"/>
    <w:rsid w:val="00FE0847"/>
    <w:rsid w:val="00FE1762"/>
    <w:rsid w:val="00FE19E1"/>
    <w:rsid w:val="00FE20EE"/>
    <w:rsid w:val="00FE29D2"/>
    <w:rsid w:val="00FE338C"/>
    <w:rsid w:val="00FE3457"/>
    <w:rsid w:val="00FE3712"/>
    <w:rsid w:val="00FE3763"/>
    <w:rsid w:val="00FE4D87"/>
    <w:rsid w:val="00FE71DD"/>
    <w:rsid w:val="00FE7927"/>
    <w:rsid w:val="00FE7FEA"/>
    <w:rsid w:val="00FF105D"/>
    <w:rsid w:val="00FF1C46"/>
    <w:rsid w:val="00FF1F4C"/>
    <w:rsid w:val="00FF23DF"/>
    <w:rsid w:val="00FF301F"/>
    <w:rsid w:val="00FF4191"/>
    <w:rsid w:val="00FF44F6"/>
    <w:rsid w:val="00FF4B45"/>
    <w:rsid w:val="00FF4F39"/>
    <w:rsid w:val="00FF5F64"/>
    <w:rsid w:val="00FF64B8"/>
    <w:rsid w:val="00FF75F4"/>
    <w:rsid w:val="00FF7776"/>
    <w:rsid w:val="00FF7AB9"/>
    <w:rsid w:val="00FF7E5C"/>
    <w:rsid w:val="011F64A5"/>
    <w:rsid w:val="01290F7E"/>
    <w:rsid w:val="01441AE3"/>
    <w:rsid w:val="014A5E2B"/>
    <w:rsid w:val="01590320"/>
    <w:rsid w:val="015D1E09"/>
    <w:rsid w:val="015F1986"/>
    <w:rsid w:val="022374A4"/>
    <w:rsid w:val="02354F09"/>
    <w:rsid w:val="02413781"/>
    <w:rsid w:val="02697903"/>
    <w:rsid w:val="02E6432A"/>
    <w:rsid w:val="02F96569"/>
    <w:rsid w:val="03A8118D"/>
    <w:rsid w:val="03EA7B21"/>
    <w:rsid w:val="04166B3C"/>
    <w:rsid w:val="045C7208"/>
    <w:rsid w:val="046D06D1"/>
    <w:rsid w:val="04A9476B"/>
    <w:rsid w:val="04FC088E"/>
    <w:rsid w:val="04FC263C"/>
    <w:rsid w:val="054B2676"/>
    <w:rsid w:val="05765DD5"/>
    <w:rsid w:val="05B41169"/>
    <w:rsid w:val="05F83EAE"/>
    <w:rsid w:val="06260AB9"/>
    <w:rsid w:val="063942D3"/>
    <w:rsid w:val="063D2F0C"/>
    <w:rsid w:val="063E7D85"/>
    <w:rsid w:val="07021D2A"/>
    <w:rsid w:val="07293586"/>
    <w:rsid w:val="07295285"/>
    <w:rsid w:val="07636392"/>
    <w:rsid w:val="07770C56"/>
    <w:rsid w:val="07C543A9"/>
    <w:rsid w:val="07EA2C20"/>
    <w:rsid w:val="08524CC2"/>
    <w:rsid w:val="088A4403"/>
    <w:rsid w:val="08A94F08"/>
    <w:rsid w:val="08AA23AF"/>
    <w:rsid w:val="08F22189"/>
    <w:rsid w:val="092217DD"/>
    <w:rsid w:val="0937562C"/>
    <w:rsid w:val="093A7294"/>
    <w:rsid w:val="093E11DB"/>
    <w:rsid w:val="094B5940"/>
    <w:rsid w:val="095217F2"/>
    <w:rsid w:val="09C13E54"/>
    <w:rsid w:val="0A263993"/>
    <w:rsid w:val="0A2D3AC2"/>
    <w:rsid w:val="0AA755DF"/>
    <w:rsid w:val="0B023928"/>
    <w:rsid w:val="0B120D44"/>
    <w:rsid w:val="0B9960CA"/>
    <w:rsid w:val="0BD27BF6"/>
    <w:rsid w:val="0BE67494"/>
    <w:rsid w:val="0C3B3C7D"/>
    <w:rsid w:val="0C847E29"/>
    <w:rsid w:val="0CAB2EAE"/>
    <w:rsid w:val="0CE265BB"/>
    <w:rsid w:val="0CE628BA"/>
    <w:rsid w:val="0D460355"/>
    <w:rsid w:val="0D621C7D"/>
    <w:rsid w:val="0D6E7E4F"/>
    <w:rsid w:val="0D9403B8"/>
    <w:rsid w:val="0E0B7D94"/>
    <w:rsid w:val="0E223B52"/>
    <w:rsid w:val="0E73034D"/>
    <w:rsid w:val="0EA7526D"/>
    <w:rsid w:val="0ED5245B"/>
    <w:rsid w:val="0F0912BA"/>
    <w:rsid w:val="0F13775A"/>
    <w:rsid w:val="0F501D2B"/>
    <w:rsid w:val="0F5F45FE"/>
    <w:rsid w:val="0F9A112B"/>
    <w:rsid w:val="10433262"/>
    <w:rsid w:val="1059543B"/>
    <w:rsid w:val="106D2F64"/>
    <w:rsid w:val="107F33D5"/>
    <w:rsid w:val="10B63710"/>
    <w:rsid w:val="10E94C31"/>
    <w:rsid w:val="10F10820"/>
    <w:rsid w:val="111C2F7A"/>
    <w:rsid w:val="1161373B"/>
    <w:rsid w:val="11665CA1"/>
    <w:rsid w:val="11850FF5"/>
    <w:rsid w:val="11BB6C8F"/>
    <w:rsid w:val="12483364"/>
    <w:rsid w:val="12D807B7"/>
    <w:rsid w:val="13951726"/>
    <w:rsid w:val="14396509"/>
    <w:rsid w:val="146B2276"/>
    <w:rsid w:val="14DD2C3C"/>
    <w:rsid w:val="154324EE"/>
    <w:rsid w:val="15A1253A"/>
    <w:rsid w:val="15D54F0F"/>
    <w:rsid w:val="15D707C1"/>
    <w:rsid w:val="16087E1D"/>
    <w:rsid w:val="162478EF"/>
    <w:rsid w:val="166D7BE0"/>
    <w:rsid w:val="16835A72"/>
    <w:rsid w:val="16925A21"/>
    <w:rsid w:val="16BD2198"/>
    <w:rsid w:val="16D95624"/>
    <w:rsid w:val="17602EFE"/>
    <w:rsid w:val="17653C19"/>
    <w:rsid w:val="17701D14"/>
    <w:rsid w:val="17735226"/>
    <w:rsid w:val="177D1BD8"/>
    <w:rsid w:val="17D308A2"/>
    <w:rsid w:val="189F624C"/>
    <w:rsid w:val="18ED431E"/>
    <w:rsid w:val="19316A68"/>
    <w:rsid w:val="1A073B05"/>
    <w:rsid w:val="1A1B4EBB"/>
    <w:rsid w:val="1A1C66C0"/>
    <w:rsid w:val="1A404921"/>
    <w:rsid w:val="1A42393B"/>
    <w:rsid w:val="1A4C2459"/>
    <w:rsid w:val="1AAD45DE"/>
    <w:rsid w:val="1B03518D"/>
    <w:rsid w:val="1B046F80"/>
    <w:rsid w:val="1B3267B5"/>
    <w:rsid w:val="1B3E20F7"/>
    <w:rsid w:val="1B40161D"/>
    <w:rsid w:val="1B441859"/>
    <w:rsid w:val="1B6606B1"/>
    <w:rsid w:val="1BDA079C"/>
    <w:rsid w:val="1BE16D2A"/>
    <w:rsid w:val="1C5E7925"/>
    <w:rsid w:val="1C5F5A52"/>
    <w:rsid w:val="1C6A3ED7"/>
    <w:rsid w:val="1CCD4EA6"/>
    <w:rsid w:val="1CF245F9"/>
    <w:rsid w:val="1CFD070F"/>
    <w:rsid w:val="1D5F6196"/>
    <w:rsid w:val="1D6132A5"/>
    <w:rsid w:val="1D8E56D5"/>
    <w:rsid w:val="1DEE046A"/>
    <w:rsid w:val="1E7A43DA"/>
    <w:rsid w:val="1EE22B10"/>
    <w:rsid w:val="1F181567"/>
    <w:rsid w:val="1F2E5EA0"/>
    <w:rsid w:val="1FE7539E"/>
    <w:rsid w:val="20136430"/>
    <w:rsid w:val="205A5C24"/>
    <w:rsid w:val="20671BE0"/>
    <w:rsid w:val="208B0967"/>
    <w:rsid w:val="20963CB8"/>
    <w:rsid w:val="209E0A4A"/>
    <w:rsid w:val="20A81A1B"/>
    <w:rsid w:val="20B07FB6"/>
    <w:rsid w:val="20B646FB"/>
    <w:rsid w:val="213B74B1"/>
    <w:rsid w:val="215A2310"/>
    <w:rsid w:val="216E7FC6"/>
    <w:rsid w:val="21DE318A"/>
    <w:rsid w:val="21E01F75"/>
    <w:rsid w:val="21EF5B80"/>
    <w:rsid w:val="224B7575"/>
    <w:rsid w:val="22576990"/>
    <w:rsid w:val="225C42C2"/>
    <w:rsid w:val="2266747B"/>
    <w:rsid w:val="22F47480"/>
    <w:rsid w:val="236146B0"/>
    <w:rsid w:val="23D7455C"/>
    <w:rsid w:val="23DE1C48"/>
    <w:rsid w:val="240210CD"/>
    <w:rsid w:val="24071ED0"/>
    <w:rsid w:val="246D0F91"/>
    <w:rsid w:val="24BF09F7"/>
    <w:rsid w:val="252D53FE"/>
    <w:rsid w:val="25600CAB"/>
    <w:rsid w:val="25EC2D81"/>
    <w:rsid w:val="25F314C2"/>
    <w:rsid w:val="265479DE"/>
    <w:rsid w:val="26691681"/>
    <w:rsid w:val="26BC19D9"/>
    <w:rsid w:val="27076B08"/>
    <w:rsid w:val="27311AF8"/>
    <w:rsid w:val="273D4A27"/>
    <w:rsid w:val="274F2647"/>
    <w:rsid w:val="277057A2"/>
    <w:rsid w:val="27E40FE2"/>
    <w:rsid w:val="282615FA"/>
    <w:rsid w:val="28486025"/>
    <w:rsid w:val="29206EB8"/>
    <w:rsid w:val="29595666"/>
    <w:rsid w:val="29874881"/>
    <w:rsid w:val="29E325E0"/>
    <w:rsid w:val="29E96D83"/>
    <w:rsid w:val="2A452503"/>
    <w:rsid w:val="2AA8279A"/>
    <w:rsid w:val="2ABF6227"/>
    <w:rsid w:val="2ACC797D"/>
    <w:rsid w:val="2B3771BC"/>
    <w:rsid w:val="2B5841C1"/>
    <w:rsid w:val="2B786611"/>
    <w:rsid w:val="2BA936A8"/>
    <w:rsid w:val="2C313FB6"/>
    <w:rsid w:val="2C315A5A"/>
    <w:rsid w:val="2C48100B"/>
    <w:rsid w:val="2C4B1C25"/>
    <w:rsid w:val="2C5A1CD2"/>
    <w:rsid w:val="2C9B5825"/>
    <w:rsid w:val="2CC17F77"/>
    <w:rsid w:val="2CD37F6F"/>
    <w:rsid w:val="2CFA0561"/>
    <w:rsid w:val="2D534A0B"/>
    <w:rsid w:val="2D572532"/>
    <w:rsid w:val="2D8B6898"/>
    <w:rsid w:val="2D9E56F5"/>
    <w:rsid w:val="2E00578B"/>
    <w:rsid w:val="2E23203C"/>
    <w:rsid w:val="2E667F96"/>
    <w:rsid w:val="2E78449E"/>
    <w:rsid w:val="2E8226AB"/>
    <w:rsid w:val="2EED10C4"/>
    <w:rsid w:val="2F421715"/>
    <w:rsid w:val="2FD065E6"/>
    <w:rsid w:val="2FD96870"/>
    <w:rsid w:val="30542857"/>
    <w:rsid w:val="30580BC9"/>
    <w:rsid w:val="30D37E45"/>
    <w:rsid w:val="311A0CF9"/>
    <w:rsid w:val="311E2ED7"/>
    <w:rsid w:val="31344B7B"/>
    <w:rsid w:val="315619EE"/>
    <w:rsid w:val="315B7806"/>
    <w:rsid w:val="315C449C"/>
    <w:rsid w:val="319121DA"/>
    <w:rsid w:val="31912AE9"/>
    <w:rsid w:val="31B82709"/>
    <w:rsid w:val="31D05482"/>
    <w:rsid w:val="323F30CE"/>
    <w:rsid w:val="32400B34"/>
    <w:rsid w:val="32785148"/>
    <w:rsid w:val="329E6876"/>
    <w:rsid w:val="32A10D4A"/>
    <w:rsid w:val="32A23F73"/>
    <w:rsid w:val="333015F2"/>
    <w:rsid w:val="334B6320"/>
    <w:rsid w:val="33D934D4"/>
    <w:rsid w:val="33FE2F6A"/>
    <w:rsid w:val="33FF2570"/>
    <w:rsid w:val="340E07E5"/>
    <w:rsid w:val="34235BF7"/>
    <w:rsid w:val="34346E4D"/>
    <w:rsid w:val="348E4BCA"/>
    <w:rsid w:val="349E40E0"/>
    <w:rsid w:val="34F278FC"/>
    <w:rsid w:val="350B0A71"/>
    <w:rsid w:val="358C5FA8"/>
    <w:rsid w:val="35AF1E23"/>
    <w:rsid w:val="35C15DF1"/>
    <w:rsid w:val="35FA2AF3"/>
    <w:rsid w:val="36074A7F"/>
    <w:rsid w:val="360B0081"/>
    <w:rsid w:val="368E1D46"/>
    <w:rsid w:val="36923549"/>
    <w:rsid w:val="36B75FBF"/>
    <w:rsid w:val="36BD0C45"/>
    <w:rsid w:val="36D65CAD"/>
    <w:rsid w:val="36E3431A"/>
    <w:rsid w:val="373D070E"/>
    <w:rsid w:val="375C2D3B"/>
    <w:rsid w:val="37D21FCF"/>
    <w:rsid w:val="37E00298"/>
    <w:rsid w:val="37F5325E"/>
    <w:rsid w:val="38015BF2"/>
    <w:rsid w:val="38431D54"/>
    <w:rsid w:val="386E3661"/>
    <w:rsid w:val="38B302F9"/>
    <w:rsid w:val="38DA32A1"/>
    <w:rsid w:val="38F12CD3"/>
    <w:rsid w:val="38F94775"/>
    <w:rsid w:val="392971ED"/>
    <w:rsid w:val="39325651"/>
    <w:rsid w:val="3951224F"/>
    <w:rsid w:val="39B849FC"/>
    <w:rsid w:val="39F87669"/>
    <w:rsid w:val="3A773F37"/>
    <w:rsid w:val="3A872856"/>
    <w:rsid w:val="3AEF0C27"/>
    <w:rsid w:val="3B343160"/>
    <w:rsid w:val="3B3763D1"/>
    <w:rsid w:val="3B5A40C5"/>
    <w:rsid w:val="3C2F6E1E"/>
    <w:rsid w:val="3C37565E"/>
    <w:rsid w:val="3C4F64BA"/>
    <w:rsid w:val="3CDA245A"/>
    <w:rsid w:val="3CEC662C"/>
    <w:rsid w:val="3D1E06B7"/>
    <w:rsid w:val="3D58780A"/>
    <w:rsid w:val="3D8A5D30"/>
    <w:rsid w:val="3DFA0EFF"/>
    <w:rsid w:val="3E37034B"/>
    <w:rsid w:val="3E587BDC"/>
    <w:rsid w:val="3E901EFC"/>
    <w:rsid w:val="3EA370A9"/>
    <w:rsid w:val="3EC5358C"/>
    <w:rsid w:val="3EDA0523"/>
    <w:rsid w:val="3EEC59CA"/>
    <w:rsid w:val="3EFA2F24"/>
    <w:rsid w:val="3F011896"/>
    <w:rsid w:val="3F2F078D"/>
    <w:rsid w:val="3F83418A"/>
    <w:rsid w:val="3FF22C1F"/>
    <w:rsid w:val="402E3A57"/>
    <w:rsid w:val="406B620B"/>
    <w:rsid w:val="407A6407"/>
    <w:rsid w:val="417F09A2"/>
    <w:rsid w:val="419378A9"/>
    <w:rsid w:val="4200449D"/>
    <w:rsid w:val="4220461E"/>
    <w:rsid w:val="423A3BCC"/>
    <w:rsid w:val="424E57D2"/>
    <w:rsid w:val="426A4D92"/>
    <w:rsid w:val="429C1FA8"/>
    <w:rsid w:val="42B26C49"/>
    <w:rsid w:val="42E816D2"/>
    <w:rsid w:val="433A6FE6"/>
    <w:rsid w:val="43480868"/>
    <w:rsid w:val="4350713C"/>
    <w:rsid w:val="436653E0"/>
    <w:rsid w:val="437B6846"/>
    <w:rsid w:val="43A460BD"/>
    <w:rsid w:val="43C4431A"/>
    <w:rsid w:val="445A1BC1"/>
    <w:rsid w:val="447E086E"/>
    <w:rsid w:val="44B951CC"/>
    <w:rsid w:val="44CD14E0"/>
    <w:rsid w:val="44F20B0B"/>
    <w:rsid w:val="452E5F4C"/>
    <w:rsid w:val="45612018"/>
    <w:rsid w:val="458946E9"/>
    <w:rsid w:val="45A47C0E"/>
    <w:rsid w:val="45BC6CA2"/>
    <w:rsid w:val="46184D8C"/>
    <w:rsid w:val="46577FD6"/>
    <w:rsid w:val="46971EBC"/>
    <w:rsid w:val="46D955A7"/>
    <w:rsid w:val="47133957"/>
    <w:rsid w:val="473F7641"/>
    <w:rsid w:val="47A07E0C"/>
    <w:rsid w:val="47C74B33"/>
    <w:rsid w:val="480926FD"/>
    <w:rsid w:val="485A793E"/>
    <w:rsid w:val="4870272E"/>
    <w:rsid w:val="48D468BA"/>
    <w:rsid w:val="48F90411"/>
    <w:rsid w:val="49C32327"/>
    <w:rsid w:val="49C34AA3"/>
    <w:rsid w:val="49DC7715"/>
    <w:rsid w:val="4A023139"/>
    <w:rsid w:val="4A627E8B"/>
    <w:rsid w:val="4A7248B1"/>
    <w:rsid w:val="4A7806A6"/>
    <w:rsid w:val="4A7B576F"/>
    <w:rsid w:val="4AC26B09"/>
    <w:rsid w:val="4AEB6C72"/>
    <w:rsid w:val="4AF561A9"/>
    <w:rsid w:val="4AFE4370"/>
    <w:rsid w:val="4B7F2C4C"/>
    <w:rsid w:val="4B8E56C3"/>
    <w:rsid w:val="4BC845F3"/>
    <w:rsid w:val="4BE62B69"/>
    <w:rsid w:val="4C215A51"/>
    <w:rsid w:val="4C4A0649"/>
    <w:rsid w:val="4C7C6B6F"/>
    <w:rsid w:val="4C7E5ECA"/>
    <w:rsid w:val="4C876AA5"/>
    <w:rsid w:val="4C983FC5"/>
    <w:rsid w:val="4D0E00FB"/>
    <w:rsid w:val="4D176606"/>
    <w:rsid w:val="4D1B5F36"/>
    <w:rsid w:val="4D441EBE"/>
    <w:rsid w:val="4D75797B"/>
    <w:rsid w:val="4DEC4FB0"/>
    <w:rsid w:val="4E075D8A"/>
    <w:rsid w:val="4E197388"/>
    <w:rsid w:val="4E946A0E"/>
    <w:rsid w:val="4EC00FAD"/>
    <w:rsid w:val="4F437034"/>
    <w:rsid w:val="4F4949C8"/>
    <w:rsid w:val="4F9843DC"/>
    <w:rsid w:val="4FC62A8C"/>
    <w:rsid w:val="4FE20F0D"/>
    <w:rsid w:val="4FE51552"/>
    <w:rsid w:val="502A6E27"/>
    <w:rsid w:val="50504C4B"/>
    <w:rsid w:val="508D1146"/>
    <w:rsid w:val="509C6E7C"/>
    <w:rsid w:val="5162104E"/>
    <w:rsid w:val="521D54F6"/>
    <w:rsid w:val="52600FEE"/>
    <w:rsid w:val="5263157F"/>
    <w:rsid w:val="526D4F2F"/>
    <w:rsid w:val="52A55C85"/>
    <w:rsid w:val="52BC614F"/>
    <w:rsid w:val="52F95E3B"/>
    <w:rsid w:val="53005FBA"/>
    <w:rsid w:val="53183ECB"/>
    <w:rsid w:val="532A2681"/>
    <w:rsid w:val="53690A9C"/>
    <w:rsid w:val="53A039CC"/>
    <w:rsid w:val="53A1505A"/>
    <w:rsid w:val="53A72E79"/>
    <w:rsid w:val="53BE477E"/>
    <w:rsid w:val="53FB032D"/>
    <w:rsid w:val="54063E08"/>
    <w:rsid w:val="542B2CA5"/>
    <w:rsid w:val="543437E8"/>
    <w:rsid w:val="54F73313"/>
    <w:rsid w:val="54F80955"/>
    <w:rsid w:val="550F0636"/>
    <w:rsid w:val="554B3AD7"/>
    <w:rsid w:val="555170A7"/>
    <w:rsid w:val="5587536D"/>
    <w:rsid w:val="559758CD"/>
    <w:rsid w:val="559B174B"/>
    <w:rsid w:val="55A356E8"/>
    <w:rsid w:val="55CE0CF4"/>
    <w:rsid w:val="55E42029"/>
    <w:rsid w:val="55EE10FA"/>
    <w:rsid w:val="55F7007D"/>
    <w:rsid w:val="56095F34"/>
    <w:rsid w:val="5627460C"/>
    <w:rsid w:val="5638267F"/>
    <w:rsid w:val="566271B5"/>
    <w:rsid w:val="56926139"/>
    <w:rsid w:val="56B22A9C"/>
    <w:rsid w:val="57B72A76"/>
    <w:rsid w:val="57C3426C"/>
    <w:rsid w:val="57CE1F93"/>
    <w:rsid w:val="587911BA"/>
    <w:rsid w:val="588743D1"/>
    <w:rsid w:val="5887701A"/>
    <w:rsid w:val="5926279A"/>
    <w:rsid w:val="59C0439F"/>
    <w:rsid w:val="59C550D3"/>
    <w:rsid w:val="59F82547"/>
    <w:rsid w:val="5A3E3CD2"/>
    <w:rsid w:val="5A7B1A00"/>
    <w:rsid w:val="5ABE2233"/>
    <w:rsid w:val="5AD47665"/>
    <w:rsid w:val="5ADA201D"/>
    <w:rsid w:val="5B5318E1"/>
    <w:rsid w:val="5B6C17BB"/>
    <w:rsid w:val="5BDF5D95"/>
    <w:rsid w:val="5BFE7528"/>
    <w:rsid w:val="5C6A5252"/>
    <w:rsid w:val="5C790AF3"/>
    <w:rsid w:val="5CD6489C"/>
    <w:rsid w:val="5D4C33F3"/>
    <w:rsid w:val="5D527374"/>
    <w:rsid w:val="5D6D4FFA"/>
    <w:rsid w:val="5D8223A2"/>
    <w:rsid w:val="5DBF0645"/>
    <w:rsid w:val="5E2467F1"/>
    <w:rsid w:val="5E4E6BDA"/>
    <w:rsid w:val="5E9D4736"/>
    <w:rsid w:val="5F1A2B43"/>
    <w:rsid w:val="5F385DC0"/>
    <w:rsid w:val="5FB837BB"/>
    <w:rsid w:val="5FCE38DA"/>
    <w:rsid w:val="60CC405A"/>
    <w:rsid w:val="611C40A6"/>
    <w:rsid w:val="619B20B1"/>
    <w:rsid w:val="61D8758A"/>
    <w:rsid w:val="61E215D8"/>
    <w:rsid w:val="621B3775"/>
    <w:rsid w:val="62364782"/>
    <w:rsid w:val="6248311C"/>
    <w:rsid w:val="62515E01"/>
    <w:rsid w:val="625E10D6"/>
    <w:rsid w:val="627850BF"/>
    <w:rsid w:val="629370C4"/>
    <w:rsid w:val="62AE40EB"/>
    <w:rsid w:val="62AF74CA"/>
    <w:rsid w:val="62BC0190"/>
    <w:rsid w:val="62FF04B8"/>
    <w:rsid w:val="6394356A"/>
    <w:rsid w:val="63C61B2C"/>
    <w:rsid w:val="63D40BE9"/>
    <w:rsid w:val="64102431"/>
    <w:rsid w:val="642541A8"/>
    <w:rsid w:val="646033F8"/>
    <w:rsid w:val="64641377"/>
    <w:rsid w:val="64710555"/>
    <w:rsid w:val="649A7550"/>
    <w:rsid w:val="649E6BD8"/>
    <w:rsid w:val="64A137DB"/>
    <w:rsid w:val="64A5243A"/>
    <w:rsid w:val="64F531DE"/>
    <w:rsid w:val="650A02DB"/>
    <w:rsid w:val="65112E2E"/>
    <w:rsid w:val="65373578"/>
    <w:rsid w:val="65472464"/>
    <w:rsid w:val="65C459D3"/>
    <w:rsid w:val="65F24F2E"/>
    <w:rsid w:val="669C425A"/>
    <w:rsid w:val="66DF178D"/>
    <w:rsid w:val="670A3C33"/>
    <w:rsid w:val="671F124A"/>
    <w:rsid w:val="6736645D"/>
    <w:rsid w:val="677A33C6"/>
    <w:rsid w:val="679514F1"/>
    <w:rsid w:val="67D5060F"/>
    <w:rsid w:val="68056A2F"/>
    <w:rsid w:val="680622D3"/>
    <w:rsid w:val="681F6961"/>
    <w:rsid w:val="68610A2F"/>
    <w:rsid w:val="68805514"/>
    <w:rsid w:val="68AB67DA"/>
    <w:rsid w:val="68B7120C"/>
    <w:rsid w:val="68BE0B64"/>
    <w:rsid w:val="68DC3D11"/>
    <w:rsid w:val="68FC7232"/>
    <w:rsid w:val="69316E2F"/>
    <w:rsid w:val="694E2071"/>
    <w:rsid w:val="69766163"/>
    <w:rsid w:val="697A3B33"/>
    <w:rsid w:val="69D44760"/>
    <w:rsid w:val="6A520EC7"/>
    <w:rsid w:val="6A587C04"/>
    <w:rsid w:val="6A805B74"/>
    <w:rsid w:val="6A994672"/>
    <w:rsid w:val="6AA706F9"/>
    <w:rsid w:val="6AF87E20"/>
    <w:rsid w:val="6B057B25"/>
    <w:rsid w:val="6B322639"/>
    <w:rsid w:val="6C454AA3"/>
    <w:rsid w:val="6C636C38"/>
    <w:rsid w:val="6CD24692"/>
    <w:rsid w:val="6CE91505"/>
    <w:rsid w:val="6D0318AC"/>
    <w:rsid w:val="6D423F55"/>
    <w:rsid w:val="6D98197B"/>
    <w:rsid w:val="6DA97488"/>
    <w:rsid w:val="6DB34098"/>
    <w:rsid w:val="6DB545B6"/>
    <w:rsid w:val="6DE02FB4"/>
    <w:rsid w:val="6DE11B01"/>
    <w:rsid w:val="6DF55035"/>
    <w:rsid w:val="6E070112"/>
    <w:rsid w:val="6E204EE9"/>
    <w:rsid w:val="6E514CED"/>
    <w:rsid w:val="6EB563D5"/>
    <w:rsid w:val="6ED92677"/>
    <w:rsid w:val="6F225983"/>
    <w:rsid w:val="6FFC5590"/>
    <w:rsid w:val="706D1DD0"/>
    <w:rsid w:val="70856B87"/>
    <w:rsid w:val="70D527EE"/>
    <w:rsid w:val="7130670D"/>
    <w:rsid w:val="71390ECE"/>
    <w:rsid w:val="715B5300"/>
    <w:rsid w:val="715E7CFA"/>
    <w:rsid w:val="71D27F8A"/>
    <w:rsid w:val="72553024"/>
    <w:rsid w:val="728C1DE6"/>
    <w:rsid w:val="73122968"/>
    <w:rsid w:val="731F5D5E"/>
    <w:rsid w:val="73280931"/>
    <w:rsid w:val="73516049"/>
    <w:rsid w:val="73C51AD5"/>
    <w:rsid w:val="73D2139B"/>
    <w:rsid w:val="741E793C"/>
    <w:rsid w:val="74577B2E"/>
    <w:rsid w:val="745E3944"/>
    <w:rsid w:val="74D3622B"/>
    <w:rsid w:val="74E4399C"/>
    <w:rsid w:val="7635099D"/>
    <w:rsid w:val="768F6E02"/>
    <w:rsid w:val="76D755CA"/>
    <w:rsid w:val="772F5437"/>
    <w:rsid w:val="77762421"/>
    <w:rsid w:val="77B56B1F"/>
    <w:rsid w:val="780F09F4"/>
    <w:rsid w:val="7830365B"/>
    <w:rsid w:val="78A90480"/>
    <w:rsid w:val="79076CD1"/>
    <w:rsid w:val="79283BD2"/>
    <w:rsid w:val="79653498"/>
    <w:rsid w:val="7A02328F"/>
    <w:rsid w:val="7A364017"/>
    <w:rsid w:val="7A513105"/>
    <w:rsid w:val="7A552066"/>
    <w:rsid w:val="7A8265E1"/>
    <w:rsid w:val="7A8654D7"/>
    <w:rsid w:val="7AA30EC0"/>
    <w:rsid w:val="7AB12FDA"/>
    <w:rsid w:val="7B1C1F46"/>
    <w:rsid w:val="7B385C29"/>
    <w:rsid w:val="7B4A4C83"/>
    <w:rsid w:val="7B4C37FD"/>
    <w:rsid w:val="7B686D42"/>
    <w:rsid w:val="7B841746"/>
    <w:rsid w:val="7C6C5AC7"/>
    <w:rsid w:val="7CC6544B"/>
    <w:rsid w:val="7D0239FF"/>
    <w:rsid w:val="7D5E40CD"/>
    <w:rsid w:val="7D7B6DFB"/>
    <w:rsid w:val="7D9F2B56"/>
    <w:rsid w:val="7DCD56F2"/>
    <w:rsid w:val="7DF10A30"/>
    <w:rsid w:val="7E0935CE"/>
    <w:rsid w:val="7E48699C"/>
    <w:rsid w:val="7E7C169C"/>
    <w:rsid w:val="7EA76D0F"/>
    <w:rsid w:val="7EDD0396"/>
    <w:rsid w:val="7F001CE7"/>
    <w:rsid w:val="7F182693"/>
    <w:rsid w:val="7F78365F"/>
    <w:rsid w:val="7FE47E50"/>
    <w:rsid w:val="DF7AE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iPriority="39" w:semiHidden="0" w:name="toc 1" w:locked="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semiHidden="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qFormat="1"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qFormat="1" w:uiPriority="99" w:semiHidden="0" w:name="Body Text Indent 2" w:locked="1"/>
    <w:lsdException w:uiPriority="0" w:name="Body Text Indent 3" w:locked="1"/>
    <w:lsdException w:uiPriority="0" w:name="Block Text" w:locked="1"/>
    <w:lsdException w:qFormat="1" w:uiPriority="99" w:semiHidden="0" w:name="Hyperlink" w:locked="1"/>
    <w:lsdException w:qFormat="1"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nhideWhenUsed="0" w:uiPriority="0"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link w:val="34"/>
    <w:autoRedefine/>
    <w:qFormat/>
    <w:locked/>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5"/>
    <w:autoRedefine/>
    <w:qFormat/>
    <w:locked/>
    <w:uiPriority w:val="0"/>
    <w:pPr>
      <w:keepNext/>
      <w:keepLines/>
      <w:spacing w:before="260" w:after="260" w:line="416" w:lineRule="auto"/>
      <w:outlineLvl w:val="2"/>
    </w:pPr>
    <w:rPr>
      <w:b/>
      <w:bCs/>
      <w:sz w:val="32"/>
      <w:szCs w:val="32"/>
    </w:rPr>
  </w:style>
  <w:style w:type="paragraph" w:styleId="2">
    <w:name w:val="heading 4"/>
    <w:basedOn w:val="1"/>
    <w:next w:val="3"/>
    <w:link w:val="85"/>
    <w:autoRedefine/>
    <w:qFormat/>
    <w:locked/>
    <w:uiPriority w:val="0"/>
    <w:pPr>
      <w:keepNext/>
      <w:keepLines/>
      <w:tabs>
        <w:tab w:val="left" w:pos="864"/>
      </w:tabs>
      <w:spacing w:line="360" w:lineRule="auto"/>
      <w:ind w:firstLine="0" w:firstLineChars="0"/>
      <w:outlineLvl w:val="3"/>
    </w:pPr>
    <w:rPr>
      <w:rFonts w:ascii="Calibri" w:hAnsi="Calibri" w:eastAsia="黑体" w:cs="Calibri"/>
      <w:szCs w:val="21"/>
    </w:rPr>
  </w:style>
  <w:style w:type="paragraph" w:styleId="7">
    <w:name w:val="heading 5"/>
    <w:basedOn w:val="1"/>
    <w:next w:val="1"/>
    <w:autoRedefine/>
    <w:qFormat/>
    <w:locked/>
    <w:uiPriority w:val="0"/>
    <w:pPr>
      <w:keepNext/>
      <w:spacing w:line="360" w:lineRule="auto"/>
      <w:ind w:firstLine="0" w:firstLineChars="0"/>
      <w:jc w:val="center"/>
      <w:outlineLvl w:val="4"/>
    </w:pPr>
    <w:rPr>
      <w:b/>
      <w:kern w:val="0"/>
      <w:sz w:val="21"/>
      <w:szCs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link w:val="36"/>
    <w:autoRedefine/>
    <w:qFormat/>
    <w:locked/>
    <w:uiPriority w:val="0"/>
    <w:pPr>
      <w:ind w:firstLine="420"/>
    </w:pPr>
    <w:rPr>
      <w:szCs w:val="20"/>
    </w:rPr>
  </w:style>
  <w:style w:type="paragraph" w:styleId="8">
    <w:name w:val="annotation text"/>
    <w:basedOn w:val="1"/>
    <w:link w:val="37"/>
    <w:autoRedefine/>
    <w:qFormat/>
    <w:uiPriority w:val="0"/>
    <w:pPr>
      <w:jc w:val="left"/>
    </w:pPr>
    <w:rPr>
      <w:kern w:val="0"/>
      <w:sz w:val="24"/>
      <w:szCs w:val="20"/>
    </w:rPr>
  </w:style>
  <w:style w:type="paragraph" w:styleId="9">
    <w:name w:val="Body Text"/>
    <w:basedOn w:val="1"/>
    <w:next w:val="10"/>
    <w:link w:val="38"/>
    <w:autoRedefine/>
    <w:qFormat/>
    <w:uiPriority w:val="0"/>
    <w:pPr>
      <w:widowControl/>
      <w:snapToGrid w:val="0"/>
      <w:spacing w:before="60" w:after="160" w:line="259" w:lineRule="auto"/>
      <w:ind w:right="113"/>
    </w:pPr>
    <w:rPr>
      <w:kern w:val="0"/>
      <w:sz w:val="18"/>
      <w:szCs w:val="20"/>
    </w:rPr>
  </w:style>
  <w:style w:type="paragraph" w:styleId="10">
    <w:name w:val="List Bullet 5"/>
    <w:basedOn w:val="1"/>
    <w:autoRedefine/>
    <w:semiHidden/>
    <w:unhideWhenUsed/>
    <w:qFormat/>
    <w:locked/>
    <w:uiPriority w:val="0"/>
    <w:pPr>
      <w:numPr>
        <w:ilvl w:val="0"/>
        <w:numId w:val="1"/>
      </w:numPr>
    </w:pPr>
  </w:style>
  <w:style w:type="paragraph" w:styleId="11">
    <w:name w:val="Body Text Indent"/>
    <w:basedOn w:val="1"/>
    <w:link w:val="39"/>
    <w:autoRedefine/>
    <w:qFormat/>
    <w:uiPriority w:val="0"/>
    <w:pPr>
      <w:spacing w:after="120"/>
      <w:ind w:left="420" w:leftChars="200"/>
    </w:pPr>
    <w:rPr>
      <w:kern w:val="0"/>
      <w:sz w:val="24"/>
      <w:szCs w:val="20"/>
    </w:rPr>
  </w:style>
  <w:style w:type="paragraph" w:styleId="12">
    <w:name w:val="Plain Text"/>
    <w:basedOn w:val="1"/>
    <w:link w:val="40"/>
    <w:autoRedefine/>
    <w:qFormat/>
    <w:locked/>
    <w:uiPriority w:val="0"/>
    <w:rPr>
      <w:rFonts w:ascii="宋体" w:hAnsi="Courier New"/>
      <w:szCs w:val="20"/>
    </w:rPr>
  </w:style>
  <w:style w:type="paragraph" w:styleId="13">
    <w:name w:val="Date"/>
    <w:basedOn w:val="1"/>
    <w:next w:val="1"/>
    <w:link w:val="41"/>
    <w:autoRedefine/>
    <w:qFormat/>
    <w:uiPriority w:val="0"/>
    <w:pPr>
      <w:ind w:left="100" w:leftChars="2500"/>
    </w:pPr>
    <w:rPr>
      <w:kern w:val="0"/>
      <w:sz w:val="24"/>
      <w:szCs w:val="20"/>
    </w:rPr>
  </w:style>
  <w:style w:type="paragraph" w:styleId="14">
    <w:name w:val="Body Text Indent 2"/>
    <w:basedOn w:val="1"/>
    <w:link w:val="82"/>
    <w:autoRedefine/>
    <w:unhideWhenUsed/>
    <w:qFormat/>
    <w:locked/>
    <w:uiPriority w:val="99"/>
    <w:pPr>
      <w:spacing w:line="400" w:lineRule="exact"/>
      <w:ind w:left="0" w:leftChars="0" w:firstLine="1160" w:firstLineChars="200"/>
    </w:pPr>
    <w:rPr>
      <w:sz w:val="26"/>
    </w:rPr>
  </w:style>
  <w:style w:type="paragraph" w:styleId="15">
    <w:name w:val="Balloon Text"/>
    <w:basedOn w:val="1"/>
    <w:link w:val="42"/>
    <w:autoRedefine/>
    <w:semiHidden/>
    <w:qFormat/>
    <w:uiPriority w:val="0"/>
    <w:rPr>
      <w:kern w:val="0"/>
      <w:sz w:val="18"/>
      <w:szCs w:val="20"/>
    </w:rPr>
  </w:style>
  <w:style w:type="paragraph" w:styleId="16">
    <w:name w:val="footer"/>
    <w:basedOn w:val="1"/>
    <w:link w:val="43"/>
    <w:autoRedefine/>
    <w:qFormat/>
    <w:uiPriority w:val="0"/>
    <w:pPr>
      <w:tabs>
        <w:tab w:val="center" w:pos="4153"/>
        <w:tab w:val="right" w:pos="8306"/>
      </w:tabs>
      <w:snapToGrid w:val="0"/>
      <w:jc w:val="left"/>
    </w:pPr>
    <w:rPr>
      <w:kern w:val="0"/>
      <w:sz w:val="18"/>
      <w:szCs w:val="20"/>
    </w:rPr>
  </w:style>
  <w:style w:type="paragraph" w:styleId="17">
    <w:name w:val="header"/>
    <w:basedOn w:val="1"/>
    <w:link w:val="44"/>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1"/>
    <w:basedOn w:val="1"/>
    <w:next w:val="1"/>
    <w:link w:val="79"/>
    <w:autoRedefine/>
    <w:unhideWhenUsed/>
    <w:qFormat/>
    <w:locked/>
    <w:uiPriority w:val="39"/>
    <w:pPr>
      <w:tabs>
        <w:tab w:val="right" w:leader="dot" w:pos="8720"/>
      </w:tabs>
      <w:snapToGrid w:val="0"/>
      <w:spacing w:line="480" w:lineRule="atLeast"/>
    </w:pPr>
    <w:rPr>
      <w:b/>
      <w:kern w:val="0"/>
      <w:sz w:val="26"/>
      <w:szCs w:val="26"/>
    </w:rPr>
  </w:style>
  <w:style w:type="paragraph" w:styleId="19">
    <w:name w:val="Subtitle"/>
    <w:basedOn w:val="1"/>
    <w:next w:val="1"/>
    <w:link w:val="80"/>
    <w:autoRedefine/>
    <w:qFormat/>
    <w:locked/>
    <w:uiPriority w:val="11"/>
    <w:pPr>
      <w:widowControl/>
      <w:jc w:val="center"/>
      <w:outlineLvl w:val="1"/>
    </w:pPr>
    <w:rPr>
      <w:bCs/>
      <w:kern w:val="28"/>
      <w:sz w:val="22"/>
      <w:szCs w:val="32"/>
      <w:lang w:val="zh-CN"/>
    </w:rPr>
  </w:style>
  <w:style w:type="paragraph" w:styleId="20">
    <w:name w:val="List"/>
    <w:basedOn w:val="1"/>
    <w:autoRedefine/>
    <w:qFormat/>
    <w:locked/>
    <w:uiPriority w:val="0"/>
    <w:pPr>
      <w:ind w:left="200" w:hanging="200" w:hangingChars="200"/>
    </w:pPr>
  </w:style>
  <w:style w:type="paragraph" w:styleId="21">
    <w:name w:val="toc 2"/>
    <w:basedOn w:val="1"/>
    <w:next w:val="1"/>
    <w:autoRedefine/>
    <w:unhideWhenUsed/>
    <w:qFormat/>
    <w:locked/>
    <w:uiPriority w:val="39"/>
    <w:pPr>
      <w:ind w:left="420" w:leftChars="200"/>
    </w:pPr>
    <w:rPr>
      <w:szCs w:val="20"/>
    </w:rPr>
  </w:style>
  <w:style w:type="paragraph" w:styleId="22">
    <w:name w:val="Normal (Web)"/>
    <w:basedOn w:val="1"/>
    <w:link w:val="45"/>
    <w:autoRedefine/>
    <w:qFormat/>
    <w:uiPriority w:val="0"/>
    <w:pPr>
      <w:widowControl/>
      <w:spacing w:before="100" w:beforeAutospacing="1" w:after="100" w:afterAutospacing="1"/>
      <w:jc w:val="left"/>
    </w:pPr>
    <w:rPr>
      <w:rFonts w:ascii="宋体" w:hAnsi="宋体"/>
      <w:kern w:val="0"/>
      <w:sz w:val="24"/>
      <w:szCs w:val="20"/>
    </w:rPr>
  </w:style>
  <w:style w:type="paragraph" w:styleId="23">
    <w:name w:val="Title"/>
    <w:basedOn w:val="5"/>
    <w:next w:val="1"/>
    <w:link w:val="46"/>
    <w:autoRedefine/>
    <w:qFormat/>
    <w:locked/>
    <w:uiPriority w:val="10"/>
    <w:pPr>
      <w:keepNext w:val="0"/>
      <w:keepLines w:val="0"/>
      <w:spacing w:before="240" w:after="60" w:line="415" w:lineRule="auto"/>
      <w:jc w:val="center"/>
      <w:outlineLvl w:val="0"/>
    </w:pPr>
    <w:rPr>
      <w:rFonts w:eastAsia="黑体"/>
      <w:b w:val="0"/>
      <w:bCs w:val="0"/>
      <w:sz w:val="30"/>
    </w:rPr>
  </w:style>
  <w:style w:type="paragraph" w:styleId="24">
    <w:name w:val="annotation subject"/>
    <w:basedOn w:val="8"/>
    <w:next w:val="8"/>
    <w:link w:val="47"/>
    <w:autoRedefine/>
    <w:semiHidden/>
    <w:qFormat/>
    <w:uiPriority w:val="0"/>
    <w:rPr>
      <w:b/>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locked/>
    <w:uiPriority w:val="0"/>
    <w:rPr>
      <w:b/>
      <w:bCs/>
    </w:rPr>
  </w:style>
  <w:style w:type="character" w:styleId="29">
    <w:name w:val="page number"/>
    <w:autoRedefine/>
    <w:qFormat/>
    <w:locked/>
    <w:uiPriority w:val="0"/>
  </w:style>
  <w:style w:type="character" w:styleId="30">
    <w:name w:val="FollowedHyperlink"/>
    <w:basedOn w:val="27"/>
    <w:autoRedefine/>
    <w:semiHidden/>
    <w:unhideWhenUsed/>
    <w:qFormat/>
    <w:locked/>
    <w:uiPriority w:val="0"/>
    <w:rPr>
      <w:color w:val="800080"/>
      <w:u w:val="single"/>
    </w:rPr>
  </w:style>
  <w:style w:type="character" w:styleId="31">
    <w:name w:val="Hyperlink"/>
    <w:autoRedefine/>
    <w:unhideWhenUsed/>
    <w:qFormat/>
    <w:locked/>
    <w:uiPriority w:val="99"/>
    <w:rPr>
      <w:color w:val="0000FF"/>
      <w:u w:val="single"/>
    </w:rPr>
  </w:style>
  <w:style w:type="character" w:styleId="32">
    <w:name w:val="annotation reference"/>
    <w:autoRedefine/>
    <w:qFormat/>
    <w:uiPriority w:val="99"/>
    <w:rPr>
      <w:sz w:val="21"/>
    </w:rPr>
  </w:style>
  <w:style w:type="paragraph" w:customStyle="1" w:styleId="33">
    <w:name w:val="xl27"/>
    <w:basedOn w:val="1"/>
    <w:next w:val="1"/>
    <w:autoRedefine/>
    <w:qFormat/>
    <w:uiPriority w:val="0"/>
    <w:pPr>
      <w:widowControl/>
      <w:adjustRightInd/>
      <w:snapToGrid/>
      <w:spacing w:beforeAutospacing="1" w:afterAutospacing="1" w:line="240" w:lineRule="auto"/>
      <w:ind w:firstLine="0" w:firstLineChars="0"/>
      <w:jc w:val="left"/>
    </w:pPr>
    <w:rPr>
      <w:rFonts w:ascii="Calibri" w:hAnsi="Calibri"/>
      <w:color w:val="FF0000"/>
      <w:kern w:val="0"/>
    </w:rPr>
  </w:style>
  <w:style w:type="character" w:customStyle="1" w:styleId="34">
    <w:name w:val="标题 2 字符"/>
    <w:link w:val="5"/>
    <w:autoRedefine/>
    <w:semiHidden/>
    <w:qFormat/>
    <w:uiPriority w:val="0"/>
    <w:rPr>
      <w:rFonts w:ascii="等线 Light" w:hAnsi="等线 Light" w:eastAsia="等线 Light" w:cs="Times New Roman"/>
      <w:b/>
      <w:bCs/>
      <w:kern w:val="2"/>
      <w:sz w:val="32"/>
      <w:szCs w:val="32"/>
    </w:rPr>
  </w:style>
  <w:style w:type="character" w:customStyle="1" w:styleId="35">
    <w:name w:val="标题 3 字符"/>
    <w:link w:val="6"/>
    <w:autoRedefine/>
    <w:semiHidden/>
    <w:qFormat/>
    <w:uiPriority w:val="0"/>
    <w:rPr>
      <w:b/>
      <w:bCs/>
      <w:kern w:val="2"/>
      <w:sz w:val="32"/>
      <w:szCs w:val="32"/>
    </w:rPr>
  </w:style>
  <w:style w:type="character" w:customStyle="1" w:styleId="36">
    <w:name w:val="正文缩进 字符"/>
    <w:link w:val="3"/>
    <w:autoRedefine/>
    <w:qFormat/>
    <w:locked/>
    <w:uiPriority w:val="0"/>
    <w:rPr>
      <w:kern w:val="2"/>
      <w:sz w:val="21"/>
    </w:rPr>
  </w:style>
  <w:style w:type="character" w:customStyle="1" w:styleId="37">
    <w:name w:val="批注文字 字符"/>
    <w:link w:val="8"/>
    <w:autoRedefine/>
    <w:qFormat/>
    <w:locked/>
    <w:uiPriority w:val="99"/>
    <w:rPr>
      <w:rFonts w:ascii="Times New Roman" w:hAnsi="Times New Roman" w:eastAsia="宋体"/>
      <w:sz w:val="24"/>
    </w:rPr>
  </w:style>
  <w:style w:type="character" w:customStyle="1" w:styleId="38">
    <w:name w:val="正文文本 字符"/>
    <w:link w:val="9"/>
    <w:autoRedefine/>
    <w:qFormat/>
    <w:locked/>
    <w:uiPriority w:val="0"/>
    <w:rPr>
      <w:sz w:val="18"/>
    </w:rPr>
  </w:style>
  <w:style w:type="character" w:customStyle="1" w:styleId="39">
    <w:name w:val="正文文本缩进 字符"/>
    <w:link w:val="11"/>
    <w:autoRedefine/>
    <w:semiHidden/>
    <w:qFormat/>
    <w:locked/>
    <w:uiPriority w:val="0"/>
    <w:rPr>
      <w:rFonts w:ascii="Times New Roman" w:hAnsi="Times New Roman" w:eastAsia="宋体"/>
      <w:sz w:val="24"/>
    </w:rPr>
  </w:style>
  <w:style w:type="character" w:customStyle="1" w:styleId="40">
    <w:name w:val="纯文本 字符1"/>
    <w:link w:val="12"/>
    <w:autoRedefine/>
    <w:qFormat/>
    <w:uiPriority w:val="0"/>
    <w:rPr>
      <w:rFonts w:ascii="宋体" w:hAnsi="Courier New"/>
      <w:kern w:val="2"/>
      <w:sz w:val="21"/>
    </w:rPr>
  </w:style>
  <w:style w:type="character" w:customStyle="1" w:styleId="41">
    <w:name w:val="日期 字符1"/>
    <w:link w:val="13"/>
    <w:autoRedefine/>
    <w:qFormat/>
    <w:locked/>
    <w:uiPriority w:val="0"/>
    <w:rPr>
      <w:rFonts w:ascii="Times New Roman" w:hAnsi="Times New Roman" w:eastAsia="宋体"/>
      <w:sz w:val="24"/>
    </w:rPr>
  </w:style>
  <w:style w:type="character" w:customStyle="1" w:styleId="42">
    <w:name w:val="批注框文本 字符"/>
    <w:link w:val="15"/>
    <w:autoRedefine/>
    <w:semiHidden/>
    <w:qFormat/>
    <w:locked/>
    <w:uiPriority w:val="0"/>
    <w:rPr>
      <w:rFonts w:ascii="Times New Roman" w:hAnsi="Times New Roman" w:eastAsia="宋体"/>
      <w:sz w:val="18"/>
    </w:rPr>
  </w:style>
  <w:style w:type="character" w:customStyle="1" w:styleId="43">
    <w:name w:val="页脚 字符1"/>
    <w:link w:val="16"/>
    <w:autoRedefine/>
    <w:qFormat/>
    <w:locked/>
    <w:uiPriority w:val="99"/>
    <w:rPr>
      <w:sz w:val="18"/>
    </w:rPr>
  </w:style>
  <w:style w:type="character" w:customStyle="1" w:styleId="44">
    <w:name w:val="页眉 字符"/>
    <w:link w:val="17"/>
    <w:autoRedefine/>
    <w:qFormat/>
    <w:locked/>
    <w:uiPriority w:val="0"/>
    <w:rPr>
      <w:sz w:val="18"/>
    </w:rPr>
  </w:style>
  <w:style w:type="character" w:customStyle="1" w:styleId="45">
    <w:name w:val="普通(网站) 字符"/>
    <w:link w:val="22"/>
    <w:autoRedefine/>
    <w:qFormat/>
    <w:locked/>
    <w:uiPriority w:val="0"/>
    <w:rPr>
      <w:rFonts w:ascii="宋体" w:hAnsi="宋体" w:eastAsia="宋体"/>
      <w:sz w:val="24"/>
    </w:rPr>
  </w:style>
  <w:style w:type="character" w:customStyle="1" w:styleId="46">
    <w:name w:val="标题 字符"/>
    <w:link w:val="23"/>
    <w:autoRedefine/>
    <w:qFormat/>
    <w:uiPriority w:val="10"/>
    <w:rPr>
      <w:rFonts w:ascii="等线 Light" w:hAnsi="等线 Light" w:eastAsia="黑体" w:cs="Times New Roman"/>
      <w:kern w:val="2"/>
      <w:sz w:val="30"/>
      <w:szCs w:val="32"/>
    </w:rPr>
  </w:style>
  <w:style w:type="character" w:customStyle="1" w:styleId="47">
    <w:name w:val="批注主题 字符"/>
    <w:link w:val="24"/>
    <w:autoRedefine/>
    <w:semiHidden/>
    <w:qFormat/>
    <w:locked/>
    <w:uiPriority w:val="0"/>
    <w:rPr>
      <w:rFonts w:ascii="Times New Roman" w:hAnsi="Times New Roman" w:eastAsia="宋体"/>
      <w:b/>
      <w:kern w:val="2"/>
      <w:sz w:val="24"/>
    </w:rPr>
  </w:style>
  <w:style w:type="character" w:customStyle="1" w:styleId="48">
    <w:name w:val="页脚 字符"/>
    <w:autoRedefine/>
    <w:qFormat/>
    <w:uiPriority w:val="99"/>
  </w:style>
  <w:style w:type="character" w:customStyle="1" w:styleId="49">
    <w:name w:val="表格 Char"/>
    <w:link w:val="50"/>
    <w:autoRedefine/>
    <w:qFormat/>
    <w:locked/>
    <w:uiPriority w:val="0"/>
    <w:rPr>
      <w:sz w:val="22"/>
    </w:rPr>
  </w:style>
  <w:style w:type="paragraph" w:customStyle="1" w:styleId="50">
    <w:name w:val="表格"/>
    <w:basedOn w:val="1"/>
    <w:next w:val="1"/>
    <w:link w:val="49"/>
    <w:autoRedefine/>
    <w:qFormat/>
    <w:uiPriority w:val="0"/>
    <w:pPr>
      <w:adjustRightInd w:val="0"/>
      <w:snapToGrid w:val="0"/>
      <w:jc w:val="center"/>
    </w:pPr>
    <w:rPr>
      <w:kern w:val="0"/>
      <w:sz w:val="22"/>
      <w:szCs w:val="20"/>
    </w:rPr>
  </w:style>
  <w:style w:type="character" w:customStyle="1" w:styleId="51">
    <w:name w:val="日期 字符"/>
    <w:autoRedefine/>
    <w:semiHidden/>
    <w:qFormat/>
    <w:uiPriority w:val="0"/>
    <w:rPr>
      <w:rFonts w:ascii="Times New Roman" w:hAnsi="Times New Roman" w:eastAsia="宋体"/>
      <w:sz w:val="24"/>
    </w:rPr>
  </w:style>
  <w:style w:type="paragraph" w:customStyle="1" w:styleId="52">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普通(网站)2"/>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54">
    <w:name w:val="表头 Char Char"/>
    <w:link w:val="55"/>
    <w:autoRedefine/>
    <w:qFormat/>
    <w:uiPriority w:val="0"/>
    <w:rPr>
      <w:rFonts w:ascii="黑体" w:eastAsia="黑体" w:cs="宋体"/>
      <w:kern w:val="2"/>
      <w:sz w:val="21"/>
    </w:rPr>
  </w:style>
  <w:style w:type="paragraph" w:customStyle="1" w:styleId="55">
    <w:name w:val="表头"/>
    <w:basedOn w:val="1"/>
    <w:link w:val="54"/>
    <w:autoRedefine/>
    <w:qFormat/>
    <w:uiPriority w:val="0"/>
    <w:pPr>
      <w:spacing w:line="500" w:lineRule="exact"/>
      <w:jc w:val="center"/>
    </w:pPr>
    <w:rPr>
      <w:rFonts w:ascii="黑体" w:eastAsia="黑体" w:cs="宋体"/>
      <w:szCs w:val="20"/>
    </w:rPr>
  </w:style>
  <w:style w:type="character" w:customStyle="1" w:styleId="56">
    <w:name w:val="正文YY 字符"/>
    <w:link w:val="57"/>
    <w:autoRedefine/>
    <w:qFormat/>
    <w:uiPriority w:val="0"/>
    <w:rPr>
      <w:rFonts w:ascii="Times New Roman" w:hAnsi="Times New Roman" w:eastAsia="宋体"/>
      <w:sz w:val="26"/>
      <w:szCs w:val="21"/>
    </w:rPr>
  </w:style>
  <w:style w:type="paragraph" w:customStyle="1" w:styleId="57">
    <w:name w:val="正文YY"/>
    <w:basedOn w:val="1"/>
    <w:link w:val="56"/>
    <w:autoRedefine/>
    <w:qFormat/>
    <w:uiPriority w:val="0"/>
    <w:pPr>
      <w:adjustRightInd w:val="0"/>
      <w:snapToGrid w:val="0"/>
      <w:spacing w:line="400" w:lineRule="exact"/>
      <w:ind w:firstLine="200" w:firstLineChars="200"/>
    </w:pPr>
    <w:rPr>
      <w:rFonts w:ascii="Times New Roman" w:hAnsi="Times New Roman" w:eastAsia="宋体"/>
      <w:kern w:val="0"/>
      <w:sz w:val="26"/>
      <w:szCs w:val="21"/>
    </w:rPr>
  </w:style>
  <w:style w:type="paragraph" w:styleId="58">
    <w:name w:val="List Paragraph"/>
    <w:basedOn w:val="1"/>
    <w:link w:val="59"/>
    <w:autoRedefine/>
    <w:qFormat/>
    <w:uiPriority w:val="34"/>
    <w:pPr>
      <w:ind w:firstLine="420" w:firstLineChars="200"/>
    </w:pPr>
    <w:rPr>
      <w:rFonts w:ascii="Calibri" w:hAnsi="Calibri"/>
      <w:szCs w:val="22"/>
    </w:rPr>
  </w:style>
  <w:style w:type="character" w:customStyle="1" w:styleId="59">
    <w:name w:val="列出段落 字符"/>
    <w:link w:val="58"/>
    <w:autoRedefine/>
    <w:qFormat/>
    <w:uiPriority w:val="34"/>
    <w:rPr>
      <w:rFonts w:ascii="Calibri" w:hAnsi="Calibri"/>
      <w:kern w:val="2"/>
      <w:sz w:val="21"/>
      <w:szCs w:val="22"/>
    </w:rPr>
  </w:style>
  <w:style w:type="character" w:customStyle="1" w:styleId="60">
    <w:name w:val="纯文本 字符"/>
    <w:autoRedefine/>
    <w:qFormat/>
    <w:uiPriority w:val="0"/>
    <w:rPr>
      <w:rFonts w:ascii="宋体" w:hAnsi="Courier New" w:cs="Courier New"/>
      <w:kern w:val="2"/>
      <w:sz w:val="21"/>
      <w:szCs w:val="21"/>
    </w:rPr>
  </w:style>
  <w:style w:type="paragraph" w:customStyle="1" w:styleId="61">
    <w:name w:val="表文排版"/>
    <w:basedOn w:val="9"/>
    <w:autoRedefine/>
    <w:qFormat/>
    <w:uiPriority w:val="0"/>
    <w:pPr>
      <w:widowControl w:val="0"/>
      <w:adjustRightInd w:val="0"/>
      <w:spacing w:before="0" w:after="0" w:line="240" w:lineRule="auto"/>
      <w:ind w:right="0"/>
      <w:jc w:val="center"/>
    </w:pPr>
    <w:rPr>
      <w:rFonts w:ascii="Calibri" w:hAnsi="Calibri"/>
      <w:kern w:val="2"/>
      <w:sz w:val="22"/>
      <w:szCs w:val="24"/>
    </w:rPr>
  </w:style>
  <w:style w:type="paragraph" w:customStyle="1" w:styleId="62">
    <w:name w:val="表内字体111"/>
    <w:basedOn w:val="1"/>
    <w:link w:val="63"/>
    <w:autoRedefine/>
    <w:qFormat/>
    <w:uiPriority w:val="0"/>
    <w:pPr>
      <w:adjustRightInd w:val="0"/>
      <w:snapToGrid w:val="0"/>
    </w:pPr>
    <w:rPr>
      <w:snapToGrid w:val="0"/>
      <w:kern w:val="0"/>
      <w:sz w:val="18"/>
    </w:rPr>
  </w:style>
  <w:style w:type="character" w:customStyle="1" w:styleId="63">
    <w:name w:val="表内字体111 Char"/>
    <w:link w:val="62"/>
    <w:autoRedefine/>
    <w:qFormat/>
    <w:uiPriority w:val="0"/>
    <w:rPr>
      <w:snapToGrid/>
      <w:sz w:val="18"/>
      <w:szCs w:val="24"/>
    </w:rPr>
  </w:style>
  <w:style w:type="paragraph" w:customStyle="1" w:styleId="64">
    <w:name w:val="Table Paragraph"/>
    <w:basedOn w:val="1"/>
    <w:autoRedefine/>
    <w:qFormat/>
    <w:uiPriority w:val="1"/>
    <w:pPr>
      <w:jc w:val="left"/>
    </w:pPr>
    <w:rPr>
      <w:rFonts w:ascii="Calibri" w:hAnsi="Calibri"/>
      <w:kern w:val="0"/>
      <w:sz w:val="22"/>
      <w:szCs w:val="22"/>
      <w:lang w:eastAsia="en-US"/>
    </w:rPr>
  </w:style>
  <w:style w:type="paragraph" w:customStyle="1" w:styleId="65">
    <w:name w:val="表名图名YY"/>
    <w:basedOn w:val="8"/>
    <w:link w:val="66"/>
    <w:autoRedefine/>
    <w:qFormat/>
    <w:uiPriority w:val="0"/>
    <w:pPr>
      <w:snapToGrid w:val="0"/>
      <w:jc w:val="center"/>
    </w:pPr>
    <w:rPr>
      <w:sz w:val="22"/>
      <w:szCs w:val="21"/>
    </w:rPr>
  </w:style>
  <w:style w:type="character" w:customStyle="1" w:styleId="66">
    <w:name w:val="表名图名YY 字符"/>
    <w:link w:val="65"/>
    <w:autoRedefine/>
    <w:qFormat/>
    <w:uiPriority w:val="0"/>
    <w:rPr>
      <w:rFonts w:ascii="Times New Roman" w:hAnsi="Times New Roman" w:eastAsia="宋体"/>
      <w:sz w:val="22"/>
      <w:szCs w:val="21"/>
    </w:rPr>
  </w:style>
  <w:style w:type="paragraph" w:customStyle="1" w:styleId="67">
    <w:name w:val="小标题YY"/>
    <w:basedOn w:val="1"/>
    <w:link w:val="68"/>
    <w:autoRedefine/>
    <w:qFormat/>
    <w:uiPriority w:val="0"/>
    <w:pPr>
      <w:autoSpaceDE w:val="0"/>
      <w:autoSpaceDN w:val="0"/>
      <w:adjustRightInd w:val="0"/>
      <w:snapToGrid w:val="0"/>
      <w:spacing w:line="480" w:lineRule="exact"/>
      <w:ind w:firstLine="200" w:firstLineChars="200"/>
    </w:pPr>
    <w:rPr>
      <w:b/>
      <w:kern w:val="0"/>
      <w:szCs w:val="21"/>
    </w:rPr>
  </w:style>
  <w:style w:type="character" w:customStyle="1" w:styleId="68">
    <w:name w:val="小标题YY 字符"/>
    <w:link w:val="67"/>
    <w:autoRedefine/>
    <w:qFormat/>
    <w:uiPriority w:val="0"/>
    <w:rPr>
      <w:b/>
      <w:sz w:val="21"/>
      <w:szCs w:val="21"/>
    </w:rPr>
  </w:style>
  <w:style w:type="character" w:customStyle="1" w:styleId="69">
    <w:name w:val="文本11 Char"/>
    <w:basedOn w:val="27"/>
    <w:link w:val="70"/>
    <w:autoRedefine/>
    <w:qFormat/>
    <w:uiPriority w:val="0"/>
    <w:rPr>
      <w:color w:val="000000"/>
      <w:kern w:val="2"/>
      <w:sz w:val="24"/>
      <w:szCs w:val="24"/>
    </w:rPr>
  </w:style>
  <w:style w:type="paragraph" w:customStyle="1" w:styleId="70">
    <w:name w:val="文本11"/>
    <w:basedOn w:val="1"/>
    <w:link w:val="69"/>
    <w:autoRedefine/>
    <w:qFormat/>
    <w:uiPriority w:val="0"/>
    <w:pPr>
      <w:spacing w:line="360" w:lineRule="auto"/>
      <w:ind w:firstLine="200" w:firstLineChars="200"/>
    </w:pPr>
    <w:rPr>
      <w:color w:val="000000"/>
      <w:sz w:val="24"/>
    </w:rPr>
  </w:style>
  <w:style w:type="paragraph" w:customStyle="1" w:styleId="71">
    <w:name w:val="样式1"/>
    <w:basedOn w:val="1"/>
    <w:link w:val="72"/>
    <w:autoRedefine/>
    <w:qFormat/>
    <w:uiPriority w:val="0"/>
    <w:pPr>
      <w:autoSpaceDE w:val="0"/>
      <w:autoSpaceDN w:val="0"/>
      <w:adjustRightInd w:val="0"/>
      <w:jc w:val="center"/>
      <w:textAlignment w:val="baseline"/>
    </w:pPr>
    <w:rPr>
      <w:szCs w:val="26"/>
    </w:rPr>
  </w:style>
  <w:style w:type="character" w:customStyle="1" w:styleId="72">
    <w:name w:val="样式1 Char Char"/>
    <w:link w:val="71"/>
    <w:autoRedefine/>
    <w:qFormat/>
    <w:uiPriority w:val="0"/>
    <w:rPr>
      <w:kern w:val="2"/>
      <w:sz w:val="21"/>
      <w:szCs w:val="26"/>
    </w:rPr>
  </w:style>
  <w:style w:type="character" w:customStyle="1" w:styleId="73">
    <w:name w:val="【正文】 Char"/>
    <w:link w:val="74"/>
    <w:autoRedefine/>
    <w:qFormat/>
    <w:locked/>
    <w:uiPriority w:val="0"/>
    <w:rPr>
      <w:rFonts w:eastAsia="宋体"/>
      <w:kern w:val="2"/>
      <w:sz w:val="26"/>
      <w:lang w:val="zh-CN"/>
    </w:rPr>
  </w:style>
  <w:style w:type="paragraph" w:customStyle="1" w:styleId="74">
    <w:name w:val="【正文】"/>
    <w:basedOn w:val="1"/>
    <w:link w:val="73"/>
    <w:autoRedefine/>
    <w:qFormat/>
    <w:uiPriority w:val="0"/>
    <w:pPr>
      <w:spacing w:line="400" w:lineRule="exact"/>
      <w:ind w:firstLine="200" w:firstLineChars="200"/>
    </w:pPr>
    <w:rPr>
      <w:sz w:val="26"/>
      <w:szCs w:val="20"/>
      <w:lang w:val="zh-CN"/>
    </w:rPr>
  </w:style>
  <w:style w:type="table" w:customStyle="1" w:styleId="75">
    <w:name w:val="Table Normal"/>
    <w:autoRedefine/>
    <w:semiHidden/>
    <w:qFormat/>
    <w:uiPriority w:val="2"/>
    <w:pPr>
      <w:widowControl w:val="0"/>
      <w:autoSpaceDE w:val="0"/>
      <w:autoSpaceDN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paragraph" w:customStyle="1" w:styleId="7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7">
    <w:name w:val="正 文 Char"/>
    <w:link w:val="78"/>
    <w:autoRedefine/>
    <w:qFormat/>
    <w:locked/>
    <w:uiPriority w:val="0"/>
    <w:rPr>
      <w:sz w:val="28"/>
      <w:szCs w:val="21"/>
    </w:rPr>
  </w:style>
  <w:style w:type="paragraph" w:customStyle="1" w:styleId="78">
    <w:name w:val="正 文"/>
    <w:basedOn w:val="1"/>
    <w:link w:val="77"/>
    <w:autoRedefine/>
    <w:qFormat/>
    <w:uiPriority w:val="0"/>
    <w:pPr>
      <w:adjustRightInd w:val="0"/>
      <w:snapToGrid w:val="0"/>
      <w:spacing w:line="348" w:lineRule="auto"/>
      <w:ind w:firstLine="200" w:firstLineChars="200"/>
      <w:jc w:val="left"/>
    </w:pPr>
    <w:rPr>
      <w:kern w:val="0"/>
      <w:sz w:val="28"/>
      <w:szCs w:val="21"/>
    </w:rPr>
  </w:style>
  <w:style w:type="character" w:customStyle="1" w:styleId="79">
    <w:name w:val="目录 1 字符"/>
    <w:link w:val="18"/>
    <w:autoRedefine/>
    <w:qFormat/>
    <w:locked/>
    <w:uiPriority w:val="39"/>
    <w:rPr>
      <w:b/>
      <w:sz w:val="26"/>
      <w:szCs w:val="26"/>
    </w:rPr>
  </w:style>
  <w:style w:type="character" w:customStyle="1" w:styleId="80">
    <w:name w:val="副标题 字符"/>
    <w:link w:val="19"/>
    <w:autoRedefine/>
    <w:qFormat/>
    <w:locked/>
    <w:uiPriority w:val="11"/>
    <w:rPr>
      <w:bCs/>
      <w:kern w:val="28"/>
      <w:sz w:val="22"/>
      <w:szCs w:val="32"/>
      <w:lang w:val="zh-CN" w:eastAsia="zh-CN"/>
    </w:rPr>
  </w:style>
  <w:style w:type="paragraph" w:customStyle="1" w:styleId="81">
    <w:name w:val="表格YY"/>
    <w:basedOn w:val="1"/>
    <w:autoRedefine/>
    <w:qFormat/>
    <w:uiPriority w:val="0"/>
    <w:pPr>
      <w:snapToGrid w:val="0"/>
      <w:jc w:val="center"/>
    </w:pPr>
    <w:rPr>
      <w:kern w:val="0"/>
      <w:sz w:val="22"/>
      <w:szCs w:val="28"/>
    </w:rPr>
  </w:style>
  <w:style w:type="character" w:customStyle="1" w:styleId="82">
    <w:name w:val="正文文本缩进 2 字符"/>
    <w:basedOn w:val="27"/>
    <w:link w:val="14"/>
    <w:autoRedefine/>
    <w:qFormat/>
    <w:uiPriority w:val="0"/>
    <w:rPr>
      <w:rFonts w:ascii="Times New Roman" w:hAnsi="Times New Roman" w:eastAsia="宋体"/>
      <w:kern w:val="2"/>
      <w:sz w:val="26"/>
      <w:szCs w:val="24"/>
    </w:rPr>
  </w:style>
  <w:style w:type="paragraph" w:customStyle="1" w:styleId="83">
    <w:name w:val="样式 13 磅 行距: 固定值 23 磅 首行缩进:  2 字符"/>
    <w:basedOn w:val="1"/>
    <w:autoRedefine/>
    <w:qFormat/>
    <w:uiPriority w:val="0"/>
    <w:pPr>
      <w:spacing w:line="460" w:lineRule="exact"/>
      <w:ind w:firstLine="520" w:firstLineChars="200"/>
    </w:pPr>
    <w:rPr>
      <w:rFonts w:cs="宋体"/>
      <w:sz w:val="26"/>
      <w:szCs w:val="20"/>
    </w:rPr>
  </w:style>
  <w:style w:type="paragraph" w:customStyle="1" w:styleId="84">
    <w:name w:val="表格文字五号"/>
    <w:basedOn w:val="1"/>
    <w:autoRedefine/>
    <w:qFormat/>
    <w:uiPriority w:val="0"/>
    <w:pPr>
      <w:autoSpaceDE w:val="0"/>
      <w:autoSpaceDN w:val="0"/>
      <w:spacing w:line="240" w:lineRule="auto"/>
      <w:ind w:left="0" w:firstLine="0" w:firstLineChars="0"/>
      <w:jc w:val="center"/>
    </w:pPr>
    <w:rPr>
      <w:rFonts w:cs="Calibri"/>
      <w:sz w:val="21"/>
      <w:szCs w:val="21"/>
    </w:rPr>
  </w:style>
  <w:style w:type="character" w:customStyle="1" w:styleId="85">
    <w:name w:val="标题 4 字符"/>
    <w:basedOn w:val="27"/>
    <w:link w:val="2"/>
    <w:qFormat/>
    <w:uiPriority w:val="0"/>
    <w:rPr>
      <w:rFonts w:ascii="等线 Light" w:hAnsi="等线 Light" w:eastAsia="等线 Light" w:cs="Times New Roman"/>
      <w:b/>
      <w:bCs/>
      <w:kern w:val="2"/>
      <w:sz w:val="28"/>
      <w:szCs w:val="28"/>
    </w:rPr>
  </w:style>
  <w:style w:type="paragraph" w:customStyle="1" w:styleId="86">
    <w:name w:val="表格Amo"/>
    <w:basedOn w:val="1"/>
    <w:qFormat/>
    <w:uiPriority w:val="0"/>
    <w:pPr>
      <w:snapToGrid w:val="0"/>
      <w:spacing w:line="240" w:lineRule="auto"/>
      <w:ind w:firstLine="0" w:firstLineChars="0"/>
      <w:jc w:val="center"/>
    </w:pPr>
    <w:rPr>
      <w:rFonts w:ascii="Times New Roman" w:hAnsi="Times New Roman" w:eastAsia="宋体"/>
      <w:kern w:val="0"/>
      <w:sz w:val="22"/>
      <w:szCs w:val="28"/>
    </w:rPr>
  </w:style>
  <w:style w:type="paragraph" w:customStyle="1" w:styleId="87">
    <w:name w:val="表格名称"/>
    <w:basedOn w:val="1"/>
    <w:qFormat/>
    <w:uiPriority w:val="0"/>
    <w:pPr>
      <w:spacing w:line="360" w:lineRule="auto"/>
      <w:ind w:firstLine="200" w:firstLineChars="200"/>
      <w:jc w:val="center"/>
    </w:pPr>
    <w:rPr>
      <w:rFonts w:eastAsiaTheme="minorEastAsia" w:cstheme="minorBidi"/>
      <w:b/>
      <w:sz w:val="24"/>
      <w:szCs w:val="22"/>
    </w:rPr>
  </w:style>
  <w:style w:type="paragraph" w:customStyle="1" w:styleId="88">
    <w:name w:val="图表"/>
    <w:basedOn w:val="1"/>
    <w:qFormat/>
    <w:uiPriority w:val="0"/>
    <w:pPr>
      <w:widowControl/>
      <w:jc w:val="center"/>
    </w:pPr>
    <w:rPr>
      <w:rFonts w:ascii="宋体" w:hAnsi="宋体"/>
      <w:bCs/>
      <w:kern w:val="0"/>
      <w:szCs w:val="21"/>
    </w:rPr>
  </w:style>
  <w:style w:type="character" w:customStyle="1" w:styleId="89">
    <w:name w:val="font21"/>
    <w:basedOn w:val="27"/>
    <w:qFormat/>
    <w:uiPriority w:val="0"/>
    <w:rPr>
      <w:rFonts w:hint="default" w:ascii="Times New Roman" w:hAnsi="Times New Roman" w:cs="Times New Roman"/>
      <w:color w:val="7030A0"/>
      <w:sz w:val="21"/>
      <w:szCs w:val="21"/>
      <w:u w:val="none"/>
    </w:rPr>
  </w:style>
  <w:style w:type="character" w:customStyle="1" w:styleId="90">
    <w:name w:val="font11"/>
    <w:basedOn w:val="27"/>
    <w:qFormat/>
    <w:uiPriority w:val="0"/>
    <w:rPr>
      <w:rFonts w:hint="eastAsia" w:ascii="宋体" w:hAnsi="宋体" w:eastAsia="宋体" w:cs="宋体"/>
      <w:color w:val="7030A0"/>
      <w:sz w:val="21"/>
      <w:szCs w:val="21"/>
      <w:u w:val="none"/>
    </w:rPr>
  </w:style>
  <w:style w:type="paragraph" w:customStyle="1" w:styleId="91">
    <w:name w:val="表格M"/>
    <w:basedOn w:val="1"/>
    <w:autoRedefine/>
    <w:qFormat/>
    <w:uiPriority w:val="0"/>
    <w:pPr>
      <w:snapToGrid w:val="0"/>
      <w:jc w:val="center"/>
    </w:pPr>
    <w:rPr>
      <w:kern w:val="0"/>
      <w:sz w:val="22"/>
      <w:szCs w:val="28"/>
    </w:rPr>
  </w:style>
  <w:style w:type="character" w:customStyle="1" w:styleId="92">
    <w:name w:val="font61"/>
    <w:basedOn w:val="27"/>
    <w:qFormat/>
    <w:uiPriority w:val="0"/>
    <w:rPr>
      <w:rFonts w:hint="default" w:ascii="Times New Roman" w:hAnsi="Times New Roman" w:cs="Times New Roman"/>
      <w:b/>
      <w:bCs/>
      <w:color w:val="0000FF"/>
      <w:sz w:val="20"/>
      <w:szCs w:val="20"/>
      <w:u w:val="none"/>
      <w:vertAlign w:val="superscript"/>
    </w:rPr>
  </w:style>
  <w:style w:type="character" w:customStyle="1" w:styleId="93">
    <w:name w:val="font41"/>
    <w:basedOn w:val="27"/>
    <w:qFormat/>
    <w:uiPriority w:val="0"/>
    <w:rPr>
      <w:rFonts w:hint="eastAsia" w:ascii="宋体" w:hAnsi="宋体" w:eastAsia="宋体" w:cs="宋体"/>
      <w:color w:val="0000FF"/>
      <w:sz w:val="20"/>
      <w:szCs w:val="20"/>
      <w:u w:val="none"/>
    </w:rPr>
  </w:style>
  <w:style w:type="character" w:customStyle="1" w:styleId="94">
    <w:name w:val="font71"/>
    <w:basedOn w:val="27"/>
    <w:qFormat/>
    <w:uiPriority w:val="0"/>
    <w:rPr>
      <w:rFonts w:hint="default" w:ascii="Times New Roman" w:hAnsi="Times New Roman" w:cs="Times New Roman"/>
      <w:color w:val="0000FF"/>
      <w:sz w:val="20"/>
      <w:szCs w:val="20"/>
      <w:u w:val="none"/>
      <w:vertAlign w:val="superscript"/>
    </w:rPr>
  </w:style>
  <w:style w:type="character" w:customStyle="1" w:styleId="95">
    <w:name w:val="font51"/>
    <w:basedOn w:val="27"/>
    <w:qFormat/>
    <w:uiPriority w:val="0"/>
    <w:rPr>
      <w:rFonts w:hint="default" w:ascii="Times New Roman" w:hAnsi="Times New Roman" w:cs="Times New Roman"/>
      <w:color w:val="0000FF"/>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5.bin"/><Relationship Id="rId17" Type="http://schemas.openxmlformats.org/officeDocument/2006/relationships/image" Target="media/image6.emf"/><Relationship Id="rId16" Type="http://schemas.openxmlformats.org/officeDocument/2006/relationships/oleObject" Target="embeddings/oleObject4.bin"/><Relationship Id="rId15" Type="http://schemas.openxmlformats.org/officeDocument/2006/relationships/image" Target="media/image5.emf"/><Relationship Id="rId14" Type="http://schemas.openxmlformats.org/officeDocument/2006/relationships/oleObject" Target="embeddings/oleObject3.bin"/><Relationship Id="rId13" Type="http://schemas.openxmlformats.org/officeDocument/2006/relationships/image" Target="media/image4.emf"/><Relationship Id="rId12" Type="http://schemas.openxmlformats.org/officeDocument/2006/relationships/oleObject" Target="embeddings/oleObject2.bin"/><Relationship Id="rId11" Type="http://schemas.openxmlformats.org/officeDocument/2006/relationships/image" Target="media/image3.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3.xml><?xml version="1.0" encoding="utf-8"?>
<contractReview xmlns="http://schemas.wps.cn/vas-ai-hub/contract-review">
  <reviewItems xmlns="http://schemas.wps.cn/vas-ai-hub/contract-review">
    <reviewItem xmlns="http://schemas.wps.cn/vas-ai-hub/contract-review">
      <errorID xmlns="http://schemas.wps.cn/vas-ai-hub/contract-review">c56c5778-0e99-42de-9953-8330f279775e</errorID>
      <errorWord xmlns="http://schemas.wps.cn/vas-ai-hub/contract-review">无需设置</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无须设置</item>
      </candidateList>
      <explain xmlns="http://schemas.wps.cn/vas-ai-hub/contract-review">词汇[无需设置]为不规范表述或旧称，其规范书面表述为[无须设置]。</explain>
      <paraID xmlns="http://schemas.wps.cn/vas-ai-hub/contract-review">34CC1CDA</paraID>
      <start xmlns="http://schemas.wps.cn/vas-ai-hub/contract-review">0</start>
      <end xmlns="http://schemas.wps.cn/vas-ai-hub/contract-review">4</end>
      <status xmlns="http://schemas.wps.cn/vas-ai-hub/contract-review">modified</status>
      <modifiedWord xmlns="http://schemas.wps.cn/vas-ai-hub/contract-review">无须设置</modifiedWord>
      <trackRevisions xmlns="http://schemas.wps.cn/vas-ai-hub/contract-review">false</trackRevisions>
    </reviewItem>
    <reviewItem xmlns="http://schemas.wps.cn/vas-ai-hub/contract-review">
      <errorID xmlns="http://schemas.wps.cn/vas-ai-hub/contract-review">e800edb1-a42a-4b78-b47f-e0e22873a4e8</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3A05CF70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2083ec0d-d827-468a-928a-fcd146216527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49853EA6</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717d58db-300e-41b9-8bbc-bd8d1d385a97</errorID>
      <errorWord xmlns="http://schemas.wps.cn/vas-ai-hub/contract-review">[2022]379号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〔2022〕379号</item>
      </candidateList>
      <explain xmlns="http://schemas.wps.cn/vas-ai-hub/contract-review">发文字号格式错误。</explain>
      <paraID xmlns="http://schemas.wps.cn/vas-ai-hub/contract-review">223764DD</paraID>
      <start xmlns="http://schemas.wps.cn/vas-ai-hub/contract-review">50</start>
      <end xmlns="http://schemas.wps.cn/vas-ai-hub/contract-review">60</end>
      <status xmlns="http://schemas.wps.cn/vas-ai-hub/contract-review">modified</status>
      <modifiedWord xmlns="http://schemas.wps.cn/vas-ai-hub/contract-review">〔2022〕379号</modifiedWord>
      <trackRevisions xmlns="http://schemas.wps.cn/vas-ai-hub/contract-review">false</trackRevisions>
    </reviewItem>
    <reviewItem xmlns="http://schemas.wps.cn/vas-ai-hub/contract-review">
      <errorID xmlns="http://schemas.wps.cn/vas-ai-hub/contract-review">c9d2208c-101c-44d6-bdc2-e5f5b646c7e3</errorID>
      <errorWord xmlns="http://schemas.wps.cn/vas-ai-hub/contract-review">实施</errorWord>
      <group xmlns="http://schemas.wps.cn/vas-ai-hub/contract-review">L1_Grammar</group>
      <groupName xmlns="http://schemas.wps.cn/vas-ai-hub/contract-review">语法问题</groupName>
      <ability xmlns="http://schemas.wps.cn/vas-ai-hub/contract-review">L2_Collocation</ability>
      <abilityName xmlns="http://schemas.wps.cn/vas-ai-hub/contract-review">搭配不当</abilityName>
      <candidateList xmlns="http://schemas.wps.cn/vas-ai-hub/contract-review">
        <item xmlns="http://schemas.wps.cn/vas-ai-hub/contract-review">调整</item>
      </candidateList>
      <explain xmlns="http://schemas.wps.cn/vas-ai-hub/contract-review">句子中可能存在主谓、动宾、定语中心语、状语中心语、补语中心语、关联词搭配不当等问题。</explain>
      <paraID xmlns="http://schemas.wps.cn/vas-ai-hub/contract-review">7493F381</paraID>
      <start xmlns="http://schemas.wps.cn/vas-ai-hub/contract-review">117</start>
      <end xmlns="http://schemas.wps.cn/vas-ai-hub/contract-review">119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217edb72-8711-4f90-848f-1b74b3b141e1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76B02AAF</paraID>
      <start xmlns="http://schemas.wps.cn/vas-ai-hub/contract-review">176</start>
      <end xmlns="http://schemas.wps.cn/vas-ai-hub/contract-review">177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d3710025-1abb-4fb0-a7f5-dcd105e3594a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item>
      </candidateList>
      <explain xmlns="http://schemas.wps.cn/vas-ai-hub/contract-review"/>
      <paraID xmlns="http://schemas.wps.cn/vas-ai-hub/contract-review">5DC615E4</paraID>
      <start xmlns="http://schemas.wps.cn/vas-ai-hub/contract-review">38</start>
      <end xmlns="http://schemas.wps.cn/vas-ai-hub/contract-review">40</end>
      <status xmlns="http://schemas.wps.cn/vas-ai-hub/contract-review">modified</status>
      <modifiedWord xmlns="http://schemas.wps.cn/vas-ai-hub/contract-review">；本</modifiedWord>
      <trackRevisions xmlns="http://schemas.wps.cn/vas-ai-hub/contract-review">false</trackRevisions>
    </reviewItem>
    <reviewItem xmlns="http://schemas.wps.cn/vas-ai-hub/contract-review">
      <errorID xmlns="http://schemas.wps.cn/vas-ai-hub/contract-review">778b13f9-f09e-454b-b9a9-c53f66df5278</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3EB54226</paraID>
      <start xmlns="http://schemas.wps.cn/vas-ai-hub/contract-review">100</start>
      <end xmlns="http://schemas.wps.cn/vas-ai-hub/contract-review">101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4ab25a56-42c1-44db-8bd5-7d33136533da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3EB54226</paraID>
      <start xmlns="http://schemas.wps.cn/vas-ai-hub/contract-review">189</start>
      <end xmlns="http://schemas.wps.cn/vas-ai-hub/contract-review">190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eb4c7fce-d239-4eba-9d4b-31b0ca2cbf2d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3EB54226</paraID>
      <start xmlns="http://schemas.wps.cn/vas-ai-hub/contract-review">201</start>
      <end xmlns="http://schemas.wps.cn/vas-ai-hub/contract-review">202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65cac394-b636-49fe-9da6-9f0d9d68f4f1</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 E515904</paraID>
      <start xmlns="http://schemas.wps.cn/vas-ai-hub/contract-review">61</start>
      <end xmlns="http://schemas.wps.cn/vas-ai-hub/contract-review">63</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67b14258-e534-4047-b449-0ed48b3e009d</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；本</item>
      </candidateList>
      <explain xmlns="http://schemas.wps.cn/vas-ai-hub/contract-review"/>
      <paraID xmlns="http://schemas.wps.cn/vas-ai-hub/contract-review">7263EE25</paraID>
      <start xmlns="http://schemas.wps.cn/vas-ai-hub/contract-review">65</start>
      <end xmlns="http://schemas.wps.cn/vas-ai-hub/contract-review">67</end>
      <status xmlns="http://schemas.wps.cn/vas-ai-hub/contract-review">modified</status>
      <modifiedWord xmlns="http://schemas.wps.cn/vas-ai-hub/contract-review">；本</modifiedWord>
      <trackRevisions xmlns="http://schemas.wps.cn/vas-ai-hub/contract-review">false</trackRevisions>
    </reviewItem>
    <reviewItem xmlns="http://schemas.wps.cn/vas-ai-hub/contract-review">
      <errorID xmlns="http://schemas.wps.cn/vas-ai-hub/contract-review">184ca66b-7ff5-4af6-a62e-51518bf5de54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319D1CB2</paraID>
      <start xmlns="http://schemas.wps.cn/vas-ai-hub/contract-review">86</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dc7371ca-04c8-4ba5-b744-1338ca089c77</errorID>
      <errorWord xmlns="http://schemas.wps.cn/vas-ai-hub/contract-review">中共中央国务院</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中共中央、国务院</item>
      </candidateList>
      <explain xmlns="http://schemas.wps.cn/vas-ai-hub/contract-review">注意检查当前固定表述标点是否使用规范。</explain>
      <paraID xmlns="http://schemas.wps.cn/vas-ai-hub/contract-review"> DE2E9FA</paraID>
      <start xmlns="http://schemas.wps.cn/vas-ai-hub/contract-review">11</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6f5dd98f-3fae-4efa-acdd-2747c4d046c4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50B11E63</paraID>
      <start xmlns="http://schemas.wps.cn/vas-ai-hub/contract-review">90</start>
      <end xmlns="http://schemas.wps.cn/vas-ai-hub/contract-review">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e6f518f2-7fbc-4ddb-a4b0-7677f0808da3</errorID>
      <errorWord xmlns="http://schemas.wps.cn/vas-ai-hub/contract-review">的环境影响评价</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声环境影响评价</item>
      </candidateList>
      <explain xmlns="http://schemas.wps.cn/vas-ai-hub/contract-review"/>
      <paraID xmlns="http://schemas.wps.cn/vas-ai-hub/contract-review">61209CA0</paraID>
      <start xmlns="http://schemas.wps.cn/vas-ai-hub/contract-review">158</start>
      <end xmlns="http://schemas.wps.cn/vas-ai-hub/contract-review">165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74a2cdcf-09f6-46e4-b518-106636b5f1bd</errorID>
      <errorWord xmlns="http://schemas.wps.cn/vas-ai-hub/contract-review">[2005]40号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〔2005〕40号</item>
      </candidateList>
      <explain xmlns="http://schemas.wps.cn/vas-ai-hub/contract-review">发文字号格式错误。</explain>
      <paraID xmlns="http://schemas.wps.cn/vas-ai-hub/contract-review">75BB6A80</paraID>
      <start xmlns="http://schemas.wps.cn/vas-ai-hub/contract-review">115</start>
      <end xmlns="http://schemas.wps.cn/vas-ai-hub/contract-review">124</end>
      <status xmlns="http://schemas.wps.cn/vas-ai-hub/contract-review">modified</status>
      <modifiedWord xmlns="http://schemas.wps.cn/vas-ai-hub/contract-review">〔2005〕40号</modifiedWord>
      <trackRevisions xmlns="http://schemas.wps.cn/vas-ai-hub/contract-review">false</trackRevisions>
    </reviewItem>
    <reviewItem xmlns="http://schemas.wps.cn/vas-ai-hub/contract-review">
      <errorID xmlns="http://schemas.wps.cn/vas-ai-hub/contract-review">2ac1e027-5bee-4c0b-929b-f1ee3b9456e4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75BB6A80</paraID>
      <start xmlns="http://schemas.wps.cn/vas-ai-hub/contract-review">128</start>
      <end xmlns="http://schemas.wps.cn/vas-ai-hub/contract-review">129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004cc3ee-7db6-4000-9c75-654de9e1bb8f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75BB6A80</paraID>
      <start xmlns="http://schemas.wps.cn/vas-ai-hub/contract-review">151</start>
      <end xmlns="http://schemas.wps.cn/vas-ai-hub/contract-review">155</end>
      <status xmlns="http://schemas.wps.cn/vas-ai-hub/contract-review">modified</status>
      <modifiedWord xmlns="http://schemas.wps.cn/vas-ai-hub/contract-review">法律法规</modifiedWord>
      <trackRevisions xmlns="http://schemas.wps.cn/vas-ai-hub/contract-review">false</trackRevisions>
    </reviewItem>
    <reviewItem xmlns="http://schemas.wps.cn/vas-ai-hub/contract-review">
      <errorID xmlns="http://schemas.wps.cn/vas-ai-hub/contract-review">f4cc221b-ba62-4120-b33d-651c59249482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717DA1CB</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c8c8c4a2-2167-407d-895d-4a7a32b4e658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4D503982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ddea71d3-981c-42f0-bd98-046d4b743c62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708A6E5B</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b5770b71-2e70-4745-b19b-13fc1e8cfb2f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7519BDD8</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bd9ee0af-307a-40c2-8967-4be145144a7a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7ADB0E4C</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392ea6ef-2ed5-4745-ae61-6c1cc99f2a2b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650653A9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87b57671-af58-49a3-bc15-c3d8a52578a0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3F105039</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a97e9f19-7893-4b35-8adf-263e400b0180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4F7B5A0A</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54cc5f38-66d1-480f-87f8-cb4cbda48602</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27F13A27</paraID>
      <start xmlns="http://schemas.wps.cn/vas-ai-hub/contract-review">0</start>
      <end xmlns="http://schemas.wps.cn/vas-ai-hub/contract-review">2</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e308ffd4-5e6d-47e1-a1a9-03b1cd343759</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77141EE8</paraID>
      <start xmlns="http://schemas.wps.cn/vas-ai-hub/contract-review">0</start>
      <end xmlns="http://schemas.wps.cn/vas-ai-hub/contract-review">2</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b2985c32-9591-4f49-9bab-3ae1f1943d41</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E54D5BE</paraID>
      <start xmlns="http://schemas.wps.cn/vas-ai-hub/contract-review">0</start>
      <end xmlns="http://schemas.wps.cn/vas-ai-hub/contract-review">2</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a3ba3a7b-ccc5-4a25-80d9-e4e498c55b60</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4F464F4A</paraID>
      <start xmlns="http://schemas.wps.cn/vas-ai-hub/contract-review">0</start>
      <end xmlns="http://schemas.wps.cn/vas-ai-hub/contract-review">2</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9bd555ea-c53b-42e7-94d9-4e63cf6f0b30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57261489</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de89e174-ae87-4b13-9283-695a3561651d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7C729CC2</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48b39dff-fa1a-450d-b063-78cf130a969a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457F65FB</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a83ec518-90be-4774-b665-de680cded4fc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BFAECB</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f12e30a5-4085-425d-9254-c669e8504a19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48B83F93</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9bf5b568-1b08-4cfa-8be6-c855e2dcf78b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3F14001F</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066db62d-548c-4d77-9d66-cba2433c030e</errorID>
      <errorWord xmlns="http://schemas.wps.cn/vas-ai-hub/contract-review">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胜区</item>
      </candidateList>
      <explain xmlns="http://schemas.wps.cn/vas-ai-hub/contract-review"/>
      <paraID xmlns="http://schemas.wps.cn/vas-ai-hub/contract-review">240E6286</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19064edf-ef2b-412f-93d2-2dc29d3c91e6</errorID>
      <errorWord xmlns="http://schemas.wps.cn/vas-ai-hub/contract-review">命令禁止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明令禁止</item>
      </candidateList>
      <explain xmlns="http://schemas.wps.cn/vas-ai-hub/contract-review"/>
      <paraID xmlns="http://schemas.wps.cn/vas-ai-hub/contract-review">49AFA3DB</paraID>
      <start xmlns="http://schemas.wps.cn/vas-ai-hub/contract-review">16</start>
      <end xmlns="http://schemas.wps.cn/vas-ai-hub/contract-review">20</end>
      <status xmlns="http://schemas.wps.cn/vas-ai-hub/contract-review">modified</status>
      <modifiedWord xmlns="http://schemas.wps.cn/vas-ai-hub/contract-review">明令禁止</modifiedWord>
      <trackRevisions xmlns="http://schemas.wps.cn/vas-ai-hub/contract-review">false</trackRevisions>
    </reviewItem>
    <reviewItem xmlns="http://schemas.wps.cn/vas-ai-hub/contract-review">
      <errorID xmlns="http://schemas.wps.cn/vas-ai-hub/contract-review">08333e4f-1507-4048-b745-9326ba82aa79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70D1EBC7</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c876c314-dcbb-4fc3-b3fc-b38ec501ec06</errorID>
      <errorWord xmlns="http://schemas.wps.cn/vas-ai-hub/contract-review">[2022]17号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〔2022〕17号</item>
      </candidateList>
      <explain xmlns="http://schemas.wps.cn/vas-ai-hub/contract-review">发文字号格式错误。</explain>
      <paraID xmlns="http://schemas.wps.cn/vas-ai-hub/contract-review">70D1EBC7</paraID>
      <start xmlns="http://schemas.wps.cn/vas-ai-hub/contract-review">46</start>
      <end xmlns="http://schemas.wps.cn/vas-ai-hub/contract-review">55</end>
      <status xmlns="http://schemas.wps.cn/vas-ai-hub/contract-review">modified</status>
      <modifiedWord xmlns="http://schemas.wps.cn/vas-ai-hub/contract-review">〔2022〕17号</modifiedWord>
      <trackRevisions xmlns="http://schemas.wps.cn/vas-ai-hub/contract-review">false</trackRevisions>
    </reviewItem>
    <reviewItem xmlns="http://schemas.wps.cn/vas-ai-hub/contract-review">
      <errorID xmlns="http://schemas.wps.cn/vas-ai-hub/contract-review">4b65504d-cfee-49b2-a9a5-273ff04392a4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428EFF4E</paraID>
      <start xmlns="http://schemas.wps.cn/vas-ai-hub/contract-review">64</start>
      <end xmlns="http://schemas.wps.cn/vas-ai-hub/contract-review">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45c943f8-bbd7-4aab-b378-c9ac6dd3e413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428EFF4E</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8a45d1c0-fe23-4c74-a494-0cc642eb4828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2AECB339</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ca5e69e2-963b-4ee3-aace-1ca95a7b461f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2AECB339</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0a5899aa-457a-4346-a13a-98e60ac37407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2AECB339</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20824a8b-a06b-4e91-8b74-fc446b966f40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2AECB339</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94eaeecc-b83d-4700-aa54-960668dd9326</errorID>
      <errorWord xmlns="http://schemas.wps.cn/vas-ai-hub/contract-review">水源准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水源</item>
      </candidateList>
      <explain xmlns="http://schemas.wps.cn/vas-ai-hub/contract-review"/>
      <paraID xmlns="http://schemas.wps.cn/vas-ai-hub/contract-review"> 4318A08</paraID>
      <start xmlns="http://schemas.wps.cn/vas-ai-hub/contract-review">10</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3587fa97-9ac2-4723-ad23-f61d1691612b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508D1FC8</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9ec9feab-8392-4b6d-af08-b73d79ea15dc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7BCA0C6D</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324c13fb-56d8-4dc5-a287-70940403b86e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7BCA0C6D</paraID>
      <start xmlns="http://schemas.wps.cn/vas-ai-hub/contract-review">69</start>
      <end xmlns="http://schemas.wps.cn/vas-ai-hub/contract-review">70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870ed122-d97c-40c3-872f-7bf409202c30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7BCA0C6D</paraID>
      <start xmlns="http://schemas.wps.cn/vas-ai-hub/contract-review">85</start>
      <end xmlns="http://schemas.wps.cn/vas-ai-hub/contract-review">86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f2e73893-60cd-46e6-9662-410f9d080bc3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7BCA0C6D</paraID>
      <start xmlns="http://schemas.wps.cn/vas-ai-hub/contract-review">146</start>
      <end xmlns="http://schemas.wps.cn/vas-ai-hub/contract-review">147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c33cae94-6701-49a6-bfed-d0aa2e422830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15D9BD75</paraID>
      <start xmlns="http://schemas.wps.cn/vas-ai-hub/contract-review">58</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893155ca-cde0-4a95-966b-78b48e25f084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647B3876</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81741e98-3538-4046-b9d6-fa2a96596be0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d9013a90-168d-4562-bfcf-fbef954287fb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ddb06a3f-42e7-4a7c-9db5-fb136865ccfb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0b9b152a-7ff2-4281-bd61-09d371a25a7c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91</start>
      <end xmlns="http://schemas.wps.cn/vas-ai-hub/contract-review">92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f8380f7f-98b7-477d-bbfc-0b8752ea3bcd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93</start>
      <end xmlns="http://schemas.wps.cn/vas-ai-hub/contract-review">94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7f2e8cb7-dcc1-46fd-a5c1-1aab8b144c03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119</start>
      <end xmlns="http://schemas.wps.cn/vas-ai-hub/contract-review">120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a788fa1b-d5d3-47e7-8b7a-0036d2e9ced5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11AA71CC</paraID>
      <start xmlns="http://schemas.wps.cn/vas-ai-hub/contract-review">147</start>
      <end xmlns="http://schemas.wps.cn/vas-ai-hub/contract-review">148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b49025be-5e66-4b61-b7c7-380721ba7baa</errorID>
      <errorWord xmlns="http://schemas.wps.cn/vas-ai-hub/contract-review">项目为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451A11D1</paraID>
      <start xmlns="http://schemas.wps.cn/vas-ai-hub/contract-review">1</start>
      <end xmlns="http://schemas.wps.cn/vas-ai-hub/contract-review">3</end>
      <status xmlns="http://schemas.wps.cn/vas-ai-hub/contract-review">modified</status>
      <modifiedWord xmlns="http://schemas.wps.cn/vas-ai-hub/contract-review">项目</modifiedWord>
      <trackRevisions xmlns="http://schemas.wps.cn/vas-ai-hub/contract-review">false</trackRevisions>
    </reviewItem>
    <reviewItem xmlns="http://schemas.wps.cn/vas-ai-hub/contract-review">
      <errorID xmlns="http://schemas.wps.cn/vas-ai-hub/contract-review">e34df637-3af3-423b-baf9-0f54e60f1456</errorID>
      <errorWord xmlns="http://schemas.wps.cn/vas-ai-hub/contract-review">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用水</item>
      </candidateList>
      <explain xmlns="http://schemas.wps.cn/vas-ai-hub/contract-review"/>
      <paraID xmlns="http://schemas.wps.cn/vas-ai-hub/contract-review">780DEB56</paraID>
      <start xmlns="http://schemas.wps.cn/vas-ai-hub/contract-review">36</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cc99f541-a228-4c57-8683-099592c628e6</errorID>
      <errorWord xmlns="http://schemas.wps.cn/vas-ai-hub/contract-review">涉及到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3B536A70</paraID>
      <start xmlns="http://schemas.wps.cn/vas-ai-hub/contract-review">5</start>
      <end xmlns="http://schemas.wps.cn/vas-ai-hub/contract-review">7</end>
      <status xmlns="http://schemas.wps.cn/vas-ai-hub/contract-review">modified</status>
      <modifiedWord xmlns="http://schemas.wps.cn/vas-ai-hub/contract-review">涉及</modifiedWord>
      <trackRevisions xmlns="http://schemas.wps.cn/vas-ai-hub/contract-review">false</trackRevisions>
    </reviewItem>
    <reviewItem xmlns="http://schemas.wps.cn/vas-ai-hub/contract-review">
      <errorID xmlns="http://schemas.wps.cn/vas-ai-hub/contract-review">817f01a4-a68d-4562-92c3-1fae3a0f951f</errorID>
      <errorWord xmlns="http://schemas.wps.cn/vas-ai-hub/contract-review">[2022]0014号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〔2022〕14号</item>
      </candidateList>
      <explain xmlns="http://schemas.wps.cn/vas-ai-hub/contract-review">发文字号格式错误。</explain>
      <paraID xmlns="http://schemas.wps.cn/vas-ai-hub/contract-review">3F1EC2C3</paraID>
      <start xmlns="http://schemas.wps.cn/vas-ai-hub/contract-review">38</start>
      <end xmlns="http://schemas.wps.cn/vas-ai-hub/contract-review">47</end>
      <status xmlns="http://schemas.wps.cn/vas-ai-hub/contract-review">modified</status>
      <modifiedWord xmlns="http://schemas.wps.cn/vas-ai-hub/contract-review">〔2022〕14号</modifiedWord>
      <trackRevisions xmlns="http://schemas.wps.cn/vas-ai-hub/contract-review">false</trackRevisions>
    </reviewItem>
    <reviewItem xmlns="http://schemas.wps.cn/vas-ai-hub/contract-review">
      <errorID xmlns="http://schemas.wps.cn/vas-ai-hub/contract-review">9a88ac46-23f9-4569-881f-6cda0cda73f4</errorID>
      <errorWord xmlns="http://schemas.wps.cn/vas-ai-hub/contract-review">融化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熔化</item>
      </candidateList>
      <explain xmlns="http://schemas.wps.cn/vas-ai-hub/contract-review">〈动〉固体加热到一定温度变为液体，如铁加热至1530℃以上就熔化成铁水。大多数物质熔化后体积膨胀。也叫熔解、熔融。</explain>
      <paraID xmlns="http://schemas.wps.cn/vas-ai-hub/contract-review">249623C5</paraID>
      <start xmlns="http://schemas.wps.cn/vas-ai-hub/contract-review">10</start>
      <end xmlns="http://schemas.wps.cn/vas-ai-hub/contract-review">12</end>
      <status xmlns="http://schemas.wps.cn/vas-ai-hub/contract-review">modified</status>
      <modifiedWord xmlns="http://schemas.wps.cn/vas-ai-hub/contract-review">熔化</modifiedWord>
      <trackRevisions xmlns="http://schemas.wps.cn/vas-ai-hub/contract-review">false</trackRevisions>
    </reviewItem>
    <reviewItem xmlns="http://schemas.wps.cn/vas-ai-hub/contract-review">
      <errorID xmlns="http://schemas.wps.cn/vas-ai-hub/contract-review">1df5d0b9-98bd-42d0-bde3-5cee28f4c4f7</errorID>
      <errorWord xmlns="http://schemas.wps.cn/vas-ai-hub/contract-review">七〇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七孔</item>
      </candidateList>
      <explain xmlns="http://schemas.wps.cn/vas-ai-hub/contract-review"/>
      <paraID xmlns="http://schemas.wps.cn/vas-ai-hub/contract-review">259C1733</paraID>
      <start xmlns="http://schemas.wps.cn/vas-ai-hub/contract-review">35</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d9020ca7-ac17-4c51-8a3e-bcb180257fb0</errorID>
      <errorWord xmlns="http://schemas.wps.cn/vas-ai-hub/contract-review">配制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配置</item>
      </candidateList>
      <explain xmlns="http://schemas.wps.cn/vas-ai-hub/contract-review">〈动〉配备布置：～兵力。</explain>
      <paraID xmlns="http://schemas.wps.cn/vas-ai-hub/contract-review">2ED8758B</paraID>
      <start xmlns="http://schemas.wps.cn/vas-ai-hub/contract-review">85</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51af4c39-b485-4814-96f5-96a811e686e1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5DD5F6A8</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40b205b4-b626-47b4-ab6f-7b0f392b51d8</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 DDFB837</paraID>
      <start xmlns="http://schemas.wps.cn/vas-ai-hub/contract-review">37</start>
      <end xmlns="http://schemas.wps.cn/vas-ai-hub/contract-review">38</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f15cf9e3-bcfb-492a-97ff-42eae0c3cc87</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 DB29C08</paraID>
      <start xmlns="http://schemas.wps.cn/vas-ai-hub/contract-review">22</start>
      <end xmlns="http://schemas.wps.cn/vas-ai-hub/contract-review">23</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5f3b9003-4144-46f4-a57a-4217efab8284</errorID>
      <errorWord xmlns="http://schemas.wps.cn/vas-ai-hub/contract-review">紫外光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紫外线</item>
      </candidateList>
      <explain xmlns="http://schemas.wps.cn/vas-ai-hub/contract-review"/>
      <paraID xmlns="http://schemas.wps.cn/vas-ai-hub/contract-review"> 68E648A</paraID>
      <start xmlns="http://schemas.wps.cn/vas-ai-hub/contract-review">216</start>
      <end xmlns="http://schemas.wps.cn/vas-ai-hub/contract-review">219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bf63fcc2-f037-4a31-b3c8-1b0f95dd1356</errorID>
      <errorWord xmlns="http://schemas.wps.cn/vas-ai-hub/contract-review">和台帐</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和台账</item>
      </candidateList>
      <explain xmlns="http://schemas.wps.cn/vas-ai-hub/contract-review">词汇[和台帐]为不规范表述或旧称，其规范书面表述为[和台账]。</explain>
      <paraID xmlns="http://schemas.wps.cn/vas-ai-hub/contract-review">61E65C0C</paraID>
      <start xmlns="http://schemas.wps.cn/vas-ai-hub/contract-review">22</start>
      <end xmlns="http://schemas.wps.cn/vas-ai-hub/contract-review">25</end>
      <status xmlns="http://schemas.wps.cn/vas-ai-hub/contract-review">modified</status>
      <modifiedWord xmlns="http://schemas.wps.cn/vas-ai-hub/contract-review">和台账</modifiedWord>
      <trackRevisions xmlns="http://schemas.wps.cn/vas-ai-hub/contract-review">false</trackRevisions>
    </reviewItem>
    <reviewItem xmlns="http://schemas.wps.cn/vas-ai-hub/contract-review">
      <errorID xmlns="http://schemas.wps.cn/vas-ai-hub/contract-review">c3f80632-0e1a-4fed-bf38-379673591efc</errorID>
      <errorWord xmlns="http://schemas.wps.cn/vas-ai-hub/contract-review">和台帐</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和台账</item>
      </candidateList>
      <explain xmlns="http://schemas.wps.cn/vas-ai-hub/contract-review">词汇[和台帐]为不规范表述或旧称，其规范书面表述为[和台账]。</explain>
      <paraID xmlns="http://schemas.wps.cn/vas-ai-hub/contract-review">4CEA4877</paraID>
      <start xmlns="http://schemas.wps.cn/vas-ai-hub/contract-review">30</start>
      <end xmlns="http://schemas.wps.cn/vas-ai-hub/contract-review">33</end>
      <status xmlns="http://schemas.wps.cn/vas-ai-hub/contract-review">modified</status>
      <modifiedWord xmlns="http://schemas.wps.cn/vas-ai-hub/contract-review">和台账</modifiedWord>
      <trackRevisions xmlns="http://schemas.wps.cn/vas-ai-hub/contract-review">false</trackRevisions>
    </reviewItem>
    <reviewItem xmlns="http://schemas.wps.cn/vas-ai-hub/contract-review">
      <errorID xmlns="http://schemas.wps.cn/vas-ai-hub/contract-review">d858ea52-c869-41c8-90d5-697e5016b568</errorID>
      <errorWord xmlns="http://schemas.wps.cn/vas-ai-hub/contract-review">[2022]397号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〔2022〕397号</item>
      </candidateList>
      <explain xmlns="http://schemas.wps.cn/vas-ai-hub/contract-review">发文字号格式错误。</explain>
      <paraID xmlns="http://schemas.wps.cn/vas-ai-hub/contract-review">45E6CB52</paraID>
      <start xmlns="http://schemas.wps.cn/vas-ai-hub/contract-review">33</start>
      <end xmlns="http://schemas.wps.cn/vas-ai-hub/contract-review">43</end>
      <status xmlns="http://schemas.wps.cn/vas-ai-hub/contract-review">modified</status>
      <modifiedWord xmlns="http://schemas.wps.cn/vas-ai-hub/contract-review">〔2022〕397号</modifiedWord>
      <trackRevisions xmlns="http://schemas.wps.cn/vas-ai-hub/contract-review">false</trackRevisions>
    </reviewItem>
    <reviewItem xmlns="http://schemas.wps.cn/vas-ai-hub/contract-review">
      <errorID xmlns="http://schemas.wps.cn/vas-ai-hub/contract-review">c9fbbb0c-0a85-4138-9cbd-839e99bde4a4</errorID>
      <errorWord xmlns="http://schemas.wps.cn/vas-ai-hub/contract-review">[2022]397号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〔2022〕397号</item>
      </candidateList>
      <explain xmlns="http://schemas.wps.cn/vas-ai-hub/contract-review">发文字号格式错误。</explain>
      <paraID xmlns="http://schemas.wps.cn/vas-ai-hub/contract-review">45E6CB52</paraID>
      <start xmlns="http://schemas.wps.cn/vas-ai-hub/contract-review">158</start>
      <end xmlns="http://schemas.wps.cn/vas-ai-hub/contract-review">168</end>
      <status xmlns="http://schemas.wps.cn/vas-ai-hub/contract-review">modified</status>
      <modifiedWord xmlns="http://schemas.wps.cn/vas-ai-hub/contract-review">〔2022〕397号</modifiedWord>
      <trackRevisions xmlns="http://schemas.wps.cn/vas-ai-hub/contract-review">false</trackRevisions>
    </reviewItem>
    <reviewItem xmlns="http://schemas.wps.cn/vas-ai-hub/contract-review">
      <errorID xmlns="http://schemas.wps.cn/vas-ai-hub/contract-review">ae9e78df-1262-42d5-9426-3ec4ec4adc10</errorID>
      <errorWord xmlns="http://schemas.wps.cn/vas-ai-hub/contract-review">三线一单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“三线一单”</item>
      </candidateList>
      <explain xmlns="http://schemas.wps.cn/vas-ai-hub/contract-review">注意检查当前固定表述标点是否使用规范。</explain>
      <paraID xmlns="http://schemas.wps.cn/vas-ai-hub/contract-review">56D81D07</paraID>
      <start xmlns="http://schemas.wps.cn/vas-ai-hub/contract-review">2</start>
      <end xmlns="http://schemas.wps.cn/vas-ai-hub/contract-review">8</end>
      <status xmlns="http://schemas.wps.cn/vas-ai-hub/contract-review">modified</status>
      <modifiedWord xmlns="http://schemas.wps.cn/vas-ai-hub/contract-review">“三线一单”</modifiedWord>
      <trackRevisions xmlns="http://schemas.wps.cn/vas-ai-hub/contract-review">false</trackRevisions>
    </reviewItem>
    <reviewItem xmlns="http://schemas.wps.cn/vas-ai-hub/contract-review">
      <errorID xmlns="http://schemas.wps.cn/vas-ai-hub/contract-review">c59ee064-5608-4d26-90ed-24bf54bf8a52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56D81D07</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65c892b8-70c9-4679-93f1-abe894a43e63</errorID>
      <errorWord xmlns="http://schemas.wps.cn/vas-ai-hub/contract-review">三线一单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“三线一单”</item>
      </candidateList>
      <explain xmlns="http://schemas.wps.cn/vas-ai-hub/contract-review">注意检查当前固定表述标点是否使用规范。</explain>
      <paraID xmlns="http://schemas.wps.cn/vas-ai-hub/contract-review">1A209D31</paraID>
      <start xmlns="http://schemas.wps.cn/vas-ai-hub/contract-review">109</start>
      <end xmlns="http://schemas.wps.cn/vas-ai-hub/contract-review">115</end>
      <status xmlns="http://schemas.wps.cn/vas-ai-hub/contract-review">modified</status>
      <modifiedWord xmlns="http://schemas.wps.cn/vas-ai-hub/contract-review">“三线一单”</modifiedWord>
      <trackRevisions xmlns="http://schemas.wps.cn/vas-ai-hub/contract-review">false</trackRevisions>
    </reviewItem>
    <reviewItem xmlns="http://schemas.wps.cn/vas-ai-hub/contract-review">
      <errorID xmlns="http://schemas.wps.cn/vas-ai-hub/contract-review">272edf49-7f52-49f1-bdd7-ac6f24e3b4e5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3E384170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cfba9bf2-c2b7-4e58-96ac-19b2881f165e</errorID>
      <errorWord xmlns="http://schemas.wps.cn/vas-ai-hub/contract-review">无需设置</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无须设置</item>
      </candidateList>
      <explain xmlns="http://schemas.wps.cn/vas-ai-hub/contract-review">词汇[无需设置]为不规范表述或旧称，其规范书面表述为[无须设置]。</explain>
      <paraID xmlns="http://schemas.wps.cn/vas-ai-hub/contract-review">1D3510CA</paraID>
      <start xmlns="http://schemas.wps.cn/vas-ai-hub/contract-review">5</start>
      <end xmlns="http://schemas.wps.cn/vas-ai-hub/contract-review">9</end>
      <status xmlns="http://schemas.wps.cn/vas-ai-hub/contract-review">modified</status>
      <modifiedWord xmlns="http://schemas.wps.cn/vas-ai-hub/contract-review">无须设置</modifiedWord>
      <trackRevisions xmlns="http://schemas.wps.cn/vas-ai-hub/contract-review">false</trackRevisions>
    </reviewItem>
    <reviewItem xmlns="http://schemas.wps.cn/vas-ai-hub/contract-review">
      <errorID xmlns="http://schemas.wps.cn/vas-ai-hub/contract-review">e0319312-eac4-4ec2-9bdf-05637f09a103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15762CBD</paraID>
      <start xmlns="http://schemas.wps.cn/vas-ai-hub/contract-review">37</start>
      <end xmlns="http://schemas.wps.cn/vas-ai-hub/contract-review">39</end>
      <status xmlns="http://schemas.wps.cn/vas-ai-hub/contract-review">modified</status>
      <modifiedWord xmlns="http://schemas.wps.cn/vas-ai-hub/contract-review">，对</modifiedWord>
      <trackRevisions xmlns="http://schemas.wps.cn/vas-ai-hub/contract-review">false</trackRevisions>
    </reviewItem>
    <reviewItem xmlns="http://schemas.wps.cn/vas-ai-hub/contract-review">
      <errorID xmlns="http://schemas.wps.cn/vas-ai-hub/contract-review">2371169e-b382-44df-b9a8-4af15a179bbb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5302AABE</paraID>
      <start xmlns="http://schemas.wps.cn/vas-ai-hub/contract-review">74</start>
      <end xmlns="http://schemas.wps.cn/vas-ai-hub/contract-review">75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3447a12c-96e1-4775-b1e6-7c9fb8adce2a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5302AABE</paraID>
      <start xmlns="http://schemas.wps.cn/vas-ai-hub/contract-review">81</start>
      <end xmlns="http://schemas.wps.cn/vas-ai-hub/contract-review">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d96e5fb3-70be-4af8-85e6-77367e251d48</errorID>
      <errorWord xmlns="http://schemas.wps.cn/vas-ai-hub/contract-review">无需设置</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无须设置</item>
      </candidateList>
      <explain xmlns="http://schemas.wps.cn/vas-ai-hub/contract-review">词汇[无需设置]为不规范表述或旧称，其规范书面表述为[无须设置]。</explain>
      <paraID xmlns="http://schemas.wps.cn/vas-ai-hub/contract-review">132B7095</paraID>
      <start xmlns="http://schemas.wps.cn/vas-ai-hub/contract-review">59</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6c931ad4-70a0-4549-9ef7-9ca8441b80ab</errorID>
      <errorWord xmlns="http://schemas.wps.cn/vas-ai-hub/contract-review">截留制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截留</item>
      </candidateList>
      <explain xmlns="http://schemas.wps.cn/vas-ai-hub/contract-review"/>
      <paraID xmlns="http://schemas.wps.cn/vas-ai-hub/contract-review">5B0CA17D</paraID>
      <start xmlns="http://schemas.wps.cn/vas-ai-hub/contract-review">246</start>
      <end xmlns="http://schemas.wps.cn/vas-ai-hub/contract-review">249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6d13e901-e013-49d7-a814-328e11e85cff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82AADEE</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1a60c384-3550-45ba-8bd6-8552099c0caf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2B10C141</paraID>
      <start xmlns="http://schemas.wps.cn/vas-ai-hub/contract-review">36</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89a3057c-ef0b-4a8a-b961-0db6efeaa12f</errorID>
      <errorWord xmlns="http://schemas.wps.cn/vas-ai-hub/contract-review">较少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减少</item>
      </candidateList>
      <explain xmlns="http://schemas.wps.cn/vas-ai-hub/contract-review">〈动〉减去一部分：～人员｜～麻烦｜工作中的缺点～了。</explain>
      <paraID xmlns="http://schemas.wps.cn/vas-ai-hub/contract-review">64E018CF</paraID>
      <start xmlns="http://schemas.wps.cn/vas-ai-hub/contract-review">51</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5becd788-cb96-4adf-b322-2f78f7f14693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item>
      </candidateList>
      <explain xmlns="http://schemas.wps.cn/vas-ai-hub/contract-review"/>
      <paraID xmlns="http://schemas.wps.cn/vas-ai-hub/contract-review">6CA1D911</paraID>
      <start xmlns="http://schemas.wps.cn/vas-ai-hub/contract-review">31</start>
      <end xmlns="http://schemas.wps.cn/vas-ai-hub/contract-review">33</end>
      <status xmlns="http://schemas.wps.cn/vas-ai-hub/contract-review">modified</status>
      <modifiedWord xmlns="http://schemas.wps.cn/vas-ai-hub/contract-review">，采</modifiedWord>
      <trackRevisions xmlns="http://schemas.wps.cn/vas-ai-hub/contract-review">false</trackRevisions>
    </reviewItem>
    <reviewItem xmlns="http://schemas.wps.cn/vas-ai-hub/contract-review">
      <errorID xmlns="http://schemas.wps.cn/vas-ai-hub/contract-review">9087438c-d8a1-4cd0-b148-f51b8110d61f</errorID>
      <errorWord xmlns="http://schemas.wps.cn/vas-ai-hub/contract-review">[2020]2号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〔2020〕2号</item>
      </candidateList>
      <explain xmlns="http://schemas.wps.cn/vas-ai-hub/contract-review">发文字号格式错误。</explain>
      <paraID xmlns="http://schemas.wps.cn/vas-ai-hub/contract-review"> FB76BE0</paraID>
      <start xmlns="http://schemas.wps.cn/vas-ai-hub/contract-review">158</start>
      <end xmlns="http://schemas.wps.cn/vas-ai-hub/contract-review">166</end>
      <status xmlns="http://schemas.wps.cn/vas-ai-hub/contract-review">modified</status>
      <modifiedWord xmlns="http://schemas.wps.cn/vas-ai-hub/contract-review">〔2020〕2号</modifiedWord>
      <trackRevisions xmlns="http://schemas.wps.cn/vas-ai-hub/contract-review">false</trackRevisions>
    </reviewItem>
    <reviewItem xmlns="http://schemas.wps.cn/vas-ai-hub/contract-review">
      <errorID xmlns="http://schemas.wps.cn/vas-ai-hub/contract-review">767bcf69-1d19-4672-94f1-2e6a98a3fa86</errorID>
      <errorWord xmlns="http://schemas.wps.cn/vas-ai-hub/contract-review">II级</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Ⅱ级</item>
      </candidateList>
      <explain xmlns="http://schemas.wps.cn/vas-ai-hub/contract-review"/>
      <paraID xmlns="http://schemas.wps.cn/vas-ai-hub/contract-review"> FB76BE0</paraID>
      <start xmlns="http://schemas.wps.cn/vas-ai-hub/contract-review">168</start>
      <end xmlns="http://schemas.wps.cn/vas-ai-hub/contract-review">170</end>
      <status xmlns="http://schemas.wps.cn/vas-ai-hub/contract-review">modified</status>
      <modifiedWord xmlns="http://schemas.wps.cn/vas-ai-hub/contract-review">Ⅱ级</modifiedWord>
      <trackRevisions xmlns="http://schemas.wps.cn/vas-ai-hub/contract-review">false</trackRevisions>
    </reviewItem>
    <reviewItem xmlns="http://schemas.wps.cn/vas-ai-hub/contract-review">
      <errorID xmlns="http://schemas.wps.cn/vas-ai-hub/contract-review">149ee68f-670d-4a07-93e8-2250315b96e4</errorID>
      <errorWord xmlns="http://schemas.wps.cn/vas-ai-hub/contract-review">耗保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耗</item>
      </candidateList>
      <explain xmlns="http://schemas.wps.cn/vas-ai-hub/contract-review"/>
      <paraID xmlns="http://schemas.wps.cn/vas-ai-hub/contract-review">6EDE134F</paraID>
      <start xmlns="http://schemas.wps.cn/vas-ai-hub/contract-review">30</start>
      <end xmlns="http://schemas.wps.cn/vas-ai-hub/contract-review">31</end>
      <status xmlns="http://schemas.wps.cn/vas-ai-hub/contract-review">modified</status>
      <modifiedWord xmlns="http://schemas.wps.cn/vas-ai-hub/contract-review">耗</modifiedWord>
      <trackRevisions xmlns="http://schemas.wps.cn/vas-ai-hub/contract-review">false</trackRevisions>
    </reviewItem>
    <reviewItem xmlns="http://schemas.wps.cn/vas-ai-hub/contract-review">
      <errorID xmlns="http://schemas.wps.cn/vas-ai-hub/contract-review">d0401bcd-8177-47aa-b34a-943fb8160188</errorID>
      <errorWord xmlns="http://schemas.wps.cn/vas-ai-hub/contract-review">[2020]2号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〔2020〕2号</item>
      </candidateList>
      <explain xmlns="http://schemas.wps.cn/vas-ai-hub/contract-review">发文字号格式错误。</explain>
      <paraID xmlns="http://schemas.wps.cn/vas-ai-hub/contract-review">3DAE0408</paraID>
      <start xmlns="http://schemas.wps.cn/vas-ai-hub/contract-review">16</start>
      <end xmlns="http://schemas.wps.cn/vas-ai-hub/contract-review">24</end>
      <status xmlns="http://schemas.wps.cn/vas-ai-hub/contract-review">modified</status>
      <modifiedWord xmlns="http://schemas.wps.cn/vas-ai-hub/contract-review">〔2020〕2号</modifiedWord>
      <trackRevisions xmlns="http://schemas.wps.cn/vas-ai-hub/contract-review">false</trackRevisions>
    </reviewItem>
    <reviewItem xmlns="http://schemas.wps.cn/vas-ai-hub/contract-review">
      <errorID xmlns="http://schemas.wps.cn/vas-ai-hub/contract-review">55083e56-9d3b-4b8d-ada5-33625696c198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220DC25C</paraID>
      <start xmlns="http://schemas.wps.cn/vas-ai-hub/contract-review">53</start>
      <end xmlns="http://schemas.wps.cn/vas-ai-hub/contract-review">54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45014a87-14d8-4277-8d8d-87b2498f644f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38037E1B</paraID>
      <start xmlns="http://schemas.wps.cn/vas-ai-hub/contract-review">71</start>
      <end xmlns="http://schemas.wps.cn/vas-ai-hub/contract-review">72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7075d9dc-ff3d-49e6-a8ed-954708a28869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38037E1B</paraID>
      <start xmlns="http://schemas.wps.cn/vas-ai-hub/contract-review">73</start>
      <end xmlns="http://schemas.wps.cn/vas-ai-hub/contract-review">74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fd1d2319-c00c-4cee-b49d-20bb3832e6a2</errorID>
      <errorWord xmlns="http://schemas.wps.cn/vas-ai-hub/contract-review">〔2022〕063号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〔2022〕63号</item>
      </candidateList>
      <explain xmlns="http://schemas.wps.cn/vas-ai-hub/contract-review">发文字号格式错误。</explain>
      <paraID xmlns="http://schemas.wps.cn/vas-ai-hub/contract-review">38037E1B</paraID>
      <start xmlns="http://schemas.wps.cn/vas-ai-hub/contract-review">76</start>
      <end xmlns="http://schemas.wps.cn/vas-ai-hub/contract-review">85</end>
      <status xmlns="http://schemas.wps.cn/vas-ai-hub/contract-review">modified</status>
      <modifiedWord xmlns="http://schemas.wps.cn/vas-ai-hub/contract-review">〔2022〕63号</modifiedWord>
      <trackRevisions xmlns="http://schemas.wps.cn/vas-ai-hub/contract-review">false</trackRevisions>
    </reviewItem>
    <reviewItem xmlns="http://schemas.wps.cn/vas-ai-hub/contract-review">
      <errorID xmlns="http://schemas.wps.cn/vas-ai-hub/contract-review">3852230a-3390-4e0d-9e49-268af8a8e3f8</errorID>
      <errorWord xmlns="http://schemas.wps.cn/vas-ai-hub/contract-review">采取了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采取</item>
      </candidateList>
      <explain xmlns="http://schemas.wps.cn/vas-ai-hub/contract-review">〈动〉❶选择施行（某种方针、政策、措施、手段、形式、态度等）：～守势｜～紧急措施。❷取：～指纹。</explain>
      <paraID xmlns="http://schemas.wps.cn/vas-ai-hub/contract-review"> F6E76A3</paraID>
      <start xmlns="http://schemas.wps.cn/vas-ai-hub/contract-review">162</start>
      <end xmlns="http://schemas.wps.cn/vas-ai-hub/contract-review">165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55f89b77-3ad4-41a5-a75d-ce4815f9e507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7616E516</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cc380818-9cc5-4ea6-8c0d-01b97559f74f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7616E516</paraID>
      <start xmlns="http://schemas.wps.cn/vas-ai-hub/contract-review">58</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fe62ad66-2391-4d31-9439-c62107515e7d</errorID>
      <errorWord xmlns="http://schemas.wps.cn/vas-ai-hub/contract-review">〔2022〕063号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〔2022〕63号</item>
      </candidateList>
      <explain xmlns="http://schemas.wps.cn/vas-ai-hub/contract-review">发文字号格式错误。</explain>
      <paraID xmlns="http://schemas.wps.cn/vas-ai-hub/contract-review">7616E516</paraID>
      <start xmlns="http://schemas.wps.cn/vas-ai-hub/contract-review">61</start>
      <end xmlns="http://schemas.wps.cn/vas-ai-hub/contract-review">70</end>
      <status xmlns="http://schemas.wps.cn/vas-ai-hub/contract-review">modified</status>
      <modifiedWord xmlns="http://schemas.wps.cn/vas-ai-hub/contract-review">〔2022〕63号</modifiedWord>
      <trackRevisions xmlns="http://schemas.wps.cn/vas-ai-hub/contract-review">false</trackRevisions>
    </reviewItem>
    <reviewItem xmlns="http://schemas.wps.cn/vas-ai-hub/contract-review">
      <errorID xmlns="http://schemas.wps.cn/vas-ai-hub/contract-review">215f74f7-0eb9-42d7-9cfd-45fd3589e9f9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7616E516</paraID>
      <start xmlns="http://schemas.wps.cn/vas-ai-hub/contract-review">241</start>
      <end xmlns="http://schemas.wps.cn/vas-ai-hub/contract-review">242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b5b345de-f314-44b7-95e3-09181a1484a6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7616E516</paraID>
      <start xmlns="http://schemas.wps.cn/vas-ai-hub/contract-review">244</start>
      <end xmlns="http://schemas.wps.cn/vas-ai-hub/contract-review">245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6a73b15a-9bf6-4fcd-8ae3-967b3d605fc3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7616E516</paraID>
      <start xmlns="http://schemas.wps.cn/vas-ai-hub/contract-review">249</start>
      <end xmlns="http://schemas.wps.cn/vas-ai-hub/contract-review">250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8281fb58-7f29-45e4-8a2b-99726fd4890e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7616E516</paraID>
      <start xmlns="http://schemas.wps.cn/vas-ai-hub/contract-review">265</start>
      <end xmlns="http://schemas.wps.cn/vas-ai-hub/contract-review">266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3616f93a-45b5-479d-8e29-74a54a2cf810</errorID>
      <errorWord xmlns="http://schemas.wps.cn/vas-ai-hub/contract-review">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种</item>
      </candidateList>
      <explain xmlns="http://schemas.wps.cn/vas-ai-hub/contract-review">（種）zhònɡ〈动〉种植：～田｜～麦子｜～棉花◇～牛痘。</explain>
      <paraID xmlns="http://schemas.wps.cn/vas-ai-hub/contract-review">7BFBDB6E</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6418a8c0-5a66-4afa-a0cf-0bc5e37b40d4</errorID>
      <errorWord xmlns="http://schemas.wps.cn/vas-ai-hub/contract-review">[2020]688号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〔2020〕688号</item>
      </candidateList>
      <explain xmlns="http://schemas.wps.cn/vas-ai-hub/contract-review">发文字号格式错误。</explain>
      <paraID xmlns="http://schemas.wps.cn/vas-ai-hub/contract-review">7AABA053</paraID>
      <start xmlns="http://schemas.wps.cn/vas-ai-hub/contract-review">39</start>
      <end xmlns="http://schemas.wps.cn/vas-ai-hub/contract-review">49</end>
      <status xmlns="http://schemas.wps.cn/vas-ai-hub/contract-review">modified</status>
      <modifiedWord xmlns="http://schemas.wps.cn/vas-ai-hub/contract-review">〔2020〕688号</modifiedWord>
      <trackRevisions xmlns="http://schemas.wps.cn/vas-ai-hub/contract-review">false</trackRevisions>
    </reviewItem>
    <reviewItem xmlns="http://schemas.wps.cn/vas-ai-hub/contract-review">
      <errorID xmlns="http://schemas.wps.cn/vas-ai-hub/contract-review">30b70a64-83d2-4e7f-8ad5-c2c107fb337d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66681168</paraID>
      <start xmlns="http://schemas.wps.cn/vas-ai-hub/contract-review">104</start>
      <end xmlns="http://schemas.wps.cn/vas-ai-hub/contract-review">106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5dcdc213-fb5d-4848-859c-2edee67ba65f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66681168</paraID>
      <start xmlns="http://schemas.wps.cn/vas-ai-hub/contract-review">183</start>
      <end xmlns="http://schemas.wps.cn/vas-ai-hub/contract-review">185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b616824a-2a6a-46ca-bfbe-970e09ca6719</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447954BA</paraID>
      <start xmlns="http://schemas.wps.cn/vas-ai-hub/contract-review">81</start>
      <end xmlns="http://schemas.wps.cn/vas-ai-hub/contract-review">84</end>
      <status xmlns="http://schemas.wps.cn/vas-ai-hub/contract-review">modified</status>
      <modifiedWord xmlns="http://schemas.wps.cn/vas-ai-hub/contract-review">，以及</modifiedWord>
      <trackRevisions xmlns="http://schemas.wps.cn/vas-ai-hub/contract-review">false</trackRevisions>
    </reviewItem>
    <reviewItem xmlns="http://schemas.wps.cn/vas-ai-hub/contract-review">
      <errorID xmlns="http://schemas.wps.cn/vas-ai-hub/contract-review">a0d354ee-f81d-4b3c-a4fc-91816075297c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1FB25875</paraID>
      <start xmlns="http://schemas.wps.cn/vas-ai-hub/contract-review">43</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35b0fac4-c4ea-4924-aea6-5f5d6000691c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F1B667</paraID>
      <start xmlns="http://schemas.wps.cn/vas-ai-hub/contract-review">108</start>
      <end xmlns="http://schemas.wps.cn/vas-ai-hub/contract-review">109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3be95922-3c04-4620-b8c7-8f4a59545479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F1B667</paraID>
      <start xmlns="http://schemas.wps.cn/vas-ai-hub/contract-review">111</start>
      <end xmlns="http://schemas.wps.cn/vas-ai-hub/contract-review">112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7219b0e0-3fb8-495d-874f-7ede242a710a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56429B85</paraID>
      <start xmlns="http://schemas.wps.cn/vas-ai-hub/contract-review">139</start>
      <end xmlns="http://schemas.wps.cn/vas-ai-hub/contract-review">140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57aadba9-6ae7-42c4-b821-32e76e606fe4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56429B85</paraID>
      <start xmlns="http://schemas.wps.cn/vas-ai-hub/contract-review">142</start>
      <end xmlns="http://schemas.wps.cn/vas-ai-hub/contract-review">143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3041e6f1-dafd-46db-b5f0-52678436511f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6129864E</paraID>
      <start xmlns="http://schemas.wps.cn/vas-ai-hub/contract-review">49</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22459ae2-0083-4128-b76e-4e38f10f6ef1</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6129864E</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5260468b-b297-47ea-9ec0-e6ac84149201</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6129864E</paraID>
      <start xmlns="http://schemas.wps.cn/vas-ai-hub/contract-review">279</start>
      <end xmlns="http://schemas.wps.cn/vas-ai-hub/contract-review">280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9d9aaa16-2a3b-4229-bced-ab3593f2bdff</errorID>
      <errorWord xmlns="http://schemas.wps.cn/vas-ai-hub/contract-review">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建成</item>
      </candidateList>
      <explain xmlns="http://schemas.wps.cn/vas-ai-hub/contract-review"/>
      <paraID xmlns="http://schemas.wps.cn/vas-ai-hub/contract-review">6DF9B808</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d7d990d0-b786-44f0-9582-4a136c6841ea</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2A41C0BF</paraID>
      <start xmlns="http://schemas.wps.cn/vas-ai-hub/contract-review">93</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2ba550cf-94f0-4c05-bdc9-b7595408344c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725423CD</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eb8cc74a-50f9-40f2-a8a5-aea7cc0f62aa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725423CD</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1a6ddfed-4064-4050-b042-2886c01b2d7f</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725423CD</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95df1971-70f6-4aca-b788-153f00ed4df0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46A15C3B</paraID>
      <start xmlns="http://schemas.wps.cn/vas-ai-hub/contract-review">288</start>
      <end xmlns="http://schemas.wps.cn/vas-ai-hub/contract-review">291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7089e80e-c1da-49a6-81bf-17f8b0afe1c6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46A15C3B</paraID>
      <start xmlns="http://schemas.wps.cn/vas-ai-hub/contract-review">295</start>
      <end xmlns="http://schemas.wps.cn/vas-ai-hub/contract-review">298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e36c72b6-ae8f-40c1-a96c-403645b922b9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764BCB8E</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5685037c-50ce-4cc5-a4e4-8864d8aab775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764BCB8E</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3fb21de0-ebdf-454f-9357-68f2e08dee74</errorID>
      <errorWord xmlns="http://schemas.wps.cn/vas-ai-hub/contract-review">《产业结构调整指导目录》（2024年本）</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《产业结构调整指导目录（2024年本）》</item>
      </candidateList>
      <explain xmlns="http://schemas.wps.cn/vas-ai-hub/contract-review">疑似政策文件、法律法规名称等书写不规范，请注意检查。</explain>
      <paraID xmlns="http://schemas.wps.cn/vas-ai-hub/contract-review">14DB69F9</paraID>
      <start xmlns="http://schemas.wps.cn/vas-ai-hub/contract-review">15</start>
      <end xmlns="http://schemas.wps.cn/vas-ai-hub/contract-review">35</end>
      <status xmlns="http://schemas.wps.cn/vas-ai-hub/contract-review">modified</status>
      <modifiedWord xmlns="http://schemas.wps.cn/vas-ai-hub/contract-review">《产业结构调整指导目录（2024年本）》</modifiedWord>
      <trackRevisions xmlns="http://schemas.wps.cn/vas-ai-hub/contract-review">false</trackRevisions>
    </reviewItem>
    <reviewItem xmlns="http://schemas.wps.cn/vas-ai-hub/contract-review">
      <errorID xmlns="http://schemas.wps.cn/vas-ai-hub/contract-review">414387d3-1723-448e-b52a-2dd35d4b5127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13A18B8C</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e464cbbd-7ba9-4ffc-89d0-4007154a88ff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13A18B8C</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c5ac847b-d59b-4771-8104-479420b4f1d6</errorID>
      <errorWord xmlns="http://schemas.wps.cn/vas-ai-hub/contract-review">合成脂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合成酯</item>
      </candidateList>
      <explain xmlns="http://schemas.wps.cn/vas-ai-hub/contract-review"/>
      <paraID xmlns="http://schemas.wps.cn/vas-ai-hub/contract-review">630C5EA5</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39984257-3d6d-4e7e-96f5-9903707433eb</errorID>
      <errorWord xmlns="http://schemas.wps.cn/vas-ai-hub/contract-review">87~88%</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87%～88%</item>
      </candidateList>
      <explain xmlns="http://schemas.wps.cn/vas-ai-hub/contract-review">1. “87~88%”中的单位“%”仅出现在后一个数字上，容易引起歧义；根据《现代汉语标点符号数字用法规范手册》，数字表示范围两边需要使用统一的格式。2.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3E87890</paraID>
      <start xmlns="http://schemas.wps.cn/vas-ai-hub/contract-review">20</start>
      <end xmlns="http://schemas.wps.cn/vas-ai-hub/contract-review">27</end>
      <status xmlns="http://schemas.wps.cn/vas-ai-hub/contract-review">modified</status>
      <modifiedWord xmlns="http://schemas.wps.cn/vas-ai-hub/contract-review">87%～88%</modifiedWord>
      <trackRevisions xmlns="http://schemas.wps.cn/vas-ai-hub/contract-review">false</trackRevisions>
    </reviewItem>
    <reviewItem xmlns="http://schemas.wps.cn/vas-ai-hub/contract-review">
      <errorID xmlns="http://schemas.wps.cn/vas-ai-hub/contract-review">0341ee4c-e1b9-417f-951d-609a27df4f2f</errorID>
      <errorWord xmlns="http://schemas.wps.cn/vas-ai-hub/contract-review">8~9%</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8%～9%</item>
      </candidateList>
      <explain xmlns="http://schemas.wps.cn/vas-ai-hub/contract-review">1. “8~9%”中的单位“%”仅出现在后一个数字上，容易引起歧义；根据《现代汉语标点符号数字用法规范手册》，数字表示范围两边需要使用统一的格式。2.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3E87890</paraID>
      <start xmlns="http://schemas.wps.cn/vas-ai-hub/contract-review">32</start>
      <end xmlns="http://schemas.wps.cn/vas-ai-hub/contract-review">37</end>
      <status xmlns="http://schemas.wps.cn/vas-ai-hub/contract-review">modified</status>
      <modifiedWord xmlns="http://schemas.wps.cn/vas-ai-hub/contract-review">8%～9%</modifiedWord>
      <trackRevisions xmlns="http://schemas.wps.cn/vas-ai-hub/contract-review">false</trackRevisions>
    </reviewItem>
    <reviewItem xmlns="http://schemas.wps.cn/vas-ai-hub/contract-review">
      <errorID xmlns="http://schemas.wps.cn/vas-ai-hub/contract-review">2fda7a3f-eb04-493a-b352-4de383642616</errorID>
      <errorWord xmlns="http://schemas.wps.cn/vas-ai-hub/contract-review">1~1.2%</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1%～1.2%</item>
      </candidateList>
      <explain xmlns="http://schemas.wps.cn/vas-ai-hub/contract-review">1. “1~1.2%”中的单位“%”仅出现在后一个数字上，容易引起歧义；根据《现代汉语标点符号数字用法规范手册》，数字表示范围两边需要使用统一的格式。2.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3E87890</paraID>
      <start xmlns="http://schemas.wps.cn/vas-ai-hub/contract-review">40</start>
      <end xmlns="http://schemas.wps.cn/vas-ai-hub/contract-review">47</end>
      <status xmlns="http://schemas.wps.cn/vas-ai-hub/contract-review">modified</status>
      <modifiedWord xmlns="http://schemas.wps.cn/vas-ai-hub/contract-review">1%～1.2%</modifiedWord>
      <trackRevisions xmlns="http://schemas.wps.cn/vas-ai-hub/contract-review">false</trackRevisions>
    </reviewItem>
    <reviewItem xmlns="http://schemas.wps.cn/vas-ai-hub/contract-review">
      <errorID xmlns="http://schemas.wps.cn/vas-ai-hub/contract-review">a2834785-67fd-4a47-9c7d-80e79a758a65</errorID>
      <errorWord xmlns="http://schemas.wps.cn/vas-ai-hub/contract-review">配置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配制</item>
      </candidateList>
      <explain xmlns="http://schemas.wps.cn/vas-ai-hub/contract-review"/>
      <paraID xmlns="http://schemas.wps.cn/vas-ai-hub/contract-review"> 3E87890</paraID>
      <start xmlns="http://schemas.wps.cn/vas-ai-hub/contract-review">109</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b2c3b600-0808-4104-b105-9d5739251ba4</errorID>
      <errorWord xmlns="http://schemas.wps.cn/vas-ai-hub/contract-review">粘度</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黏度</item>
      </candidateList>
      <explain xmlns="http://schemas.wps.cn/vas-ai-hub/contract-review">词汇[粘度]为不规范表述或旧称，其规范书面表述为[黏度]。</explain>
      <paraID xmlns="http://schemas.wps.cn/vas-ai-hub/contract-review"> 3E87890</paraID>
      <start xmlns="http://schemas.wps.cn/vas-ai-hub/contract-review">124</start>
      <end xmlns="http://schemas.wps.cn/vas-ai-hub/contract-review">126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79596a49-df28-4f15-b509-2754a47e39bb</errorID>
      <errorWord xmlns="http://schemas.wps.cn/vas-ai-hub/contract-review">32~36%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32%～36%</item>
      </candidateList>
      <explain xmlns="http://schemas.wps.cn/vas-ai-hub/contract-review">1. “32~36%”中的单位“%”仅出现在后一个数字上，容易引起歧义；根据《现代汉语标点符号数字用法规范手册》，数字表示范围两边需要使用统一的格式。2.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6B71F8EE</paraID>
      <start xmlns="http://schemas.wps.cn/vas-ai-hub/contract-review">20</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42134493-1ddb-447d-aa56-61b3213c5ef4</errorID>
      <errorWord xmlns="http://schemas.wps.cn/vas-ai-hub/contract-review">定形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定型</item>
      </candidateList>
      <explain xmlns="http://schemas.wps.cn/vas-ai-hub/contract-review"/>
      <paraID xmlns="http://schemas.wps.cn/vas-ai-hub/contract-review">61C878CB</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66257d8e-5381-48f0-86a6-736d2a02608d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59e97599-143c-4e8e-add6-ec0d27391243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d709ddbd-7592-42ef-a6ac-41e6ddfa40e6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a93de584-5bcd-4f24-8a8d-2480373e96ff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113</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2d455caa-e977-4af2-b958-244d5a074372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f410eda9-129c-435d-b4b8-93051343f817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144</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6d925f95-775a-4d77-aa0f-cf56291ab7ff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160</start>
      <end xmlns="http://schemas.wps.cn/vas-ai-hub/contract-review">161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130e5f1b-0647-4f60-8e63-a02ba24d5078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2856E4D7</paraID>
      <start xmlns="http://schemas.wps.cn/vas-ai-hub/contract-review">176</start>
      <end xmlns="http://schemas.wps.cn/vas-ai-hub/contract-review">177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910bd8de-ef85-4b10-a039-d65c9e1b96c1</errorID>
      <errorWord xmlns="http://schemas.wps.cn/vas-ai-hub/contract-review">10%-50%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10%—50%</item>
      </candidateList>
      <explain xmlns="http://schemas.wps.cn/vas-ai-hub/contract-review">1. “10%-50%”中的单位“%”仅出现在后一个数字上，容易引起歧义；根据《现代汉语标点符号数字用法规范手册》，数字表示范围两边需要使用统一的格式。2.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5257981B</paraID>
      <start xmlns="http://schemas.wps.cn/vas-ai-hub/contract-review">18</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7870dd40-fb97-4de6-9474-5e63a26edffe</errorID>
      <errorWord xmlns="http://schemas.wps.cn/vas-ai-hub/contract-review">10%~50%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10%～50%</item>
      </candidateList>
      <explain xmlns="http://schemas.wps.cn/vas-ai-hub/contract-review">1. “10%~50%”中的单位“%”仅出现在后一个数字上，容易引起歧义；根据《现代汉语标点符号数字用法规范手册》，数字表示范围两边需要使用统一的格式。2.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5257981B</paraID>
      <start xmlns="http://schemas.wps.cn/vas-ai-hub/contract-review">31</start>
      <end xmlns="http://schemas.wps.cn/vas-ai-hub/contract-review">38</end>
      <status xmlns="http://schemas.wps.cn/vas-ai-hub/contract-review">modified</status>
      <modifiedWord xmlns="http://schemas.wps.cn/vas-ai-hub/contract-review">10%～50%</modifiedWord>
      <trackRevisions xmlns="http://schemas.wps.cn/vas-ai-hub/contract-review">false</trackRevisions>
    </reviewItem>
    <reviewItem xmlns="http://schemas.wps.cn/vas-ai-hub/contract-review">
      <errorID xmlns="http://schemas.wps.cn/vas-ai-hub/contract-review">206f09e6-4a26-4f6c-bed9-60183cede276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2D757A1F</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2f3725f8-13cb-4eec-9400-39285c778d5e</errorID>
      <errorWord xmlns="http://schemas.wps.cn/vas-ai-hub/contract-review">紧邻紧邻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紧邻</item>
      </candidateList>
      <explain xmlns="http://schemas.wps.cn/vas-ai-hub/contract-review">〈名〉紧挨着的邻居。</explain>
      <paraID xmlns="http://schemas.wps.cn/vas-ai-hub/contract-review">41796EE4</paraID>
      <start xmlns="http://schemas.wps.cn/vas-ai-hub/contract-review">0</start>
      <end xmlns="http://schemas.wps.cn/vas-ai-hub/contract-review">2</end>
      <status xmlns="http://schemas.wps.cn/vas-ai-hub/contract-review">modified</status>
      <modifiedWord xmlns="http://schemas.wps.cn/vas-ai-hub/contract-review">紧邻</modifiedWord>
      <trackRevisions xmlns="http://schemas.wps.cn/vas-ai-hub/contract-review">false</trackRevisions>
    </reviewItem>
    <reviewItem xmlns="http://schemas.wps.cn/vas-ai-hub/contract-review">
      <errorID xmlns="http://schemas.wps.cn/vas-ai-hub/contract-review">cad8cfcf-bfbf-4b16-96ed-f1318b09e922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23E76DE2</paraID>
      <start xmlns="http://schemas.wps.cn/vas-ai-hub/contract-review">118</start>
      <end xmlns="http://schemas.wps.cn/vas-ai-hub/contract-review">119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8a88a862-095a-4cb8-9af3-07f7fcde040a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23E76DE2</paraID>
      <start xmlns="http://schemas.wps.cn/vas-ai-hub/contract-review">168</start>
      <end xmlns="http://schemas.wps.cn/vas-ai-hub/contract-review">169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9e3ac386-5f0c-4649-b8b2-ddcc32f86c7c</errorID>
      <errorWord xmlns="http://schemas.wps.cn/vas-ai-hub/contract-review">浇注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浇铸</item>
      </candidateList>
      <explain xmlns="http://schemas.wps.cn/vas-ai-hub/contract-review"/>
      <paraID xmlns="http://schemas.wps.cn/vas-ai-hub/contract-review">6021D9B2</paraID>
      <start xmlns="http://schemas.wps.cn/vas-ai-hub/contract-review">29</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ab2dbbb1-e317-499a-a290-f9e958463fa9</errorID>
      <errorWord xmlns="http://schemas.wps.cn/vas-ai-hub/contract-review">合成脂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合成酯</item>
      </candidateList>
      <explain xmlns="http://schemas.wps.cn/vas-ai-hub/contract-review"/>
      <paraID xmlns="http://schemas.wps.cn/vas-ai-hub/contract-review">4C12B7A1</paraID>
      <start xmlns="http://schemas.wps.cn/vas-ai-hub/contract-review">21</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d718b973-ccd3-4962-b246-60dc5ae75185</errorID>
      <errorWord xmlns="http://schemas.wps.cn/vas-ai-hub/contract-review">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剂在</item>
      </candidateList>
      <explain xmlns="http://schemas.wps.cn/vas-ai-hub/contract-review"/>
      <paraID xmlns="http://schemas.wps.cn/vas-ai-hub/contract-review">4C12B7A1</paraID>
      <start xmlns="http://schemas.wps.cn/vas-ai-hub/contract-review">50</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ef634cbc-26bb-460e-9e53-97cd4311d2ac</errorID>
      <errorWord xmlns="http://schemas.wps.cn/vas-ai-hub/contract-review">水蒸汽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水蒸气</item>
      </candidateList>
      <explain xmlns="http://schemas.wps.cn/vas-ai-hub/contract-review">〈名〉气态的水。常压下液态的水加热到100℃时就开始沸腾，迅速变成水蒸气。也叫蒸汽。</explain>
      <paraID xmlns="http://schemas.wps.cn/vas-ai-hub/contract-review">4C12B7A1</paraID>
      <start xmlns="http://schemas.wps.cn/vas-ai-hub/contract-review">81</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c280b627-f264-4b0f-805e-dce87dc461fa</errorID>
      <errorWord xmlns="http://schemas.wps.cn/vas-ai-hub/contract-review">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哑</item>
      </candidateList>
      <explain xmlns="http://schemas.wps.cn/vas-ai-hub/contract-review">存在发音相同字词的误用。</explain>
      <paraID xmlns="http://schemas.wps.cn/vas-ai-hub/contract-review"> BB7CBEF</paraID>
      <start xmlns="http://schemas.wps.cn/vas-ai-hub/contract-review">130</start>
      <end xmlns="http://schemas.wps.cn/vas-ai-hub/contract-review">131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d2048baa-5e54-4dc4-abdb-00253d5d4652</errorID>
      <errorWord xmlns="http://schemas.wps.cn/vas-ai-hub/contract-review">骨架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骨胶</item>
      </candidateList>
      <explain xmlns="http://schemas.wps.cn/vas-ai-hub/contract-review"/>
      <paraID xmlns="http://schemas.wps.cn/vas-ai-hub/contract-review">68AE64B4</paraID>
      <start xmlns="http://schemas.wps.cn/vas-ai-hub/contract-review">102</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d5f301eb-0cb4-4b98-ba64-397b99ce8115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68AE64B4</paraID>
      <start xmlns="http://schemas.wps.cn/vas-ai-hub/contract-review">214</start>
      <end xmlns="http://schemas.wps.cn/vas-ai-hub/contract-review">215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ed64c419-6a84-4abd-b021-2ab5d8c8f2ef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67E913CE</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0c3f7f74-cfe3-4b8f-a413-e23192c482b1</errorID>
      <errorWord xmlns="http://schemas.wps.cn/vas-ai-hub/contract-review">成型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成形</item>
      </candidateList>
      <explain xmlns="http://schemas.wps.cn/vas-ai-hub/contract-review"/>
      <paraID xmlns="http://schemas.wps.cn/vas-ai-hub/contract-review">1B029D2E</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38ec6d10-d33d-406b-9da9-c25b9d44cdb8</errorID>
      <errorWord xmlns="http://schemas.wps.cn/vas-ai-hub/contract-review">热压成型</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模压成型</item>
      </candidateList>
      <explain xmlns="http://schemas.wps.cn/vas-ai-hub/contract-review"/>
      <paraID xmlns="http://schemas.wps.cn/vas-ai-hub/contract-review">20778DCA</paraID>
      <start xmlns="http://schemas.wps.cn/vas-ai-hub/contract-review">21</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b3ecf435-d78b-453a-aaf5-aa6b8cbbc84e</errorID>
      <errorWord xmlns="http://schemas.wps.cn/vas-ai-hub/contract-review">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板</item>
      </candidateList>
      <explain xmlns="http://schemas.wps.cn/vas-ai-hub/contract-review">存在发音相同字词的误用。</explain>
      <paraID xmlns="http://schemas.wps.cn/vas-ai-hub/contract-review"> F64A88F</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ed325ed1-2a14-4309-8284-3a46443df60b</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 CDE989E</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e083fa9f-5e54-4d83-b945-5002fc29e268</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1EAF1C3D</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50edab2a-085d-493e-ab92-d553c8c8337c</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653A4DEE</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882fcbd9-79e1-4026-8071-03f946d63f36</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653A4DEE</paraID>
      <start xmlns="http://schemas.wps.cn/vas-ai-hub/contract-review">135</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5e826803-a523-4f9e-96de-98bbb66c10b0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261E774D</paraID>
      <start xmlns="http://schemas.wps.cn/vas-ai-hub/contract-review">87</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1218e82e-4bcb-4e8a-8b06-9c21807d07e3</errorID>
      <errorWord xmlns="http://schemas.wps.cn/vas-ai-hub/contract-review">0.1%~0.3%</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0.1%～0.3%</item>
      </candidateList>
      <explain xmlns="http://schemas.wps.cn/vas-ai-hub/contract-review">1. “0.1%~0.3%”中的单位“%”仅出现在后一个数字上，容易引起歧义；根据《现代汉语标点符号数字用法规范手册》，数字表示范围两边需要使用统一的格式。2.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4C1B1842</paraID>
      <start xmlns="http://schemas.wps.cn/vas-ai-hub/contract-review">10</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f5fe07a8-2b6d-41a6-99de-002e25d35738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22F301A0</paraID>
      <start xmlns="http://schemas.wps.cn/vas-ai-hub/contract-review">115</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6a639a6c-6576-4f61-879e-c44e353a9a7e</errorID>
      <errorWord xmlns="http://schemas.wps.cn/vas-ai-hub/contract-review">占有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沾有</item>
      </candidateList>
      <explain xmlns="http://schemas.wps.cn/vas-ai-hub/contract-review"/>
      <paraID xmlns="http://schemas.wps.cn/vas-ai-hub/contract-review">65491FFA</paraID>
      <start xmlns="http://schemas.wps.cn/vas-ai-hub/contract-review">20</start>
      <end xmlns="http://schemas.wps.cn/vas-ai-hub/contract-review">22</end>
      <status xmlns="http://schemas.wps.cn/vas-ai-hub/contract-review">modified</status>
      <modifiedWord xmlns="http://schemas.wps.cn/vas-ai-hub/contract-review">沾有</modifiedWord>
      <trackRevisions xmlns="http://schemas.wps.cn/vas-ai-hub/contract-review">false</trackRevisions>
    </reviewItem>
    <reviewItem xmlns="http://schemas.wps.cn/vas-ai-hub/contract-review">
      <errorID xmlns="http://schemas.wps.cn/vas-ai-hub/contract-review">7e2755ed-a447-4454-b091-d4a94860345f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3B0EA832</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93b85790-ed1a-493d-acf4-0459258e874e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3B0EA832</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abd0f698-ee1a-4a91-8d16-5b62fc8e6308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7F919167</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28872cfe-8c76-4a95-975b-0d48a4de770f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7F919167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a3599250-940c-4757-9e37-51d351d1f7c9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693BD862</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de0bc02b-9a9d-4979-820b-004d5725c580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693BD862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79022ea5-dca8-42b0-9be4-14bc5c37788d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23FAF451</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57fde50f-fc12-4e43-8b02-0eca26781f53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23FAF451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1c4d4d26-6de2-499b-81d6-7da9ead00147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51CF6A9A</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64677c76-7257-43f0-a137-10c5599c4174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51CF6A9A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9d06547c-7bd3-4667-ad46-ebc8d0a71199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F2BC57D</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6f4e8193-cf6f-4d4c-acdc-53baace496fd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F2BC57D</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92b3652b-63ca-4994-bb13-22c0400880e4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67DDE9A9</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25e8c690-8a91-4101-8e10-11a42f007349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67DDE9A9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3c7cab6c-919e-4fcb-baac-465a756c02a5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744A7D53</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f8982a0b-737e-4fbd-b667-57c15febbed6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744A7D53</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eedd8d11-0bab-4e9b-a5b8-295112494278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10E62DE1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684ceadd-2134-4032-b185-52bab8f70e9b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10E62DE1</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037c02b0-68aa-44e2-96ab-553731ceee0f</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1DC2E06F</paraID>
      <start xmlns="http://schemas.wps.cn/vas-ai-hub/contract-review">31</start>
      <end xmlns="http://schemas.wps.cn/vas-ai-hub/contract-review">33</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79a3445c-2e19-45f8-ad1f-ead91fc4e727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141674DC</paraID>
      <start xmlns="http://schemas.wps.cn/vas-ai-hub/contract-review">181</start>
      <end xmlns="http://schemas.wps.cn/vas-ai-hub/contract-review">182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ed594a5c-7595-4fac-a8a5-14c5146a15c7</errorID>
      <errorWord xmlns="http://schemas.wps.cn/vas-ai-hub/contract-review">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年度</item>
      </candidateList>
      <explain xmlns="http://schemas.wps.cn/vas-ai-hub/contract-review"/>
      <paraID xmlns="http://schemas.wps.cn/vas-ai-hub/contract-review">2E3873B5</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dc0f37d1-3375-48fb-8e95-7cb49e133be5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4FC1269</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750c9cc1-5c56-4ed1-8ef2-6d5d555fe45a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4FC1269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966f7209-14e2-43a3-ab28-5c62f33dd447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7E3FE34A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eeda0402-80df-44a3-9226-e81eae9fee8a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7E3FE34A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f6351eb5-d61c-4f10-93dd-875fdc1d8f76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45BF9349</paraID>
      <start xmlns="http://schemas.wps.cn/vas-ai-hub/contract-review">75</start>
      <end xmlns="http://schemas.wps.cn/vas-ai-hub/contract-review">76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b81c0398-1e8d-43c7-af17-aee738cb1397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1E2BD198</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db2d54ff-fc2e-4de5-85d7-0d29d67467cd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472D9A00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08cc608a-c3e9-412e-8383-9d3f1f0b5b8e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472D9A00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54fed1e5-4a37-4179-9e12-6024a0a27761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6F040C05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f09b4666-067b-4f36-9bbb-f7ea37fe1c7c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6F040C05</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568fd032-e6eb-4a7a-add6-ba0ad2afa747</errorID>
      <errorWord xmlns="http://schemas.wps.cn/vas-ai-hub/contract-review">[2012]4号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〔2012〕4号</item>
      </candidateList>
      <explain xmlns="http://schemas.wps.cn/vas-ai-hub/contract-review">发文字号格式错误。</explain>
      <paraID xmlns="http://schemas.wps.cn/vas-ai-hub/contract-review">64D4A914</paraID>
      <start xmlns="http://schemas.wps.cn/vas-ai-hub/contract-review">51</start>
      <end xmlns="http://schemas.wps.cn/vas-ai-hub/contract-review">59</end>
      <status xmlns="http://schemas.wps.cn/vas-ai-hub/contract-review">modified</status>
      <modifiedWord xmlns="http://schemas.wps.cn/vas-ai-hub/contract-review">〔2012〕4号</modifiedWord>
      <trackRevisions xmlns="http://schemas.wps.cn/vas-ai-hub/contract-review">false</trackRevisions>
    </reviewItem>
    <reviewItem xmlns="http://schemas.wps.cn/vas-ai-hub/contract-review">
      <errorID xmlns="http://schemas.wps.cn/vas-ai-hub/contract-review">0c7c0f7a-c2d5-4661-b27a-535b9a27a6c7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FCBF5D6</paraID>
      <start xmlns="http://schemas.wps.cn/vas-ai-hub/contract-review">197</start>
      <end xmlns="http://schemas.wps.cn/vas-ai-hub/contract-review">198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1ee06b53-b9f2-42c3-bda5-75c433fa80f5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55BFB1B2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a1fd813e-1d27-44a4-a178-35146a2d653e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69549ED4</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97179b50-87f7-48c6-a4e2-ec7066776001</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46774B66</paraID>
      <start xmlns="http://schemas.wps.cn/vas-ai-hub/contract-review">276</start>
      <end xmlns="http://schemas.wps.cn/vas-ai-hub/contract-review">278</end>
      <status xmlns="http://schemas.wps.cn/vas-ai-hub/contract-review">modified</status>
      <modifiedWord xmlns="http://schemas.wps.cn/vas-ai-hub/contract-review">程中</modifiedWord>
      <trackRevisions xmlns="http://schemas.wps.cn/vas-ai-hub/contract-review">false</trackRevisions>
    </reviewItem>
    <reviewItem xmlns="http://schemas.wps.cn/vas-ai-hub/contract-review">
      <errorID xmlns="http://schemas.wps.cn/vas-ai-hub/contract-review">5ff1fa6f-da4c-4ad0-86bc-e7f484a22c35</errorID>
      <errorWord xmlns="http://schemas.wps.cn/vas-ai-hub/contract-review">级其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及其</item>
      </candidateList>
      <explain xmlns="http://schemas.wps.cn/vas-ai-hub/contract-review">存在发音相同字词的误用。</explain>
      <paraID xmlns="http://schemas.wps.cn/vas-ai-hub/contract-review">46774B66</paraID>
      <start xmlns="http://schemas.wps.cn/vas-ai-hub/contract-review">335</start>
      <end xmlns="http://schemas.wps.cn/vas-ai-hub/contract-review">337</end>
      <status xmlns="http://schemas.wps.cn/vas-ai-hub/contract-review">modified</status>
      <modifiedWord xmlns="http://schemas.wps.cn/vas-ai-hub/contract-review">及其</modifiedWord>
      <trackRevisions xmlns="http://schemas.wps.cn/vas-ai-hub/contract-review">false</trackRevisions>
    </reviewItem>
    <reviewItem xmlns="http://schemas.wps.cn/vas-ai-hub/contract-review">
      <errorID xmlns="http://schemas.wps.cn/vas-ai-hub/contract-review">e949b165-08a9-4d89-940a-c5bdc5fb75fe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735BE3B6</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ef5c79a7-cca9-461b-8402-fb26d855188d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7A42F6BE</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6ec71256-5cea-4889-9c2d-e0556e6b610c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7A42F6BE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c515538d-1323-4b53-8293-6373b28f0326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1B79C03C</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0ee0dde4-3b5d-4f4d-b63c-767dff894b0c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1B79C03C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d337d11f-34e5-4fe9-83a6-6a9073194403</errorID>
      <errorWord xmlns="http://schemas.wps.cn/vas-ai-hub/contract-review">浇注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浇筑</item>
      </candidateList>
      <explain xmlns="http://schemas.wps.cn/vas-ai-hub/contract-review"/>
      <paraID xmlns="http://schemas.wps.cn/vas-ai-hub/contract-review">44357F4B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a48d8ff6-087e-46de-8a77-7535bdbcba7a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726E480C</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11119bf8-2f70-425b-aaab-0334555b0b40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726E480C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2de2ab6c-41e2-49fc-a31f-e61d4fc49be6</errorID>
      <errorWord xmlns="http://schemas.wps.cn/vas-ai-hub/contract-review">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设备</item>
      </candidateList>
      <explain xmlns="http://schemas.wps.cn/vas-ai-hub/contract-review">❶〈动〉设置以备应用：新建的工人俱乐部～得很不错。❷〈名〉进行某项工作或供应某种需要所必需的成套建筑或器物：厂房～｜机器～｜自来水～。</explain>
      <paraID xmlns="http://schemas.wps.cn/vas-ai-hub/contract-review"> 1EADA59</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3348bc4c-6dd0-429f-bed6-8af1319d895d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2789F377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ae5dfac9-8c9d-40ed-985d-63f277a115e7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724DEC67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0f30919a-4e19-40f6-a4d4-1bf59297090a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79558FAA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6cff0544-2dfb-4258-8e74-caea45a7b724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79558FAA</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9211f0a3-531d-4658-882e-7dc866024bcd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627554AE</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b6fa8b2f-350c-48d2-bfde-7390fadf79b1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4A3E9504</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d61eeb37-ab24-405e-934d-087169ef3591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A84FA2F</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98582cf3-a790-4556-a5bf-e28bceaf2d35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A84FA2F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4f977dfd-3de9-4220-8794-0be16f9b5fe9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2A7EA66E</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1953e5c1-b66f-4ef1-8153-d8b2c203dc2b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57C39D21</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f262b880-4971-4dd3-b522-68af7ad656ab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5D66B48E</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e9894a44-16c4-4d9d-815c-33b24a69e16f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5D66B48E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bb9e0ca9-5740-4a6b-bd70-1d3623b18e1e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8DE31F</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fe1874da-eaf7-4f19-b9f6-23b67344f5e1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245068CC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697695b9-de44-4566-a0dd-28bde4bdc50f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24E36AEE</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6939222b-8792-439d-9351-feb8cd42087f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24E36AEE</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32dd60ca-5219-4157-97ad-c347cab2ac12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399E21AF</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4e7d97b0-7b91-43e5-b023-532f290da1a9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399E21AF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507b2483-9631-4337-abc0-7f85de7e39b8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15505DA2</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d86496fd-c123-4def-a540-997a4678ba63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15505DA2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ebc9706f-8ada-46c6-ba41-cd5751a217c9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11E18766</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ef0c6f6f-7a65-4f65-9c0f-0c751aaeaf8e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11E18766</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54c33572-13a3-4302-b7c9-5131e91b3240</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50F099CC</paraID>
      <start xmlns="http://schemas.wps.cn/vas-ai-hub/contract-review">102</start>
      <end xmlns="http://schemas.wps.cn/vas-ai-hub/contract-review">104</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1129a588-1370-44ac-82d2-60f1648b220b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50F099CC</paraID>
      <start xmlns="http://schemas.wps.cn/vas-ai-hub/contract-review">119</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4eb7ece9-f6be-4107-a248-1fa644590be4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50F099CC</paraID>
      <start xmlns="http://schemas.wps.cn/vas-ai-hub/contract-review">161</start>
      <end xmlns="http://schemas.wps.cn/vas-ai-hub/contract-review">162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252c79ce-0ed0-4a27-a026-9c209e26d3ba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50F099CC</paraID>
      <start xmlns="http://schemas.wps.cn/vas-ai-hub/contract-review">173</start>
      <end xmlns="http://schemas.wps.cn/vas-ai-hub/contract-review">174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b7067cbd-3aba-4a54-b35d-4e19dceb3311</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4D27FF8B</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fe974975-3d45-4cb7-b48e-743631b41588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4D27FF8B</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22f4413c-2970-4c4e-9f4b-0fd7687f8dbd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4D27FF8B</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ddff92f2-9a85-4f2d-a2eb-7ba3f0db31a0</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4D27FF8B</paraID>
      <start xmlns="http://schemas.wps.cn/vas-ai-hub/contract-review">169</start>
      <end xmlns="http://schemas.wps.cn/vas-ai-hub/contract-review">170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e124fb02-b9a7-48f2-ad35-616cd60bc86d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7625B3D8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6d7868ab-d32c-4c0f-a640-18530d11b5bf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44FB7685</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6780de47-2041-4b25-b963-22e42a4b7026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37C07561</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7c7f8bce-50e6-43a1-9e4a-ce9685a22a2c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37C07561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0d578e58-bd2b-4135-8922-076e85e0ae9d</errorID>
      <errorWord xmlns="http://schemas.wps.cn/vas-ai-hub/contract-review">℃数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35696CCF</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770fbe04-5f6f-419f-9c94-5b0b9552b564</errorID>
      <errorWord xmlns="http://schemas.wps.cn/vas-ai-hub/contract-review">沉砂池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沉沙池</item>
      </candidateList>
      <explain xmlns="http://schemas.wps.cn/vas-ai-hub/contract-review">存在发音相同字词的误用。</explain>
      <paraID xmlns="http://schemas.wps.cn/vas-ai-hub/contract-review">2D1D4545</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4e0717fa-9d98-419d-93aa-c17e1bd53467</errorID>
      <errorWord xmlns="http://schemas.wps.cn/vas-ai-hub/contract-review">至至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至</item>
      </candidateList>
      <explain xmlns="http://schemas.wps.cn/vas-ai-hub/contract-review">❶〈动〉到：～今｜自始～终｜～死不屈。❷至于：甚～。❸〈副〉极；最：为感谢～｜你要早来，～迟下星期内一定赶到。</explain>
      <paraID xmlns="http://schemas.wps.cn/vas-ai-hub/contract-review">183153C8</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04d430c2-d29b-466f-b414-019188c3dd97</errorID>
      <errorWord xmlns="http://schemas.wps.cn/vas-ai-hub/contract-review">覆布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覆盖</item>
      </candidateList>
      <explain xmlns="http://schemas.wps.cn/vas-ai-hub/contract-review">❶〈动〉遮盖：积雪～着地面。❷〈名〉指地面上的植物，对于土壤有保护作用：没有～，水土容易流失。</explain>
      <paraID xmlns="http://schemas.wps.cn/vas-ai-hub/contract-review">70EC7D17</paraID>
      <start xmlns="http://schemas.wps.cn/vas-ai-hub/contract-review">38</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66dec71d-61e4-4004-b36c-bc0bb2f1b6ea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49F7ECF6</paraID>
      <start xmlns="http://schemas.wps.cn/vas-ai-hub/contract-review">75</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3ca41ddc-8bb3-4634-9979-c95514afc5a4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49F7ECF6</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a976d3e9-bb37-4b72-a996-953bc8f69fd3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49F7ECF6</paraID>
      <start xmlns="http://schemas.wps.cn/vas-ai-hub/contract-review">175</start>
      <end xmlns="http://schemas.wps.cn/vas-ai-hub/contract-review">178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58b960c7-f708-4a9c-b45c-3ec641fbaf90</errorID>
      <errorWord xmlns="http://schemas.wps.cn/vas-ai-hub/contract-review">的颗粒物</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细颗粒物</item>
      </candidateList>
      <explain xmlns="http://schemas.wps.cn/vas-ai-hub/contract-review"/>
      <paraID xmlns="http://schemas.wps.cn/vas-ai-hub/contract-review"> 514715E</paraID>
      <start xmlns="http://schemas.wps.cn/vas-ai-hub/contract-review">6</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6f884ad4-8f0b-4607-850c-c47101f37f84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637FE1D6</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c8a4fa9a-86ea-4f05-9b11-e85a3d317571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667D4978</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3af30cde-fa8e-4329-814b-894ac88d17d3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34A9946</paraID>
      <start xmlns="http://schemas.wps.cn/vas-ai-hub/contract-review">172</start>
      <end xmlns="http://schemas.wps.cn/vas-ai-hub/contract-review">173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e60b9e17-b28e-4dbd-b173-a89dc345261a</errorID>
      <errorWord xmlns="http://schemas.wps.cn/vas-ai-hub/contract-review">JB</errorWord>
      <group xmlns="http://schemas.wps.cn/vas-ai-hub/contract-review">L1_Sensitive</group>
      <groupName xmlns="http://schemas.wps.cn/vas-ai-hub/contract-review">敏感问题</groupName>
      <ability xmlns="http://schemas.wps.cn/vas-ai-hub/contract-review">L2_Abuse</ability>
      <abilityName xmlns="http://schemas.wps.cn/vas-ai-hub/contract-review">侮辱言辞</abilityName>
      <candidateList xmlns="http://schemas.wps.cn/vas-ai-hub/contract-review"/>
      <explain xmlns="http://schemas.wps.cn/vas-ai-hub/contract-review">【侮辱言辞】句中涉及侮辱性的敏感内容，请注意甄别。</explain>
      <paraID xmlns="http://schemas.wps.cn/vas-ai-hub/contract-review"> 34A9946</paraID>
      <start xmlns="http://schemas.wps.cn/vas-ai-hub/contract-review">173</start>
      <end xmlns="http://schemas.wps.cn/vas-ai-hub/contract-review">175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5850db0b-c131-4769-8f44-a183850f758c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34A9946</paraID>
      <start xmlns="http://schemas.wps.cn/vas-ai-hub/contract-review">187</start>
      <end xmlns="http://schemas.wps.cn/vas-ai-hub/contract-review">188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8b3bd6a7-7534-4239-8b25-1247829a4e1e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34A9946</paraID>
      <start xmlns="http://schemas.wps.cn/vas-ai-hub/contract-review">209</start>
      <end xmlns="http://schemas.wps.cn/vas-ai-hub/contract-review">210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e02dab44-cccd-415d-89d3-56fc63973248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34A9946</paraID>
      <start xmlns="http://schemas.wps.cn/vas-ai-hub/contract-review">243</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02f1b2bd-fbd2-4131-9c2c-6a886e2e355b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34A9946</paraID>
      <start xmlns="http://schemas.wps.cn/vas-ai-hub/contract-review">249</start>
      <end xmlns="http://schemas.wps.cn/vas-ai-hub/contract-review">250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a209b59a-972d-4126-a2e6-737e5a68988e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34A9946</paraID>
      <start xmlns="http://schemas.wps.cn/vas-ai-hub/contract-review">250</start>
      <end xmlns="http://schemas.wps.cn/vas-ai-hub/contract-review">251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667be030-2603-4eda-bc9a-3f3feecfcaae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34A9946</paraID>
      <start xmlns="http://schemas.wps.cn/vas-ai-hub/contract-review">258</start>
      <end xmlns="http://schemas.wps.cn/vas-ai-hub/contract-review">259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05d09209-3a75-4824-849e-202d01b6bf02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72B866B</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7f4a3784-a50e-4f98-b472-8e05a9032baf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CC9A8C5</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e9e76a10-9317-4861-9395-09e276d13007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CC9A8C5</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795f4c26-e33c-4e78-82b2-60c7f66db77c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75B22712</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c25d61fd-b69f-4d13-9db7-31a0c3099935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3FA36BA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1f2600f9-2aab-460a-8560-c858dd17352d</errorID>
      <errorWord xmlns="http://schemas.wps.cn/vas-ai-hub/contract-review">合成脂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合成酯</item>
      </candidateList>
      <explain xmlns="http://schemas.wps.cn/vas-ai-hub/contract-review"/>
      <paraID xmlns="http://schemas.wps.cn/vas-ai-hub/contract-review">4E14158A</paraID>
      <start xmlns="http://schemas.wps.cn/vas-ai-hub/contract-review">90</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9d0cee15-1e9f-48d9-8baf-cdaa0205fe7c</errorID>
      <errorWord xmlns="http://schemas.wps.cn/vas-ai-hub/contract-review">气化后</errorWord>
      <group xmlns="http://schemas.wps.cn/vas-ai-hub/contract-review">L1_Word</group>
      <groupName xmlns="http://schemas.wps.cn/vas-ai-hub/contract-review">字词问题</groupName>
      <ability xmlns="http://schemas.wps.cn/vas-ai-hub/contract-review">L2_Variant</ability>
      <abilityName xmlns="http://schemas.wps.cn/vas-ai-hub/contract-review">异形词</abilityName>
      <candidateList xmlns="http://schemas.wps.cn/vas-ai-hub/contract-review">
        <item xmlns="http://schemas.wps.cn/vas-ai-hub/contract-review">汽化后</item>
      </candidateList>
      <explain xmlns="http://schemas.wps.cn/vas-ai-hub/contract-review">词汇[气化后]的规范词形写作[汽化后]。</explain>
      <paraID xmlns="http://schemas.wps.cn/vas-ai-hub/contract-review">4E14158A</paraID>
      <start xmlns="http://schemas.wps.cn/vas-ai-hub/contract-review">139</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1a99548a-b25b-4114-a46d-01195e0c6013</errorID>
      <errorWord xmlns="http://schemas.wps.cn/vas-ai-hub/contract-review">机机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机</item>
      </candidateList>
      <explain xmlns="http://schemas.wps.cn/vas-ai-hub/contract-review"/>
      <paraID xmlns="http://schemas.wps.cn/vas-ai-hub/contract-review">4E14158A</paraID>
      <start xmlns="http://schemas.wps.cn/vas-ai-hub/contract-review">352</start>
      <end xmlns="http://schemas.wps.cn/vas-ai-hub/contract-review">354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df5f1a2c-905a-4507-afbf-1ee34674b445</errorID>
      <errorWord xmlns="http://schemas.wps.cn/vas-ai-hub/contract-review">浇注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浇筑</item>
      </candidateList>
      <explain xmlns="http://schemas.wps.cn/vas-ai-hub/contract-review"/>
      <paraID xmlns="http://schemas.wps.cn/vas-ai-hub/contract-review">4E14158A</paraID>
      <start xmlns="http://schemas.wps.cn/vas-ai-hub/contract-review">458</start>
      <end xmlns="http://schemas.wps.cn/vas-ai-hub/contract-review">460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81fff3e0-e818-4cb6-82ee-b0074960b1aa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4E14158A</paraID>
      <start xmlns="http://schemas.wps.cn/vas-ai-hub/contract-review">486</start>
      <end xmlns="http://schemas.wps.cn/vas-ai-hub/contract-review">487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628d3b0c-431f-4aa2-aeea-c20fbbbe79fe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4E14158A</paraID>
      <start xmlns="http://schemas.wps.cn/vas-ai-hub/contract-review">492</start>
      <end xmlns="http://schemas.wps.cn/vas-ai-hub/contract-review">493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71120c5c-8253-454a-85ad-404b1ede4278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4E14158A</paraID>
      <start xmlns="http://schemas.wps.cn/vas-ai-hub/contract-review">493</start>
      <end xmlns="http://schemas.wps.cn/vas-ai-hub/contract-review">494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b29d6fb2-afe5-4e9e-9520-912a58dbef4d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4E14158A</paraID>
      <start xmlns="http://schemas.wps.cn/vas-ai-hub/contract-review">499</start>
      <end xmlns="http://schemas.wps.cn/vas-ai-hub/contract-review">500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e43c0629-4398-4712-ace7-b8ad0efea413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7AEEDEC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c5f635a9-5751-45e4-987b-47a2225a6cf3</errorID>
      <errorWord xmlns="http://schemas.wps.cn/vas-ai-hub/contract-review">比例配置而成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比例配制而成</item>
      </candidateList>
      <explain xmlns="http://schemas.wps.cn/vas-ai-hub/contract-review"/>
      <paraID xmlns="http://schemas.wps.cn/vas-ai-hub/contract-review">486D713C</paraID>
      <start xmlns="http://schemas.wps.cn/vas-ai-hub/contract-review">25</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fae524bf-488a-4da5-b79f-8cf00547a8dc</errorID>
      <errorWord xmlns="http://schemas.wps.cn/vas-ai-hub/contract-review">份</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分</item>
      </candidateList>
      <explain xmlns="http://schemas.wps.cn/vas-ai-hub/contract-review">请检查“份”是否为量词使用错误，建议修改为“分”。</explain>
      <paraID xmlns="http://schemas.wps.cn/vas-ai-hub/contract-review">486D713C</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8aca38c6-fbdd-40ad-ace0-5bdf634689ad</errorID>
      <errorWord xmlns="http://schemas.wps.cn/vas-ai-hub/contract-review">主要以乙醇挥发为主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以乙醇挥发为主</item>
      </candidateList>
      <explain xmlns="http://schemas.wps.cn/vas-ai-hub/contract-review"/>
      <paraID xmlns="http://schemas.wps.cn/vas-ai-hub/contract-review">486D713C</paraID>
      <start xmlns="http://schemas.wps.cn/vas-ai-hub/contract-review">104</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f14ab917-e01b-4c64-b65d-3cd7b9290c1e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6373EC65</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02e34f13-5df4-4ff3-b0ab-af3baba01601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418BBD80</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512a0dd6-0905-4232-a4bb-21a147c1139f</errorID>
      <errorWord xmlns="http://schemas.wps.cn/vas-ai-hub/contract-review">环保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环境</item>
      </candidateList>
      <explain xmlns="http://schemas.wps.cn/vas-ai-hub/contract-review">〈名〉❶周围的地方：～优美｜～卫生。❷周围的情况和条件：客观～｜工作～。</explain>
      <paraID xmlns="http://schemas.wps.cn/vas-ai-hub/contract-review">7141D664</paraID>
      <start xmlns="http://schemas.wps.cn/vas-ai-hub/contract-review">37</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80bbcca9-f391-4595-88f1-d1ba76938ad9</errorID>
      <errorWord xmlns="http://schemas.wps.cn/vas-ai-hub/contract-review">则颗粒物</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细颗粒物</item>
      </candidateList>
      <explain xmlns="http://schemas.wps.cn/vas-ai-hub/contract-review"/>
      <paraID xmlns="http://schemas.wps.cn/vas-ai-hub/contract-review">7141D664</paraID>
      <start xmlns="http://schemas.wps.cn/vas-ai-hub/contract-review">250</start>
      <end xmlns="http://schemas.wps.cn/vas-ai-hub/contract-review">254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77485e6b-b1fd-4b8e-95b5-943bd74b807f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352F976A</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d2327b27-8fcb-4948-86e5-7f5307f73b1a</errorID>
      <errorWord xmlns="http://schemas.wps.cn/vas-ai-hub/contract-review">JB</errorWord>
      <group xmlns="http://schemas.wps.cn/vas-ai-hub/contract-review">L1_Sensitive</group>
      <groupName xmlns="http://schemas.wps.cn/vas-ai-hub/contract-review">敏感问题</groupName>
      <ability xmlns="http://schemas.wps.cn/vas-ai-hub/contract-review">L2_Abuse</ability>
      <abilityName xmlns="http://schemas.wps.cn/vas-ai-hub/contract-review">侮辱言辞</abilityName>
      <candidateList xmlns="http://schemas.wps.cn/vas-ai-hub/contract-review"/>
      <explain xmlns="http://schemas.wps.cn/vas-ai-hub/contract-review">【侮辱言辞】句中涉及侮辱性的敏感内容，请注意甄别。</explain>
      <paraID xmlns="http://schemas.wps.cn/vas-ai-hub/contract-review">352F976A</paraID>
      <start xmlns="http://schemas.wps.cn/vas-ai-hub/contract-review">80</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d2e547d1-16f3-4310-ab45-5bf8a67bdb3c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352F976A</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4cce4b13-5366-4e1a-a2cf-2cdd23e928d2</errorID>
      <errorWord xmlns="http://schemas.wps.cn/vas-ai-hub/contract-review">99.5%~99.99%</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99.5%～99.99%</item>
      </candidateList>
      <explain xmlns="http://schemas.wps.cn/vas-ai-hub/contract-review">1. “99.5%~99.99%”中的单位“%”仅出现在后一个数字上，容易引起歧义；根据《现代汉语标点符号数字用法规范手册》，数字表示范围两边需要使用统一的格式。2.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352F976A</paraID>
      <start xmlns="http://schemas.wps.cn/vas-ai-hub/contract-review">111</start>
      <end xmlns="http://schemas.wps.cn/vas-ai-hub/contract-review">123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1cf2507d-ddbf-424e-b8df-6df4fe1b61f1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item>
      </candidateList>
      <explain xmlns="http://schemas.wps.cn/vas-ai-hub/contract-review"/>
      <paraID xmlns="http://schemas.wps.cn/vas-ai-hub/contract-review">30707411</paraID>
      <start xmlns="http://schemas.wps.cn/vas-ai-hub/contract-review">10</start>
      <end xmlns="http://schemas.wps.cn/vas-ai-hub/contract-review">12</end>
      <status xmlns="http://schemas.wps.cn/vas-ai-hub/contract-review">modified</status>
      <modifiedWord xmlns="http://schemas.wps.cn/vas-ai-hub/contract-review">：根</modifiedWord>
      <trackRevisions xmlns="http://schemas.wps.cn/vas-ai-hub/contract-review">false</trackRevisions>
    </reviewItem>
    <reviewItem xmlns="http://schemas.wps.cn/vas-ai-hub/contract-review">
      <errorID xmlns="http://schemas.wps.cn/vas-ai-hub/contract-review">c85a9ad3-4bcc-414a-9aa1-63f3119eeb62</errorID>
      <errorWord xmlns="http://schemas.wps.cn/vas-ai-hub/contract-review">2-4%</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2%—4%</item>
      </candidateList>
      <explain xmlns="http://schemas.wps.cn/vas-ai-hub/contract-review">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 AFF94A0</paraID>
      <start xmlns="http://schemas.wps.cn/vas-ai-hub/contract-review">81</start>
      <end xmlns="http://schemas.wps.cn/vas-ai-hub/contract-review">86</end>
      <status xmlns="http://schemas.wps.cn/vas-ai-hub/contract-review">modified</status>
      <modifiedWord xmlns="http://schemas.wps.cn/vas-ai-hub/contract-review">2%—4%</modifiedWord>
      <trackRevisions xmlns="http://schemas.wps.cn/vas-ai-hub/contract-review">false</trackRevisions>
    </reviewItem>
    <reviewItem xmlns="http://schemas.wps.cn/vas-ai-hub/contract-review">
      <errorID xmlns="http://schemas.wps.cn/vas-ai-hub/contract-review">a76d6909-2638-4dda-bba2-5df6e930f0bc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4B1F2BDF</paraID>
      <start xmlns="http://schemas.wps.cn/vas-ai-hub/contract-review">72</start>
      <end xmlns="http://schemas.wps.cn/vas-ai-hub/contract-review">73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4a1cd542-e7f4-4c04-86a9-42cb05b0ff15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4B1F2BDF</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82ec0a65-98a6-4936-8c15-1ae9ecb102bc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315C843F</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9c5258e2-b479-4836-b0c1-f2fe34426016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26A2EC2C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6af3fcd7-1b60-4445-8ebb-9af05ce4471a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26A2EC2C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cc6ae3cc-49fb-49a2-bd32-79407a0073d9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5169FB2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701e6894-3b82-44bd-b409-2246fc081d9f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5169FB2</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8e042c95-ad1d-4795-87ff-3e0602e60443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3982AD2E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6d40a4af-0ac1-4bc5-adc3-5756d70b9d40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3982AD2E</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b2804796-3005-4679-9462-7838fd7545cd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58706DE6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2eda5455-21f9-43b4-b629-6fcde547d88f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58706DE6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7c35ae91-dd40-4547-b74e-9da4a2f4d5c1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4D10F436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ce98bcc3-0164-4fba-bae2-66e7e7eaf9fe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4D10F436</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0310ce10-44d3-4793-8577-4b5e0c35380f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6C7DFB41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476a4c41-181d-4e4b-9f76-4ccae3bb943a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6C7DFB41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44ec0353-bf6c-482f-a751-5d3fb9916f7b</errorID>
      <errorWord xmlns="http://schemas.wps.cn/vas-ai-hub/contract-review">环境检测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环境监测</item>
      </candidateList>
      <explain xmlns="http://schemas.wps.cn/vas-ai-hub/contract-review"/>
      <paraID xmlns="http://schemas.wps.cn/vas-ai-hub/contract-review">7F7E22E2</paraID>
      <start xmlns="http://schemas.wps.cn/vas-ai-hub/contract-review">190</start>
      <end xmlns="http://schemas.wps.cn/vas-ai-hub/contract-review">194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47bef053-d2cd-4a34-8ad9-211addfa2257</errorID>
      <errorWord xmlns="http://schemas.wps.cn/vas-ai-hub/contract-review">使用量宜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使用量</item>
      </candidateList>
      <explain xmlns="http://schemas.wps.cn/vas-ai-hub/contract-review"/>
      <paraID xmlns="http://schemas.wps.cn/vas-ai-hub/contract-review">1D2BB454</paraID>
      <start xmlns="http://schemas.wps.cn/vas-ai-hub/contract-review">50</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44f99e37-f185-4d19-885c-0e2d4ba977b1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65B16166</paraID>
      <start xmlns="http://schemas.wps.cn/vas-ai-hub/contract-review">82</start>
      <end xmlns="http://schemas.wps.cn/vas-ai-hub/contract-review">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c74a2471-d632-4085-b304-cdb889438022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65B16166</paraID>
      <start xmlns="http://schemas.wps.cn/vas-ai-hub/contract-review">102</start>
      <end xmlns="http://schemas.wps.cn/vas-ai-hub/contract-review">105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63455c3b-3590-44a0-807c-603efb92562d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65B16166</paraID>
      <start xmlns="http://schemas.wps.cn/vas-ai-hub/contract-review">140</start>
      <end xmlns="http://schemas.wps.cn/vas-ai-hub/contract-review">141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dfefcc32-a2f0-4cee-b0fb-9823c40ee3fb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65B16166</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05647c3e-1c87-49b6-aa8f-d7bfe21e67d2</errorID>
      <errorWord xmlns="http://schemas.wps.cn/vas-ai-hub/contract-review">使用量宜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使用量</item>
      </candidateList>
      <explain xmlns="http://schemas.wps.cn/vas-ai-hub/contract-review"/>
      <paraID xmlns="http://schemas.wps.cn/vas-ai-hub/contract-review">65B16166</paraID>
      <start xmlns="http://schemas.wps.cn/vas-ai-hub/contract-review">167</start>
      <end xmlns="http://schemas.wps.cn/vas-ai-hub/contract-review">171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6ce41290-1ce5-4eaa-933e-d7b23cb82490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65B16166</paraID>
      <start xmlns="http://schemas.wps.cn/vas-ai-hub/contract-review">239</start>
      <end xmlns="http://schemas.wps.cn/vas-ai-hub/contract-review">240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99fb05d3-15b0-427d-befa-4978b8d19b76</errorID>
      <errorWord xmlns="http://schemas.wps.cn/vas-ai-hub/contract-review">等离子等</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等离子焰</item>
      </candidateList>
      <explain xmlns="http://schemas.wps.cn/vas-ai-hub/contract-review"/>
      <paraID xmlns="http://schemas.wps.cn/vas-ai-hub/contract-review">65B16166</paraID>
      <start xmlns="http://schemas.wps.cn/vas-ai-hub/contract-review">243</start>
      <end xmlns="http://schemas.wps.cn/vas-ai-hub/contract-review">247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a783cc34-7f63-4b68-ab95-07ee07ecbfbb</errorID>
      <errorWord xmlns="http://schemas.wps.cn/vas-ai-hub/contract-review">克星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可行</item>
      </candidateList>
      <explain xmlns="http://schemas.wps.cn/vas-ai-hub/contract-review"/>
      <paraID xmlns="http://schemas.wps.cn/vas-ai-hub/contract-review"> 2AD7E11</paraID>
      <start xmlns="http://schemas.wps.cn/vas-ai-hub/contract-review">74</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6c6f5d5f-cc1d-40da-978e-5498fa384e43</errorID>
      <errorWord xmlns="http://schemas.wps.cn/vas-ai-hub/contract-review">粘接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黏结</item>
      </candidateList>
      <explain xmlns="http://schemas.wps.cn/vas-ai-hub/contract-review"/>
      <paraID xmlns="http://schemas.wps.cn/vas-ai-hub/contract-review"> B1A2E15</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4ba650bc-9b2a-4e8b-b370-0666238d04a3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7A94A748</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3bf1cb97-c4e7-44d4-bc24-7d030f905207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4576FA9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40106f1e-1136-4f1f-bf4e-1b2abbde0c5f</errorID>
      <errorWord xmlns="http://schemas.wps.cn/vas-ai-hub/contract-review">交有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交由</item>
      </candidateList>
      <explain xmlns="http://schemas.wps.cn/vas-ai-hub/contract-review"/>
      <paraID xmlns="http://schemas.wps.cn/vas-ai-hub/contract-review">3420663B</paraID>
      <start xmlns="http://schemas.wps.cn/vas-ai-hub/contract-review">77</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a989c24e-fe3d-43d9-9e9d-c5c06d8cf8ac</errorID>
      <errorWord xmlns="http://schemas.wps.cn/vas-ai-hub/contract-review">占</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沾</item>
      </candidateList>
      <explain xmlns="http://schemas.wps.cn/vas-ai-hub/contract-review">存在发音相同字词的误用。</explain>
      <paraID xmlns="http://schemas.wps.cn/vas-ai-hub/contract-review">1CC4C98A</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e01c20b6-398a-453c-af10-8eec5cf57dc2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769F478D</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c2b7487f-b75c-4b70-b495-54d2e2b1c8d5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4924AC98</paraID>
      <start xmlns="http://schemas.wps.cn/vas-ai-hub/contract-review">183</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559befac-229c-46d3-a535-86d17a1a6e7e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4924AC98</paraID>
      <start xmlns="http://schemas.wps.cn/vas-ai-hub/contract-review">195</start>
      <end xmlns="http://schemas.wps.cn/vas-ai-hub/contract-review">196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e622613f-89a5-4444-9493-2ba55b256ee2</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47BA8386</paraID>
      <start xmlns="http://schemas.wps.cn/vas-ai-hub/contract-review">177</start>
      <end xmlns="http://schemas.wps.cn/vas-ai-hub/contract-review">178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c8a6a50f-b1ab-43a6-af63-3e2f3e143fd9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47BA8386</paraID>
      <start xmlns="http://schemas.wps.cn/vas-ai-hub/contract-review">232</start>
      <end xmlns="http://schemas.wps.cn/vas-ai-hub/contract-review">233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08943738-5132-433b-8c9c-286fa61050f3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47BA8386</paraID>
      <start xmlns="http://schemas.wps.cn/vas-ai-hub/contract-review">244</start>
      <end xmlns="http://schemas.wps.cn/vas-ai-hub/contract-review">245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561e6c7f-8496-491b-9d41-b85a68c0fa38</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47BA8386</paraID>
      <start xmlns="http://schemas.wps.cn/vas-ai-hub/contract-review">432</start>
      <end xmlns="http://schemas.wps.cn/vas-ai-hub/contract-review">434</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2c820fc5-2bb6-41e1-b840-83028076d971</errorID>
      <errorWord xmlns="http://schemas.wps.cn/vas-ai-hub/contract-review">《城镇污水处理厂污染物排放标准（GB18918-2002）》</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《城镇污水处理厂污染物排放标准》（GB18918-2002）</item>
      </candidateList>
      <explain xmlns="http://schemas.wps.cn/vas-ai-hub/contract-review">疑似政策文件、法律法规名称等书写不规范，请注意检查。</explain>
      <paraID xmlns="http://schemas.wps.cn/vas-ai-hub/contract-review">47BA8386</paraID>
      <start xmlns="http://schemas.wps.cn/vas-ai-hub/contract-review">434</start>
      <end xmlns="http://schemas.wps.cn/vas-ai-hub/contract-review">464</end>
      <status xmlns="http://schemas.wps.cn/vas-ai-hub/contract-review">modified</status>
      <modifiedWord xmlns="http://schemas.wps.cn/vas-ai-hub/contract-review">《城镇污水处理厂污染物排放标准》（GB18918-2002）</modifiedWord>
      <trackRevisions xmlns="http://schemas.wps.cn/vas-ai-hub/contract-review">false</trackRevisions>
    </reviewItem>
    <reviewItem xmlns="http://schemas.wps.cn/vas-ai-hub/contract-review">
      <errorID xmlns="http://schemas.wps.cn/vas-ai-hub/contract-review">2526ca53-d863-4861-b612-2f9fe437fccc</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3809DC68</paraID>
      <start xmlns="http://schemas.wps.cn/vas-ai-hub/contract-review">45</start>
      <end xmlns="http://schemas.wps.cn/vas-ai-hub/contract-review">47</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f401ce03-70b3-430d-8447-aac9527dcf49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3809DC68</paraID>
      <start xmlns="http://schemas.wps.cn/vas-ai-hub/contract-review">101</start>
      <end xmlns="http://schemas.wps.cn/vas-ai-hub/contract-review">102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34f8b3fa-76cd-4880-bf42-dafb43ad7574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3809DC68</paraID>
      <start xmlns="http://schemas.wps.cn/vas-ai-hub/contract-review">113</start>
      <end xmlns="http://schemas.wps.cn/vas-ai-hub/contract-review">114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58a21ddf-4693-4d08-a70f-719fca358aa3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6B3D9F9E</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2d2cdc63-347e-4ac5-b199-b91ae3229781</errorID>
      <errorWord xmlns="http://schemas.wps.cn/vas-ai-hub/contract-review">废油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含油</item>
      </candidateList>
      <explain xmlns="http://schemas.wps.cn/vas-ai-hub/contract-review"/>
      <paraID xmlns="http://schemas.wps.cn/vas-ai-hub/contract-review">243FAD1B</paraID>
      <start xmlns="http://schemas.wps.cn/vas-ai-hub/contract-review">0</start>
      <end xmlns="http://schemas.wps.cn/vas-ai-hub/contract-review">2</end>
      <status xmlns="http://schemas.wps.cn/vas-ai-hub/contract-review">modified</status>
      <modifiedWord xmlns="http://schemas.wps.cn/vas-ai-hub/contract-review">含油</modifiedWord>
      <trackRevisions xmlns="http://schemas.wps.cn/vas-ai-hub/contract-review">false</trackRevisions>
    </reviewItem>
    <reviewItem xmlns="http://schemas.wps.cn/vas-ai-hub/contract-review">
      <errorID xmlns="http://schemas.wps.cn/vas-ai-hub/contract-review">c60de8c4-cbcc-4aaf-81e3-b1594fda2bc3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29763475</paraID>
      <start xmlns="http://schemas.wps.cn/vas-ai-hub/contract-review">76</start>
      <end xmlns="http://schemas.wps.cn/vas-ai-hub/contract-review">77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6be9156b-54ca-4e8c-8d78-14a71acbdb2d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6CC799A0</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14f3daa8-6e34-48c3-ae5c-768844e6f46c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6CC799A0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5069720d-d0e4-4c7f-8873-f7d4a8a98938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20FEB65C</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d5b34690-c97a-4bbd-8e33-fc1d3128f60a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20FEB65C</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0c6f1fa2-6c0e-4c43-bc91-42c0d509cf93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 </item>
      </candidateList>
      <explain xmlns="http://schemas.wps.cn/vas-ai-hub/contract-review">文本全半角错误。</explain>
      <paraID xmlns="http://schemas.wps.cn/vas-ai-hub/contract-review">2B61F409</paraID>
      <start xmlns="http://schemas.wps.cn/vas-ai-hub/contract-review">1</start>
      <end xmlns="http://schemas.wps.cn/vas-ai-hub/contract-review">3</end>
      <status xmlns="http://schemas.wps.cn/vas-ai-hub/contract-review">modified</status>
      <modifiedWord xmlns="http://schemas.wps.cn/vas-ai-hub/contract-review">, </modifiedWord>
      <trackRevisions xmlns="http://schemas.wps.cn/vas-ai-hub/contract-review">false</trackRevisions>
    </reviewItem>
    <reviewItem xmlns="http://schemas.wps.cn/vas-ai-hub/contract-review">
      <errorID xmlns="http://schemas.wps.cn/vas-ai-hub/contract-review">c46e6e53-a19c-4062-848b-d58c17239fc2</errorID>
      <errorWord xmlns="http://schemas.wps.cn/vas-ai-hub/contract-review">裙脚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裙角</item>
      </candidateList>
      <explain xmlns="http://schemas.wps.cn/vas-ai-hub/contract-review"/>
      <paraID xmlns="http://schemas.wps.cn/vas-ai-hub/contract-review">26CA4758</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728d2438-f7b2-4224-9c51-faa16379636b</errorID>
      <errorWord xmlns="http://schemas.wps.cn/vas-ai-hub/contract-review">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水污</item>
      </candidateList>
      <explain xmlns="http://schemas.wps.cn/vas-ai-hub/contract-review"/>
      <paraID xmlns="http://schemas.wps.cn/vas-ai-hub/contract-review">102DAB6D</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3f063fc9-30ec-472e-a3ef-d8a4f61db586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7A6792E</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c0cf3537-e86e-47de-b14b-13f30935818c</errorID>
      <errorWord xmlns="http://schemas.wps.cn/vas-ai-hub/contract-review">途经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途径</item>
      </candidateList>
      <explain xmlns="http://schemas.wps.cn/vas-ai-hub/contract-review">〈名〉路径（多用于比喻）：寻找解决问题的～｜革新的～。</explain>
      <paraID xmlns="http://schemas.wps.cn/vas-ai-hub/contract-review"> E240017</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3675e4d9-09e6-4314-a740-3f1e1c5104cb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19C838D1</paraID>
      <start xmlns="http://schemas.wps.cn/vas-ai-hub/contract-review">1</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7ee525bf-883f-4774-b9e3-2a85edcc0b0d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3C48B9A9</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fa60ff6d-b536-4e1a-82d8-738c23616461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5044D483</paraID>
      <start xmlns="http://schemas.wps.cn/vas-ai-hub/contract-review">1</start>
      <end xmlns="http://schemas.wps.cn/vas-ai-hub/contract-review">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e13b05ba-ce3e-4f47-8e97-105e04f73a0a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612CE44B</paraID>
      <start xmlns="http://schemas.wps.cn/vas-ai-hub/contract-review">288</start>
      <end xmlns="http://schemas.wps.cn/vas-ai-hub/contract-review">290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c8e5e8ef-dfc2-46fd-a052-3a083c9f9e09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612CE44B</paraID>
      <start xmlns="http://schemas.wps.cn/vas-ai-hub/contract-review">294</start>
      <end xmlns="http://schemas.wps.cn/vas-ai-hub/contract-review">296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38bc0e27-9c85-4e50-a755-e2684096de4b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495B02C6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8bef6e7a-20ea-4949-af23-63dc2844a8f8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495B02C6</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f7fb98df-3b13-4288-a9d6-5fb791f3b708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4A7A0513</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9d4ff63c-86e4-4774-8a49-efc5dc953668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26AC456F</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20a0fa2e-063b-4251-9229-257bdaeba97e</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46BF3486</paraID>
      <start xmlns="http://schemas.wps.cn/vas-ai-hub/contract-review">75</start>
      <end xmlns="http://schemas.wps.cn/vas-ai-hub/contract-review">77</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055f1717-7e64-406d-8306-bc8ca26e0272</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 905974F</paraID>
      <start xmlns="http://schemas.wps.cn/vas-ai-hub/contract-review">71</start>
      <end xmlns="http://schemas.wps.cn/vas-ai-hub/contract-review">73</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998ce7aa-d11b-4054-a84c-32cef7a69718</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 905974F</paraID>
      <start xmlns="http://schemas.wps.cn/vas-ai-hub/contract-review">133</start>
      <end xmlns="http://schemas.wps.cn/vas-ai-hub/contract-review">135</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82330c37-856a-4e46-a0e1-f4d95ad24584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C66FBE1</paraID>
      <start xmlns="http://schemas.wps.cn/vas-ai-hub/contract-review">63</start>
      <end xmlns="http://schemas.wps.cn/vas-ai-hub/contract-review">64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36f5bf81-da41-4091-8c5a-bb57ea8cb7ee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C66FBE1</paraID>
      <start xmlns="http://schemas.wps.cn/vas-ai-hub/contract-review">75</start>
      <end xmlns="http://schemas.wps.cn/vas-ai-hub/contract-review">76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091f433d-ee6b-4d59-91f1-0386c817ac9f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4B106AD1</paraID>
      <start xmlns="http://schemas.wps.cn/vas-ai-hub/contract-review">91</start>
      <end xmlns="http://schemas.wps.cn/vas-ai-hub/contract-review">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6e0d8c29-faf1-4bca-bd41-79bd69008dc3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1C71DB0A</paraID>
      <start xmlns="http://schemas.wps.cn/vas-ai-hub/contract-review">288</start>
      <end xmlns="http://schemas.wps.cn/vas-ai-hub/contract-review">290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a771336c-eec6-4654-826c-05c9f31408d6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1C71DB0A</paraID>
      <start xmlns="http://schemas.wps.cn/vas-ai-hub/contract-review">294</start>
      <end xmlns="http://schemas.wps.cn/vas-ai-hub/contract-review">296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45a073e2-bfe6-4777-8b72-f2488d1a0370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95E061A</paraID>
      <start xmlns="http://schemas.wps.cn/vas-ai-hub/contract-review">139</start>
      <end xmlns="http://schemas.wps.cn/vas-ai-hub/contract-review">140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fc3efb93-224f-4f3c-be66-01072be6a749</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7A52FEB4</paraID>
      <start xmlns="http://schemas.wps.cn/vas-ai-hub/contract-review">28</start>
      <end xmlns="http://schemas.wps.cn/vas-ai-hub/contract-review">30</end>
      <status xmlns="http://schemas.wps.cn/vas-ai-hub/contract-review">modified</status>
      <modifiedWord xmlns="http://schemas.wps.cn/vas-ai-hub/contract-review">达到</modifiedWord>
      <trackRevisions xmlns="http://schemas.wps.cn/vas-ai-hub/contract-review">false</trackRevisions>
    </reviewItem>
    <reviewItem xmlns="http://schemas.wps.cn/vas-ai-hub/contract-review">
      <errorID xmlns="http://schemas.wps.cn/vas-ai-hub/contract-review">71aeb620-7646-4264-b6cf-eda95d7137e7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3D349E0C</paraID>
      <start xmlns="http://schemas.wps.cn/vas-ai-hub/contract-review">178</start>
      <end xmlns="http://schemas.wps.cn/vas-ai-hub/contract-review">179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422abcb5-1d37-43e8-804a-17f075b53a5a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27EACA76</paraID>
      <start xmlns="http://schemas.wps.cn/vas-ai-hub/contract-review">287</start>
      <end xmlns="http://schemas.wps.cn/vas-ai-hub/contract-review">289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cce8518b-5cf5-4b17-9e23-6dbf0646094f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27EACA76</paraID>
      <start xmlns="http://schemas.wps.cn/vas-ai-hub/contract-review">293</start>
      <end xmlns="http://schemas.wps.cn/vas-ai-hub/contract-review">295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d4a82d5c-0c40-446b-8456-c66e620655a7</errorID>
      <errorWord xmlns="http://schemas.wps.cn/vas-ai-hub/contract-review">三线一单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“三线一单”</item>
      </candidateList>
      <explain xmlns="http://schemas.wps.cn/vas-ai-hub/contract-review">注意检查当前固定表述标点是否使用规范。</explain>
      <paraID xmlns="http://schemas.wps.cn/vas-ai-hub/contract-review">3578444A</paraID>
      <start xmlns="http://schemas.wps.cn/vas-ai-hub/contract-review">4</start>
      <end xmlns="http://schemas.wps.cn/vas-ai-hub/contract-review">10</end>
      <status xmlns="http://schemas.wps.cn/vas-ai-hub/contract-review">modified</status>
      <modifiedWord xmlns="http://schemas.wps.cn/vas-ai-hub/contract-review">“三线一单”</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A5CC7-52F5-4583-8717-9A1EC71A4BE1}">
  <ds:schemaRefs/>
</ds:datastoreItem>
</file>

<file path=customXml/itemProps3.xml><?xml version="1.0" encoding="utf-8"?>
<ds:datastoreItem xmlns:ds="http://schemas.openxmlformats.org/officeDocument/2006/customXml" ds:itemID="{f86a3f14-ec46-4b82-885d-77f3452570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109</Pages>
  <Words>903</Words>
  <Characters>1026</Characters>
  <Lines>635</Lines>
  <Paragraphs>178</Paragraphs>
  <TotalTime>90</TotalTime>
  <ScaleCrop>false</ScaleCrop>
  <LinksUpToDate>false</LinksUpToDate>
  <CharactersWithSpaces>1104</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2024-01-21T21:23:00Z</dcterms:created>
  <dc:creator>NiCo</dc:creator>
  <cp:lastModifiedBy>user</cp:lastModifiedBy>
  <cp:lastPrinted>2024-07-16T09:59:00Z</cp:lastPrinted>
  <dcterms:modified xsi:type="dcterms:W3CDTF">2025-12-18T15:28:19Z</dcterms:modified>
  <dc:title>恒佳二期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A4B77954566645D7A645537EED99D677_13</vt:lpwstr>
  </property>
  <property fmtid="{D5CDD505-2E9C-101B-9397-08002B2CF9AE}" pid="4" name="KSOTemplateDocerSaveRecord">
    <vt:lpwstr>eyJoZGlkIjoiOTBlZmMzNGJhNzU4NDMzYzM2ZDJmNDlmOTFjYTUzNjIiLCJ1c2VySWQiOiI4OTU0ODAzIn0=</vt:lpwstr>
  </property>
</Properties>
</file>