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解读2026年一季度经济运行情况</w:t>
      </w:r>
    </w:p>
    <w:p w14:paraId="138B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 w14:paraId="1AF9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初步核算，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一季度我区（不含万盛经开区）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地区生产总值按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不变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价格计算同比增长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%；第二产业增加值同比增长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%；工业增加值同比增长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%；建筑业增加值同比增长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1.7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%；第三产业增加值同比增长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</w:t>
      </w:r>
    </w:p>
    <w:p w14:paraId="092361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总的来看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，2026 年一季度经济实现良好开局，增速回升、韧性凸显，政策效应持续释放。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但当前环境更加错综复杂，有效需求仍显不足，经济向好的基础还需夯实。下阶段，要继续坚持稳中求进工作总基调，推动各项稳增长政策持续显效，着力激发经营主体活力，充分释放居民消费潜力，加快推动科技创新和产业转型深度融合，持续扩大有效投资积蓄发展后劲，积极引育动能挖掘经济新潜能，盘活存量、做优增量、提升质量、预防变量，不断筑牢全区经济持续向好发展的基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04D6899"/>
    <w:rsid w:val="2FA96912"/>
    <w:rsid w:val="32A46BE7"/>
    <w:rsid w:val="37895702"/>
    <w:rsid w:val="4395388C"/>
    <w:rsid w:val="53CE5EEF"/>
    <w:rsid w:val="65FB265C"/>
    <w:rsid w:val="6BB41DDA"/>
    <w:rsid w:val="7E58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365</Characters>
  <Lines>0</Lines>
  <Paragraphs>0</Paragraphs>
  <TotalTime>10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2024-01-31T01:15:00Z</dcterms:created>
  <dc:creator>Administrator</dc:creator>
  <cp:lastModifiedBy>兔美</cp:lastModifiedBy>
  <cp:lastPrinted>2026-04-29T01:02:01Z</cp:lastPrinted>
  <dcterms:modified xsi:type="dcterms:W3CDTF">2026-04-29T01:02:05Z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522E3DEDF54F47E99FB6B5AD428FE372_12</vt:lpwstr>
  </property>
  <property fmtid="{D5CDD505-2E9C-101B-9397-08002B2CF9AE}" pid="4" name="KSOTemplateDocerSaveRecord">
    <vt:lpwstr>eyJoZGlkIjoiYmNhMGZiNzI2NGI2MmNjZjU4MGUxZTFjZmVjODUzMjEiLCJ1c2VySWQiOiIxMDQxNzE4NzU5In0=</vt:lpwstr>
  </property>
</Properties>
</file>