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重庆市綦江农民版画院</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1.版画院、美术馆做好接待领导来宾解说工作、做好免费开放工作。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2.版画院组织指导、培训版画作者，开展农民版画创作活动。</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3.做好非遗传承工作，开展国内外版画交流工作，丰富人民群众的精神文化生活。</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4.美术馆组织、承担全区美术作品、各类艺术作品的陈列、展览工作任务。</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5.开展美术学术理论研究、美术作品收藏、对外交流工作，指导美术作品的创作、推广。</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6.开展公共美术培训、充分发挥公益性艺术教育职能，开展丰富多彩的美术教育活动，推动文化事业发展。</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7.完成上级交办的其他工作。</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重庆市綦江农民版画院为区文化旅游委所属事业单位，机构类型为公益一类事业单位，机构级别为正科级，经费形式为财政全额拨款，宗旨为开展版画艺术创作交流，促进版画艺术发展。</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w:t>
      </w:r>
      <w:bookmarkStart w:id="0" w:name="_GoBack"/>
      <w:bookmarkEnd w:id="0"/>
      <w:r>
        <w:rPr>
          <w:rFonts w:hint="eastAsia" w:ascii="方正仿宋_GBK" w:eastAsia="方正仿宋_GBK" w:cs="宋体"/>
          <w:kern w:val="0"/>
          <w:sz w:val="32"/>
          <w:szCs w:val="32"/>
        </w:rPr>
        <w:t>农民版画院下设办公室、创作部、后勤部、典藏部、展览部等5个内设机构。</w:t>
      </w:r>
    </w:p>
    <w:p>
      <w:pPr>
        <w:spacing w:line="600" w:lineRule="exact"/>
        <w:ind w:firstLine="640" w:firstLineChars="200"/>
        <w:rPr>
          <w:rFonts w:eastAsia="方正黑体_GBK"/>
          <w:sz w:val="32"/>
          <w:szCs w:val="32"/>
        </w:rPr>
      </w:pP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2021年度收入总计278.09万元，支出总计278.09万元。收支较上年决算数减少16.78万元、下降5.7%，主要原因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 xml:space="preserve">人员性支出正常增加5.02万元；二是公用支出因扶贫等工作增加劳务费、租车费等而正常增加8.12万元；三是项目支出正常减少29.92万元。 </w:t>
      </w:r>
      <w:r>
        <w:rPr>
          <w:rFonts w:hint="eastAsia"/>
          <w:sz w:val="27"/>
          <w:szCs w:val="27"/>
        </w:rPr>
        <w:t xml:space="preserve">       </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2.收入情况。</w:t>
      </w:r>
      <w:r>
        <w:rPr>
          <w:rFonts w:ascii="方正仿宋_GBK" w:eastAsia="方正仿宋_GBK" w:cs="宋体"/>
          <w:kern w:val="0"/>
          <w:sz w:val="32"/>
          <w:szCs w:val="32"/>
        </w:rPr>
        <w:t>2021年度收入合计230.57万元，较上年决算数减少26.41万元，下降10.3%，主要原因</w:t>
      </w:r>
      <w:r>
        <w:rPr>
          <w:rFonts w:hint="eastAsia" w:ascii="方正仿宋_GBK" w:eastAsia="方正仿宋_GBK" w:cs="宋体"/>
          <w:kern w:val="0"/>
          <w:sz w:val="32"/>
          <w:szCs w:val="32"/>
        </w:rPr>
        <w:t>：一是人员性支出正常增加7.01万元；二是公用支出因扶贫等工作增加劳务费、租车费等而正常增加8.12万元；三是项目支出正常减少41.54万元。</w:t>
      </w:r>
      <w:r>
        <w:rPr>
          <w:rFonts w:ascii="方正仿宋_GBK" w:eastAsia="方正仿宋_GBK" w:cs="宋体"/>
          <w:kern w:val="0"/>
          <w:sz w:val="32"/>
          <w:szCs w:val="32"/>
        </w:rPr>
        <w:t>其中：财政拨款收入230.57万元，占100</w:t>
      </w:r>
      <w:r>
        <w:rPr>
          <w:rFonts w:hint="eastAsia" w:ascii="方正仿宋_GBK" w:eastAsia="方正仿宋_GBK" w:cs="宋体"/>
          <w:kern w:val="0"/>
          <w:sz w:val="32"/>
          <w:szCs w:val="32"/>
        </w:rPr>
        <w:t>.0</w:t>
      </w:r>
      <w:r>
        <w:rPr>
          <w:rFonts w:ascii="方正仿宋_GBK" w:eastAsia="方正仿宋_GBK" w:cs="宋体"/>
          <w:kern w:val="0"/>
          <w:sz w:val="32"/>
          <w:szCs w:val="32"/>
        </w:rPr>
        <w:t>%。此外，年初结转和结余47.52万元。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3.支出情况。</w:t>
      </w:r>
      <w:r>
        <w:rPr>
          <w:rFonts w:ascii="方正仿宋_GBK" w:eastAsia="方正仿宋_GBK" w:cs="宋体"/>
          <w:kern w:val="0"/>
          <w:sz w:val="32"/>
          <w:szCs w:val="32"/>
        </w:rPr>
        <w:t>2021年度支出合计278.09万元，较上年决算数增加17.97万元，增长6.9%，主要原因</w:t>
      </w:r>
      <w:r>
        <w:rPr>
          <w:rFonts w:hint="eastAsia" w:ascii="方正仿宋_GBK" w:eastAsia="方正仿宋_GBK" w:cs="宋体"/>
          <w:kern w:val="0"/>
          <w:sz w:val="32"/>
          <w:szCs w:val="32"/>
        </w:rPr>
        <w:t>：一是考虑结转和结余后人员性支出正常增加11.27万元；二是公用支出因扶贫等工作增加劳务费、租车费等而正常增加8.12万元；三是项目支出正常减少1.42万元。</w:t>
      </w:r>
      <w:r>
        <w:rPr>
          <w:rFonts w:ascii="方正仿宋_GBK" w:eastAsia="方正仿宋_GBK" w:cs="宋体"/>
          <w:kern w:val="0"/>
          <w:sz w:val="32"/>
          <w:szCs w:val="32"/>
        </w:rPr>
        <w:t>其中：基本支出171.69万元，占61.7%；项目支出106.4万元，占38.3%</w:t>
      </w:r>
      <w:r>
        <w:rPr>
          <w:rFonts w:hint="eastAsia"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w:t>
      </w:r>
      <w:r>
        <w:rPr>
          <w:rFonts w:ascii="方正仿宋_GBK" w:eastAsia="方正仿宋_GBK" w:cs="宋体"/>
          <w:kern w:val="0"/>
          <w:sz w:val="32"/>
          <w:szCs w:val="32"/>
        </w:rPr>
        <w:t>2021年度年末结转和结余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万元，较上年决算数减少34.76万元，下降100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当年执行完历年结转和结余34.76万元。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2021年度财政拨款收、支总计278.09万元。与2020年相比，财政拨款收、支总计各减少16.78万元，下降5.7%。主要原因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人员性支出正常增加5.02万元；二是公用支出因扶贫等工作增加劳务费、租车费等而正常增加8.12万元；三是项目支出正常减少29.92万元。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1.收入情况。</w:t>
      </w:r>
      <w:r>
        <w:rPr>
          <w:rFonts w:ascii="方正仿宋_GBK" w:eastAsia="方正仿宋_GBK" w:cs="宋体"/>
          <w:kern w:val="0"/>
          <w:sz w:val="32"/>
          <w:szCs w:val="32"/>
        </w:rPr>
        <w:t>2021年度一般公共预算财政拨款收入230.57万元，较上年决算数减少26.41万元，下降10.3%。主要原因</w:t>
      </w:r>
      <w:r>
        <w:rPr>
          <w:rFonts w:hint="eastAsia" w:ascii="方正仿宋_GBK" w:eastAsia="方正仿宋_GBK" w:cs="宋体"/>
          <w:kern w:val="0"/>
          <w:sz w:val="32"/>
          <w:szCs w:val="32"/>
        </w:rPr>
        <w:t>：一是人员性支出正常增加7.01万元；二是公用支出因扶贫等工作增加劳务费、租车费等而正常增加8.12万元；三是项目支出正常减少41.54万元。</w:t>
      </w:r>
      <w:r>
        <w:rPr>
          <w:rFonts w:ascii="方正仿宋_GBK" w:eastAsia="方正仿宋_GBK" w:cs="宋体"/>
          <w:kern w:val="0"/>
          <w:sz w:val="32"/>
          <w:szCs w:val="32"/>
        </w:rPr>
        <w:t>较年初预算数增加62万元，增长36.8%。主要原因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考虑结转和结余后人员性支出正常增加21.49万元；二是公用支出因部分被调剂为人员支出后正常减少15.69万元；三是项目支出正常增加56.2万元。</w:t>
      </w:r>
      <w:r>
        <w:rPr>
          <w:rFonts w:ascii="方正仿宋_GBK" w:eastAsia="方正仿宋_GBK" w:cs="宋体"/>
          <w:kern w:val="0"/>
          <w:sz w:val="32"/>
          <w:szCs w:val="32"/>
        </w:rPr>
        <w:t>此外，年初财政拨款结转和结余47.52万元。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2.支出情况。</w:t>
      </w:r>
      <w:r>
        <w:rPr>
          <w:rFonts w:ascii="方正仿宋_GBK" w:eastAsia="方正仿宋_GBK" w:cs="宋体"/>
          <w:kern w:val="0"/>
          <w:sz w:val="32"/>
          <w:szCs w:val="32"/>
        </w:rPr>
        <w:t>2021年度一般公共预算财政拨款支出278.09万元，较上年决算数增加17.97万元，增长6.9%。主要原因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人员性支出正常增加11.27万元；二是公用支出正常增加8.12万元；三是项目支出正常减少1.42万元。</w:t>
      </w:r>
      <w:r>
        <w:rPr>
          <w:rFonts w:ascii="方正仿宋_GBK" w:eastAsia="方正仿宋_GBK" w:cs="宋体"/>
          <w:kern w:val="0"/>
          <w:sz w:val="32"/>
          <w:szCs w:val="32"/>
        </w:rPr>
        <w:t>较年初预算数增加74.76万元，增长36.8%。主要原因</w:t>
      </w:r>
      <w:r>
        <w:rPr>
          <w:rFonts w:hint="eastAsia" w:ascii="方正仿宋_GBK" w:eastAsia="方正仿宋_GBK" w:cs="宋体"/>
          <w:kern w:val="0"/>
          <w:sz w:val="32"/>
          <w:szCs w:val="32"/>
        </w:rPr>
        <w:t>：一是人员性支出正常增加34.25万元；二是公用支出被调剂为人员支出而正常减少15.69万元；三是项目支出正常 增加56.2万元。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w:t>
      </w:r>
      <w:r>
        <w:rPr>
          <w:rFonts w:ascii="方正仿宋_GBK" w:eastAsia="方正仿宋_GBK" w:cs="宋体"/>
          <w:kern w:val="0"/>
          <w:sz w:val="32"/>
          <w:szCs w:val="32"/>
        </w:rPr>
        <w:t>2021年度年末一般公共预算财政拨款结转和结余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万元，较上年决算数减少34.76万元，下降100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当年执行完历年结转和结余34.76万元。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ascii="方正仿宋_GBK" w:eastAsia="方正仿宋_GBK" w:cs="宋体"/>
          <w:kern w:val="0"/>
          <w:sz w:val="32"/>
          <w:szCs w:val="32"/>
        </w:rPr>
        <w:t>文化旅游体育与传媒支出227.72万元，占81.9%，较年初预算数增加58.95万元，增长34.9%，主要原因</w:t>
      </w:r>
      <w:r>
        <w:rPr>
          <w:rFonts w:hint="eastAsia" w:ascii="方正仿宋_GBK" w:eastAsia="方正仿宋_GBK" w:cs="宋体"/>
          <w:kern w:val="0"/>
          <w:sz w:val="32"/>
          <w:szCs w:val="32"/>
        </w:rPr>
        <w:t>：一是规范津贴补贴后人员性支出正常减少10.06万元；二是压缩与调剂后公用支出正常减少15.69万元；三是项目支出正常增加84.7万元。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社会保障与就业支出34.36万元，占12.4%，较年初预算数增加13.77万元，增长66.9%，主要原因是</w:t>
      </w:r>
      <w:r>
        <w:rPr>
          <w:rFonts w:hint="eastAsia" w:ascii="方正仿宋_GBK" w:eastAsia="方正仿宋_GBK" w:cs="宋体"/>
          <w:kern w:val="0"/>
          <w:sz w:val="32"/>
          <w:szCs w:val="32"/>
        </w:rPr>
        <w:t>补缴历年欠费增加13.77万元。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sz w:val="27"/>
          <w:szCs w:val="27"/>
        </w:rPr>
        <w:t>卫</w:t>
      </w:r>
      <w:r>
        <w:rPr>
          <w:rFonts w:ascii="方正仿宋_GBK" w:eastAsia="方正仿宋_GBK" w:cs="宋体"/>
          <w:kern w:val="0"/>
          <w:sz w:val="32"/>
          <w:szCs w:val="32"/>
        </w:rPr>
        <w:t>生健康支出7.66万元，占2.8%，较年初预算数增加0.9万元，增长13.3%，主要原因</w:t>
      </w:r>
      <w:r>
        <w:rPr>
          <w:rFonts w:hint="eastAsia" w:ascii="方正仿宋_GBK" w:eastAsia="方正仿宋_GBK" w:cs="宋体"/>
          <w:kern w:val="0"/>
          <w:sz w:val="32"/>
          <w:szCs w:val="32"/>
        </w:rPr>
        <w:t>是人员正常增资后基数增加而增加支出0.9万元。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rFonts w:ascii="方正仿宋_GBK" w:eastAsia="方正仿宋_GBK" w:cs="宋体"/>
          <w:kern w:val="0"/>
          <w:sz w:val="32"/>
          <w:szCs w:val="32"/>
        </w:rPr>
        <w:t>住房保障支出8.35万元，占3%，较年初预算数增加1.14万元，增长15.8%，主要原因</w:t>
      </w:r>
      <w:r>
        <w:rPr>
          <w:rFonts w:hint="eastAsia" w:ascii="方正仿宋_GBK" w:eastAsia="方正仿宋_GBK" w:cs="宋体"/>
          <w:kern w:val="0"/>
          <w:sz w:val="32"/>
          <w:szCs w:val="32"/>
        </w:rPr>
        <w:t>人员正常增资后基数增加而增加支出1.14万元。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2021年度一般公共财政拨款基本支出171.69万元。其中：人员经费158.82万元，较上年决算数增加11.27万元，增长7.6%</w:t>
      </w:r>
      <w:r>
        <w:rPr>
          <w:rFonts w:hint="eastAsia" w:ascii="方正仿宋_GBK" w:eastAsia="方正仿宋_GBK" w:cs="宋体"/>
          <w:kern w:val="0"/>
          <w:sz w:val="32"/>
          <w:szCs w:val="32"/>
        </w:rPr>
        <w:t>，主要原因是人员正常增资导致工资与人员性缴费基数增加而增加支出11.27万元。人员经费用途主要包括基本工资、津贴补贴、奖金、社会保障缴费、绩效工资、机关事业单位基本养老保险缴费、职业年金缴费、其他工资福利支出、离退休费、抚恤金、医疗费、住房公积金等。</w:t>
      </w:r>
      <w:r>
        <w:rPr>
          <w:rFonts w:ascii="方正仿宋_GBK" w:eastAsia="方正仿宋_GBK" w:cs="宋体"/>
          <w:kern w:val="0"/>
          <w:sz w:val="32"/>
          <w:szCs w:val="32"/>
        </w:rPr>
        <w:t>公用经费12.87万元，较上年决算数增加8.12万元，增长170.9%</w:t>
      </w:r>
      <w:r>
        <w:rPr>
          <w:rFonts w:hint="eastAsia" w:ascii="方正仿宋_GBK" w:eastAsia="方正仿宋_GBK" w:cs="宋体"/>
          <w:kern w:val="0"/>
          <w:sz w:val="32"/>
          <w:szCs w:val="32"/>
        </w:rPr>
        <w:t>，主要原因是扶贫等劳务、租车费、办公费等公用支出正常增加8.12万元。公用经费用途主要包括办公费、印刷费、水费、电费、邮电费、差旅费、维修费、会议费、培训费、公务接待费、劳务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2021年度无政府性基金预算财政拨款收支</w:t>
      </w:r>
      <w:r>
        <w:rPr>
          <w:rFonts w:hint="eastAsia" w:ascii="方正仿宋_GBK" w:eastAsia="方正仿宋_GBK" w:cs="宋体"/>
          <w:kern w:val="0"/>
          <w:sz w:val="32"/>
          <w:szCs w:val="32"/>
        </w:rPr>
        <w:t>，与上年持平。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w:t>
      </w:r>
      <w:r>
        <w:rPr>
          <w:rFonts w:hint="eastAsia" w:ascii="方正仿宋_GBK" w:eastAsia="方正仿宋_GBK" w:cs="宋体"/>
          <w:kern w:val="0"/>
          <w:sz w:val="32"/>
          <w:szCs w:val="32"/>
        </w:rPr>
        <w:t>国有资本经营预算财政拨款</w:t>
      </w:r>
      <w:r>
        <w:rPr>
          <w:rFonts w:ascii="方正仿宋_GBK" w:eastAsia="方正仿宋_GBK" w:cs="宋体"/>
          <w:kern w:val="0"/>
          <w:sz w:val="32"/>
          <w:szCs w:val="32"/>
        </w:rPr>
        <w:t>收支</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hint="eastAsia" w:ascii="方正仿宋_GBK" w:eastAsia="方正仿宋_GBK" w:cs="宋体"/>
          <w:kern w:val="0"/>
          <w:sz w:val="32"/>
          <w:szCs w:val="32"/>
        </w:rPr>
      </w:pPr>
      <w:r>
        <w:rPr>
          <w:rFonts w:hint="eastAsia" w:ascii="方正楷体_GBK" w:eastAsia="方正楷体_GBK"/>
          <w:color w:val="333333"/>
          <w:sz w:val="32"/>
          <w:szCs w:val="32"/>
        </w:rPr>
        <w:t>（一）</w:t>
      </w:r>
      <w:r>
        <w:rPr>
          <w:rFonts w:hint="eastAsia" w:ascii="方正仿宋_GBK" w:eastAsia="方正仿宋_GBK" w:cs="宋体"/>
          <w:kern w:val="0"/>
          <w:sz w:val="32"/>
          <w:szCs w:val="32"/>
        </w:rPr>
        <w:t>“三公”经费支出总体情况说明。</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2021年度“三公”经费支出共计</w:t>
      </w:r>
      <w:r>
        <w:rPr>
          <w:rFonts w:hint="eastAsia" w:ascii="方正仿宋_GBK" w:eastAsia="方正仿宋_GBK" w:cs="宋体"/>
          <w:kern w:val="0"/>
          <w:sz w:val="32"/>
          <w:szCs w:val="32"/>
        </w:rPr>
        <w:t>0</w:t>
      </w:r>
      <w:r>
        <w:rPr>
          <w:rFonts w:ascii="方正仿宋_GBK" w:eastAsia="方正仿宋_GBK" w:cs="宋体"/>
          <w:kern w:val="0"/>
          <w:sz w:val="32"/>
          <w:szCs w:val="32"/>
        </w:rPr>
        <w:t>万元，较年初预算数减少0.5万元，下降100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本单位当年未发生“三公”经费支出，与上年持平。</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（二）“三公”经费分项支出情况。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因公出国（境）费。本单位当年未发生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公务车购置费。本单位当年未发生公务车购置费支出，与上年持平。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公务车运行维护费。本单位当年未发生公务车运行维护费支出，与上年持平。</w:t>
      </w:r>
    </w:p>
    <w:p>
      <w:pPr>
        <w:spacing w:line="600" w:lineRule="exact"/>
        <w:ind w:firstLine="640" w:firstLineChars="200"/>
        <w:rPr>
          <w:rFonts w:ascii="方正仿宋_GBK" w:eastAsia="方正仿宋_GBK" w:cs="宋体"/>
          <w:b/>
          <w:kern w:val="0"/>
          <w:sz w:val="32"/>
          <w:szCs w:val="32"/>
        </w:rPr>
      </w:pPr>
      <w:r>
        <w:rPr>
          <w:rFonts w:hint="eastAsia" w:ascii="方正仿宋_GBK" w:eastAsia="方正仿宋_GBK" w:cs="宋体"/>
          <w:kern w:val="0"/>
          <w:sz w:val="32"/>
          <w:szCs w:val="32"/>
        </w:rPr>
        <w:t>公务接待费。本单位当年未发生公务接待费支出，与上年持平</w:t>
      </w:r>
      <w:r>
        <w:rPr>
          <w:rFonts w:hint="eastAsia" w:ascii="方正仿宋_GBK" w:eastAsia="方正仿宋_GBK" w:cs="宋体"/>
          <w:b/>
          <w:kern w:val="0"/>
          <w:sz w:val="32"/>
          <w:szCs w:val="32"/>
        </w:rPr>
        <w:t>。</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（三）“三公”经费实物量情况。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021年度本部门因公出国（境）共计0个团组，0人；公务用车购置0辆，公务车保有量为0辆；国内公务接待0批次0人，其中：国内外事接待0批次，0人；国（境）外公务接待0批次，0人。2021年本部门人均接待费</w:t>
      </w:r>
      <w:r>
        <w:rPr>
          <w:rFonts w:hint="eastAsia" w:ascii="方正仿宋_GBK" w:eastAsia="方正仿宋_GBK" w:cs="宋体"/>
          <w:kern w:val="0"/>
          <w:sz w:val="32"/>
          <w:szCs w:val="32"/>
        </w:rPr>
        <w:t>0</w:t>
      </w:r>
      <w:r>
        <w:rPr>
          <w:rFonts w:ascii="方正仿宋_GBK" w:eastAsia="方正仿宋_GBK" w:cs="宋体"/>
          <w:kern w:val="0"/>
          <w:sz w:val="32"/>
          <w:szCs w:val="32"/>
        </w:rPr>
        <w:t>元，车均购置费</w:t>
      </w:r>
      <w:r>
        <w:rPr>
          <w:rFonts w:hint="eastAsia" w:ascii="方正仿宋_GBK" w:eastAsia="方正仿宋_GBK" w:cs="宋体"/>
          <w:kern w:val="0"/>
          <w:sz w:val="32"/>
          <w:szCs w:val="32"/>
        </w:rPr>
        <w:t>0</w:t>
      </w:r>
      <w:r>
        <w:rPr>
          <w:rFonts w:ascii="方正仿宋_GBK" w:eastAsia="方正仿宋_GBK" w:cs="宋体"/>
          <w:kern w:val="0"/>
          <w:sz w:val="32"/>
          <w:szCs w:val="32"/>
        </w:rPr>
        <w:t>万元，车均维护费</w:t>
      </w:r>
      <w:r>
        <w:rPr>
          <w:rFonts w:hint="eastAsia" w:ascii="方正仿宋_GBK" w:eastAsia="方正仿宋_GBK" w:cs="宋体"/>
          <w:kern w:val="0"/>
          <w:sz w:val="32"/>
          <w:szCs w:val="32"/>
        </w:rPr>
        <w:t>0</w:t>
      </w:r>
      <w:r>
        <w:rPr>
          <w:rFonts w:ascii="方正仿宋_GBK" w:eastAsia="方正仿宋_GBK" w:cs="宋体"/>
          <w:kern w:val="0"/>
          <w:sz w:val="32"/>
          <w:szCs w:val="32"/>
        </w:rPr>
        <w:t>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pStyle w:val="10"/>
        <w:tabs>
          <w:tab w:val="center" w:pos="4153"/>
          <w:tab w:val="left" w:pos="7275"/>
        </w:tabs>
        <w:spacing w:line="600" w:lineRule="exact"/>
        <w:ind w:firstLine="640"/>
        <w:rPr>
          <w:rFonts w:hint="eastAsia" w:ascii="方正楷体_GBK" w:hAnsi="微软雅黑" w:eastAsia="方正楷体_GBK" w:cs="宋体"/>
          <w:kern w:val="0"/>
          <w:sz w:val="32"/>
          <w:szCs w:val="32"/>
        </w:rPr>
      </w:pPr>
      <w:r>
        <w:rPr>
          <w:rFonts w:ascii="方正楷体_GBK" w:hAnsi="微软雅黑" w:eastAsia="方正楷体_GBK" w:cs="宋体"/>
          <w:kern w:val="0"/>
          <w:sz w:val="32"/>
          <w:szCs w:val="32"/>
        </w:rPr>
        <w:t>（一）一般公共预算财政拨款会议费和培训费情况说明。</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本单位当</w:t>
      </w:r>
      <w:r>
        <w:rPr>
          <w:rFonts w:ascii="方正仿宋_GBK" w:eastAsia="方正仿宋_GBK" w:cs="宋体"/>
          <w:kern w:val="0"/>
          <w:sz w:val="32"/>
          <w:szCs w:val="32"/>
        </w:rPr>
        <w:t>年</w:t>
      </w:r>
      <w:r>
        <w:rPr>
          <w:rFonts w:hint="eastAsia" w:ascii="方正仿宋_GBK" w:eastAsia="方正仿宋_GBK" w:cs="宋体"/>
          <w:kern w:val="0"/>
          <w:sz w:val="32"/>
          <w:szCs w:val="32"/>
        </w:rPr>
        <w:t>未发生</w:t>
      </w:r>
      <w:r>
        <w:rPr>
          <w:rFonts w:ascii="方正仿宋_GBK" w:eastAsia="方正仿宋_GBK" w:cs="宋体"/>
          <w:kern w:val="0"/>
          <w:sz w:val="32"/>
          <w:szCs w:val="32"/>
        </w:rPr>
        <w:t>会议费支出</w:t>
      </w:r>
      <w:r>
        <w:rPr>
          <w:rFonts w:hint="eastAsia" w:ascii="方正仿宋_GBK" w:eastAsia="方正仿宋_GBK" w:cs="宋体"/>
          <w:kern w:val="0"/>
          <w:sz w:val="32"/>
          <w:szCs w:val="32"/>
        </w:rPr>
        <w:t>，与上年持平。</w:t>
      </w:r>
      <w:r>
        <w:rPr>
          <w:rFonts w:ascii="方正仿宋_GBK" w:eastAsia="方正仿宋_GBK" w:cs="宋体"/>
          <w:kern w:val="0"/>
          <w:sz w:val="32"/>
          <w:szCs w:val="32"/>
        </w:rPr>
        <w:t>本年度培训费支出2.66万元，较上年决算数增加2.52万元，增长1800</w:t>
      </w:r>
      <w:r>
        <w:rPr>
          <w:rFonts w:hint="eastAsia" w:ascii="方正仿宋_GBK" w:eastAsia="方正仿宋_GBK" w:cs="宋体"/>
          <w:kern w:val="0"/>
          <w:sz w:val="32"/>
          <w:szCs w:val="32"/>
        </w:rPr>
        <w:t>.0</w:t>
      </w:r>
      <w:r>
        <w:rPr>
          <w:rFonts w:ascii="方正仿宋_GBK" w:eastAsia="方正仿宋_GBK" w:cs="宋体"/>
          <w:kern w:val="0"/>
          <w:sz w:val="32"/>
          <w:szCs w:val="32"/>
        </w:rPr>
        <w:t>%，</w:t>
      </w:r>
      <w:r>
        <w:rPr>
          <w:rFonts w:hint="eastAsia" w:ascii="方正仿宋_GBK" w:eastAsia="方正仿宋_GBK" w:cs="宋体"/>
          <w:kern w:val="0"/>
          <w:sz w:val="32"/>
          <w:szCs w:val="32"/>
        </w:rPr>
        <w:t>主要原因是当年参加业务培训次数、人数增加而增加费用2.52万元，加之上年基数较小故增幅较大。</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（二）机关运行经费情况说明。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按照部门决算列报口径，我单位不在机关运行经费统计范围之内。</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（三）国有资产占用情况说明。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（四）政府采购支出情况说明。</w:t>
      </w:r>
    </w:p>
    <w:p>
      <w:pPr>
        <w:spacing w:line="600" w:lineRule="exact"/>
        <w:ind w:firstLine="640" w:firstLineChars="200"/>
        <w:rPr>
          <w:rFonts w:ascii="方正仿宋_GBK" w:eastAsia="方正仿宋_GBK"/>
          <w:color w:val="333333"/>
          <w:sz w:val="32"/>
          <w:szCs w:val="32"/>
        </w:rPr>
      </w:pPr>
      <w:r>
        <w:rPr>
          <w:rFonts w:ascii="方正仿宋_GBK" w:eastAsia="方正仿宋_GBK" w:cs="宋体"/>
          <w:kern w:val="0"/>
          <w:sz w:val="32"/>
          <w:szCs w:val="32"/>
        </w:rPr>
        <w:t>2021年度我单位未发生政府采购事项，无相关经费支出。</w:t>
      </w:r>
      <w:r>
        <w:rPr>
          <w:rFonts w:hint="eastAsia" w:ascii="方正仿宋_GBK" w:eastAsia="方正仿宋_GBK" w:cs="宋体"/>
          <w:kern w:val="0"/>
          <w:sz w:val="32"/>
          <w:szCs w:val="32"/>
        </w:rPr>
        <w:t xml:space="preserve"> </w:t>
      </w:r>
    </w:p>
    <w:p>
      <w:pPr>
        <w:spacing w:line="600" w:lineRule="exact"/>
        <w:ind w:firstLine="640" w:firstLineChars="200"/>
        <w:rPr>
          <w:rFonts w:eastAsia="方正仿宋_GBK" w:cs="宋体"/>
          <w:b/>
          <w:kern w:val="0"/>
          <w:sz w:val="32"/>
          <w:szCs w:val="32"/>
        </w:rPr>
      </w:pP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5个项目开展了绩效自评，其中，以填报目标自评表形式开展自评5项，涉及资金33.5万元；以委托第三方形式开展绩效评价0项，涉及资金0万元，从评价情况来看，预算执行情况良好，群众满意度较高。</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ascii="方正仿宋_GBK" w:eastAsia="方正仿宋_GBK" w:cs="宋体"/>
          <w:kern w:val="0"/>
          <w:sz w:val="32"/>
          <w:szCs w:val="32"/>
        </w:rPr>
      </w:pPr>
      <w:r>
        <w:rPr>
          <w:rFonts w:hint="eastAsia" w:ascii="方正仿宋_GBK" w:eastAsia="方正仿宋_GBK" w:cs="宋体"/>
          <w:kern w:val="0"/>
          <w:sz w:val="32"/>
          <w:szCs w:val="32"/>
        </w:rPr>
        <w:t>本单位2020年中央公共文化服务体系建设（绩效奖励）专项资金-版画院屋顶维修专项资金绩效目标自评综述：根据年初设定的绩效目标，项目总体完成情况较好。项目全年预算数为10万元，执行数为10万元，完成预算的100.0%。主要产出和效果：完成水泥屋顶维修补漏面积700平方米；完成玻璃屋顶维修补漏面积300平方米；完成补漏维修目标达到了不漏雨、不渗水；参观观众满意度达到87%。总体均达到了年初设定目标。</w:t>
      </w:r>
    </w:p>
    <w:tbl>
      <w:tblPr>
        <w:tblStyle w:val="8"/>
        <w:tblW w:w="8800" w:type="dxa"/>
        <w:tblInd w:w="93" w:type="dxa"/>
        <w:tblLayout w:type="fixed"/>
        <w:tblCellMar>
          <w:top w:w="0" w:type="dxa"/>
          <w:left w:w="108" w:type="dxa"/>
          <w:bottom w:w="0" w:type="dxa"/>
          <w:right w:w="108" w:type="dxa"/>
        </w:tblCellMar>
      </w:tblPr>
      <w:tblGrid>
        <w:gridCol w:w="940"/>
        <w:gridCol w:w="1820"/>
        <w:gridCol w:w="1000"/>
        <w:gridCol w:w="960"/>
        <w:gridCol w:w="1080"/>
        <w:gridCol w:w="1060"/>
        <w:gridCol w:w="940"/>
        <w:gridCol w:w="1000"/>
      </w:tblGrid>
      <w:tr>
        <w:tblPrEx>
          <w:tblLayout w:type="fixed"/>
          <w:tblCellMar>
            <w:top w:w="0" w:type="dxa"/>
            <w:left w:w="108" w:type="dxa"/>
            <w:bottom w:w="0" w:type="dxa"/>
            <w:right w:w="108" w:type="dxa"/>
          </w:tblCellMar>
        </w:tblPrEx>
        <w:trPr>
          <w:trHeight w:val="585" w:hRule="atLeast"/>
        </w:trPr>
        <w:tc>
          <w:tcPr>
            <w:tcW w:w="880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800"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填表单位（盖章）：重庆市綦江农民版画院</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2020年中央公共文化服务体系建设（绩效奖励）专项资金-版画院屋顶维修专项资金</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30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重庆市綦江区文化和旅游发展委员会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30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陈飞17723628793</w:t>
            </w:r>
          </w:p>
        </w:tc>
      </w:tr>
      <w:tr>
        <w:tblPrEx>
          <w:tblLayout w:type="fixed"/>
          <w:tblCellMar>
            <w:top w:w="0" w:type="dxa"/>
            <w:left w:w="108" w:type="dxa"/>
            <w:bottom w:w="0" w:type="dxa"/>
            <w:right w:w="108" w:type="dxa"/>
          </w:tblCellMar>
        </w:tblPrEx>
        <w:trPr>
          <w:trHeight w:val="60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182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0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11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完成水泥屋顶维修补漏700平米，玻璃屋顶更换维修300平米，达到补漏维修目标。</w:t>
            </w:r>
          </w:p>
        </w:tc>
        <w:tc>
          <w:tcPr>
            <w:tcW w:w="40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完成水泥屋顶维修补漏700平米，玻璃屋顶更换维修300平米，达到补漏维修目标。</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完成水泥屋顶维修补漏面积</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r>
      <w:tr>
        <w:tblPrEx>
          <w:tblLayout w:type="fixed"/>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完成玻璃屋顶维修补漏面积</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完成补漏维修目标</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不漏雨、不渗水</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94</w:t>
            </w:r>
            <w:r>
              <w:rPr>
                <w:rFonts w:hint="eastAsia" w:ascii="宋体" w:hAnsi="宋体" w:cs="宋体"/>
                <w:color w:val="000000"/>
                <w:kern w:val="0"/>
                <w:sz w:val="20"/>
                <w:szCs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参观观众满意度</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80</w:t>
            </w:r>
            <w:r>
              <w:rPr>
                <w:rFonts w:hint="eastAsia" w:ascii="宋体" w:hAnsi="宋体" w:cs="宋体"/>
                <w:color w:val="000000"/>
                <w:kern w:val="0"/>
                <w:sz w:val="20"/>
                <w:szCs w:val="20"/>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99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86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70" w:hRule="atLeast"/>
        </w:trPr>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82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80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预算单位主要领导：桂焕勇           绩效评价负责人：陈飞           经办人：陈飞</w:t>
            </w:r>
          </w:p>
        </w:tc>
      </w:tr>
    </w:tbl>
    <w:p>
      <w:pPr>
        <w:spacing w:line="600" w:lineRule="exact"/>
        <w:ind w:firstLine="640" w:firstLineChars="20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sz w:val="32"/>
          <w:szCs w:val="32"/>
        </w:rPr>
      </w:pPr>
      <w:r>
        <w:rPr>
          <w:rFonts w:hint="eastAsia" w:eastAsia="方正黑体_GBK"/>
          <w:sz w:val="32"/>
          <w:szCs w:val="32"/>
        </w:rPr>
        <w:t>七、决算公开联系方式</w:t>
      </w:r>
      <w:r>
        <w:rPr>
          <w:rFonts w:eastAsia="方正黑体_GBK"/>
          <w:sz w:val="32"/>
          <w:szCs w:val="32"/>
        </w:rPr>
        <w:t>及信息反馈渠道</w:t>
      </w:r>
    </w:p>
    <w:p>
      <w:pPr>
        <w:pStyle w:val="10"/>
        <w:tabs>
          <w:tab w:val="center" w:pos="4153"/>
          <w:tab w:val="left" w:pos="7275"/>
        </w:tabs>
        <w:spacing w:line="600" w:lineRule="exact"/>
        <w:ind w:firstLine="64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本单位决算公开信息反馈和联系方式：023-48678133</w:t>
      </w:r>
    </w:p>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12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E42"/>
    <w:rsid w:val="00003992"/>
    <w:rsid w:val="0002144B"/>
    <w:rsid w:val="0002370C"/>
    <w:rsid w:val="00027C59"/>
    <w:rsid w:val="00034B55"/>
    <w:rsid w:val="00045D55"/>
    <w:rsid w:val="00056D42"/>
    <w:rsid w:val="00061809"/>
    <w:rsid w:val="00061AB4"/>
    <w:rsid w:val="000718A2"/>
    <w:rsid w:val="00080233"/>
    <w:rsid w:val="00080818"/>
    <w:rsid w:val="00093DBE"/>
    <w:rsid w:val="000B1B3A"/>
    <w:rsid w:val="000B5643"/>
    <w:rsid w:val="000B601E"/>
    <w:rsid w:val="000B73D6"/>
    <w:rsid w:val="000C635B"/>
    <w:rsid w:val="000E180A"/>
    <w:rsid w:val="000E28AE"/>
    <w:rsid w:val="000E2F43"/>
    <w:rsid w:val="001132E8"/>
    <w:rsid w:val="001204F5"/>
    <w:rsid w:val="0013366F"/>
    <w:rsid w:val="00136BDA"/>
    <w:rsid w:val="00141295"/>
    <w:rsid w:val="00147CFB"/>
    <w:rsid w:val="001544B3"/>
    <w:rsid w:val="00162512"/>
    <w:rsid w:val="00163CC6"/>
    <w:rsid w:val="00164928"/>
    <w:rsid w:val="00176B55"/>
    <w:rsid w:val="001838AC"/>
    <w:rsid w:val="0018478B"/>
    <w:rsid w:val="00187DCD"/>
    <w:rsid w:val="00196376"/>
    <w:rsid w:val="001A155B"/>
    <w:rsid w:val="001B5579"/>
    <w:rsid w:val="001D5485"/>
    <w:rsid w:val="001E525C"/>
    <w:rsid w:val="001F2D15"/>
    <w:rsid w:val="001F79A0"/>
    <w:rsid w:val="00214E1E"/>
    <w:rsid w:val="002151FF"/>
    <w:rsid w:val="00234C0C"/>
    <w:rsid w:val="00241423"/>
    <w:rsid w:val="00241AA0"/>
    <w:rsid w:val="00253041"/>
    <w:rsid w:val="002531E6"/>
    <w:rsid w:val="00254906"/>
    <w:rsid w:val="002571F0"/>
    <w:rsid w:val="002600E3"/>
    <w:rsid w:val="0026204D"/>
    <w:rsid w:val="0026393D"/>
    <w:rsid w:val="002813BD"/>
    <w:rsid w:val="00281848"/>
    <w:rsid w:val="00291F3E"/>
    <w:rsid w:val="00291FD7"/>
    <w:rsid w:val="002B6100"/>
    <w:rsid w:val="002B7F4B"/>
    <w:rsid w:val="002C27DA"/>
    <w:rsid w:val="002C2C4F"/>
    <w:rsid w:val="002C6352"/>
    <w:rsid w:val="002D6134"/>
    <w:rsid w:val="002D6B0D"/>
    <w:rsid w:val="002E5E5C"/>
    <w:rsid w:val="002F3F58"/>
    <w:rsid w:val="00304423"/>
    <w:rsid w:val="0030783B"/>
    <w:rsid w:val="00311A02"/>
    <w:rsid w:val="0031648E"/>
    <w:rsid w:val="00331B9B"/>
    <w:rsid w:val="003348D4"/>
    <w:rsid w:val="0033591D"/>
    <w:rsid w:val="0034212E"/>
    <w:rsid w:val="00350599"/>
    <w:rsid w:val="00353986"/>
    <w:rsid w:val="0035555D"/>
    <w:rsid w:val="00363964"/>
    <w:rsid w:val="00364E0F"/>
    <w:rsid w:val="003656C9"/>
    <w:rsid w:val="00366E2D"/>
    <w:rsid w:val="003708C5"/>
    <w:rsid w:val="0037218A"/>
    <w:rsid w:val="00372CD5"/>
    <w:rsid w:val="00373C6F"/>
    <w:rsid w:val="00377E3D"/>
    <w:rsid w:val="003807C7"/>
    <w:rsid w:val="003822EC"/>
    <w:rsid w:val="00387C3A"/>
    <w:rsid w:val="00394E14"/>
    <w:rsid w:val="003A1167"/>
    <w:rsid w:val="003A1776"/>
    <w:rsid w:val="003B71F3"/>
    <w:rsid w:val="003D3937"/>
    <w:rsid w:val="003E065B"/>
    <w:rsid w:val="003E1DC4"/>
    <w:rsid w:val="003E5B1B"/>
    <w:rsid w:val="003F0ACA"/>
    <w:rsid w:val="003F2571"/>
    <w:rsid w:val="003F4C00"/>
    <w:rsid w:val="003F53A5"/>
    <w:rsid w:val="00414217"/>
    <w:rsid w:val="0041637A"/>
    <w:rsid w:val="00421118"/>
    <w:rsid w:val="00425BCA"/>
    <w:rsid w:val="00427D48"/>
    <w:rsid w:val="00430E65"/>
    <w:rsid w:val="00441FD3"/>
    <w:rsid w:val="00442881"/>
    <w:rsid w:val="00447E5D"/>
    <w:rsid w:val="0045276B"/>
    <w:rsid w:val="004658C7"/>
    <w:rsid w:val="00476DBF"/>
    <w:rsid w:val="0049044C"/>
    <w:rsid w:val="00492CEA"/>
    <w:rsid w:val="004A1A0A"/>
    <w:rsid w:val="004A67EE"/>
    <w:rsid w:val="004B0E60"/>
    <w:rsid w:val="004B14F6"/>
    <w:rsid w:val="004C6299"/>
    <w:rsid w:val="004E6334"/>
    <w:rsid w:val="004F3350"/>
    <w:rsid w:val="004F3D19"/>
    <w:rsid w:val="0050458E"/>
    <w:rsid w:val="00517DFD"/>
    <w:rsid w:val="00521185"/>
    <w:rsid w:val="00524807"/>
    <w:rsid w:val="00524FE7"/>
    <w:rsid w:val="00534659"/>
    <w:rsid w:val="00543343"/>
    <w:rsid w:val="00553DC1"/>
    <w:rsid w:val="00570AF7"/>
    <w:rsid w:val="00584CA8"/>
    <w:rsid w:val="005918B1"/>
    <w:rsid w:val="005D2D69"/>
    <w:rsid w:val="005E1A09"/>
    <w:rsid w:val="005E66AC"/>
    <w:rsid w:val="00604F52"/>
    <w:rsid w:val="0061249E"/>
    <w:rsid w:val="00625599"/>
    <w:rsid w:val="00630665"/>
    <w:rsid w:val="006355FA"/>
    <w:rsid w:val="00635E10"/>
    <w:rsid w:val="00636090"/>
    <w:rsid w:val="006379EF"/>
    <w:rsid w:val="006400A4"/>
    <w:rsid w:val="0064196E"/>
    <w:rsid w:val="00641FBE"/>
    <w:rsid w:val="0064635C"/>
    <w:rsid w:val="006502B1"/>
    <w:rsid w:val="00650B95"/>
    <w:rsid w:val="006555E6"/>
    <w:rsid w:val="00657030"/>
    <w:rsid w:val="00664EF0"/>
    <w:rsid w:val="00665B91"/>
    <w:rsid w:val="00670944"/>
    <w:rsid w:val="00670F38"/>
    <w:rsid w:val="0068091D"/>
    <w:rsid w:val="006926ED"/>
    <w:rsid w:val="00694ED7"/>
    <w:rsid w:val="00695865"/>
    <w:rsid w:val="006A7E2F"/>
    <w:rsid w:val="006B690B"/>
    <w:rsid w:val="006B7436"/>
    <w:rsid w:val="006D1CB0"/>
    <w:rsid w:val="006D2FB0"/>
    <w:rsid w:val="006D3B48"/>
    <w:rsid w:val="006D3E9B"/>
    <w:rsid w:val="006E07E5"/>
    <w:rsid w:val="006E235E"/>
    <w:rsid w:val="006E45B0"/>
    <w:rsid w:val="006E649B"/>
    <w:rsid w:val="006F02C6"/>
    <w:rsid w:val="006F177D"/>
    <w:rsid w:val="007004A3"/>
    <w:rsid w:val="00703707"/>
    <w:rsid w:val="00710F07"/>
    <w:rsid w:val="00711904"/>
    <w:rsid w:val="00727E04"/>
    <w:rsid w:val="00730D24"/>
    <w:rsid w:val="00735571"/>
    <w:rsid w:val="00742197"/>
    <w:rsid w:val="0074584C"/>
    <w:rsid w:val="00756AB5"/>
    <w:rsid w:val="007628D2"/>
    <w:rsid w:val="00764A91"/>
    <w:rsid w:val="00776600"/>
    <w:rsid w:val="00777919"/>
    <w:rsid w:val="00777CB5"/>
    <w:rsid w:val="00781F7F"/>
    <w:rsid w:val="00784AF5"/>
    <w:rsid w:val="0078738D"/>
    <w:rsid w:val="007935D8"/>
    <w:rsid w:val="00794B5E"/>
    <w:rsid w:val="00797FD2"/>
    <w:rsid w:val="007A7D23"/>
    <w:rsid w:val="007B648F"/>
    <w:rsid w:val="007C26AB"/>
    <w:rsid w:val="007C4982"/>
    <w:rsid w:val="007D0E7C"/>
    <w:rsid w:val="007E32F4"/>
    <w:rsid w:val="007E70AB"/>
    <w:rsid w:val="007F4D09"/>
    <w:rsid w:val="00803B43"/>
    <w:rsid w:val="00817F90"/>
    <w:rsid w:val="00822488"/>
    <w:rsid w:val="008229A1"/>
    <w:rsid w:val="008230E0"/>
    <w:rsid w:val="008332DC"/>
    <w:rsid w:val="008421A9"/>
    <w:rsid w:val="0087487B"/>
    <w:rsid w:val="008876DD"/>
    <w:rsid w:val="00892BBB"/>
    <w:rsid w:val="008A2B71"/>
    <w:rsid w:val="008A2BA4"/>
    <w:rsid w:val="008A7EE6"/>
    <w:rsid w:val="008B2800"/>
    <w:rsid w:val="008B3506"/>
    <w:rsid w:val="008C135C"/>
    <w:rsid w:val="008E572A"/>
    <w:rsid w:val="00900919"/>
    <w:rsid w:val="00902B0B"/>
    <w:rsid w:val="00903DEC"/>
    <w:rsid w:val="00921E07"/>
    <w:rsid w:val="0092617F"/>
    <w:rsid w:val="00931507"/>
    <w:rsid w:val="00940C49"/>
    <w:rsid w:val="00944DE4"/>
    <w:rsid w:val="0095130E"/>
    <w:rsid w:val="00957EE5"/>
    <w:rsid w:val="00982AE4"/>
    <w:rsid w:val="0098562A"/>
    <w:rsid w:val="00996857"/>
    <w:rsid w:val="009A0186"/>
    <w:rsid w:val="009A6C4E"/>
    <w:rsid w:val="009B592C"/>
    <w:rsid w:val="009C0911"/>
    <w:rsid w:val="009C410C"/>
    <w:rsid w:val="009C541D"/>
    <w:rsid w:val="009C69F3"/>
    <w:rsid w:val="009D369D"/>
    <w:rsid w:val="009D4E33"/>
    <w:rsid w:val="009D7F3E"/>
    <w:rsid w:val="009E0FB1"/>
    <w:rsid w:val="009E47AB"/>
    <w:rsid w:val="009E6C66"/>
    <w:rsid w:val="009E7C90"/>
    <w:rsid w:val="009F19E8"/>
    <w:rsid w:val="00A0039E"/>
    <w:rsid w:val="00A037EF"/>
    <w:rsid w:val="00A259D4"/>
    <w:rsid w:val="00A368ED"/>
    <w:rsid w:val="00A40BDE"/>
    <w:rsid w:val="00A44720"/>
    <w:rsid w:val="00A477B2"/>
    <w:rsid w:val="00A536AA"/>
    <w:rsid w:val="00A56B20"/>
    <w:rsid w:val="00A5769F"/>
    <w:rsid w:val="00A718E9"/>
    <w:rsid w:val="00A728D9"/>
    <w:rsid w:val="00A75F87"/>
    <w:rsid w:val="00A832FE"/>
    <w:rsid w:val="00A85060"/>
    <w:rsid w:val="00A8610F"/>
    <w:rsid w:val="00AB6144"/>
    <w:rsid w:val="00AB6786"/>
    <w:rsid w:val="00AC50FA"/>
    <w:rsid w:val="00AC7289"/>
    <w:rsid w:val="00AC77E3"/>
    <w:rsid w:val="00AE524F"/>
    <w:rsid w:val="00AE7F08"/>
    <w:rsid w:val="00AF5080"/>
    <w:rsid w:val="00B00731"/>
    <w:rsid w:val="00B0598C"/>
    <w:rsid w:val="00B073A4"/>
    <w:rsid w:val="00B15985"/>
    <w:rsid w:val="00B16C30"/>
    <w:rsid w:val="00B17F5B"/>
    <w:rsid w:val="00B26061"/>
    <w:rsid w:val="00B26543"/>
    <w:rsid w:val="00B35170"/>
    <w:rsid w:val="00B429A6"/>
    <w:rsid w:val="00B532BE"/>
    <w:rsid w:val="00B56CFE"/>
    <w:rsid w:val="00B91FD5"/>
    <w:rsid w:val="00B93B4B"/>
    <w:rsid w:val="00BA067C"/>
    <w:rsid w:val="00BA2CBD"/>
    <w:rsid w:val="00BA4710"/>
    <w:rsid w:val="00BB4696"/>
    <w:rsid w:val="00BC3A6A"/>
    <w:rsid w:val="00BE0692"/>
    <w:rsid w:val="00BF37AE"/>
    <w:rsid w:val="00C11658"/>
    <w:rsid w:val="00C140C0"/>
    <w:rsid w:val="00C16CA8"/>
    <w:rsid w:val="00C37C54"/>
    <w:rsid w:val="00C41F82"/>
    <w:rsid w:val="00C46E5C"/>
    <w:rsid w:val="00C5382C"/>
    <w:rsid w:val="00C65C6F"/>
    <w:rsid w:val="00C65D1D"/>
    <w:rsid w:val="00C70F0A"/>
    <w:rsid w:val="00C73D2A"/>
    <w:rsid w:val="00C84ED3"/>
    <w:rsid w:val="00C90485"/>
    <w:rsid w:val="00C97E80"/>
    <w:rsid w:val="00CA017C"/>
    <w:rsid w:val="00CA0E79"/>
    <w:rsid w:val="00CB0F27"/>
    <w:rsid w:val="00CB77AD"/>
    <w:rsid w:val="00CC401D"/>
    <w:rsid w:val="00CD4BEE"/>
    <w:rsid w:val="00CD7860"/>
    <w:rsid w:val="00CE4046"/>
    <w:rsid w:val="00CE65FA"/>
    <w:rsid w:val="00D0306B"/>
    <w:rsid w:val="00D2209C"/>
    <w:rsid w:val="00D236A0"/>
    <w:rsid w:val="00D30D4F"/>
    <w:rsid w:val="00D33F8F"/>
    <w:rsid w:val="00D4714D"/>
    <w:rsid w:val="00D47D57"/>
    <w:rsid w:val="00D53936"/>
    <w:rsid w:val="00D55A4E"/>
    <w:rsid w:val="00D614F3"/>
    <w:rsid w:val="00D64AAB"/>
    <w:rsid w:val="00D670A2"/>
    <w:rsid w:val="00D73976"/>
    <w:rsid w:val="00D7407E"/>
    <w:rsid w:val="00D77A9B"/>
    <w:rsid w:val="00D80A03"/>
    <w:rsid w:val="00D80BCF"/>
    <w:rsid w:val="00D8553F"/>
    <w:rsid w:val="00D95617"/>
    <w:rsid w:val="00D959F0"/>
    <w:rsid w:val="00D976E5"/>
    <w:rsid w:val="00DA44BD"/>
    <w:rsid w:val="00DA66D1"/>
    <w:rsid w:val="00DA6DD1"/>
    <w:rsid w:val="00DB087A"/>
    <w:rsid w:val="00DB2F65"/>
    <w:rsid w:val="00DC0612"/>
    <w:rsid w:val="00DD1ACA"/>
    <w:rsid w:val="00DD1C3D"/>
    <w:rsid w:val="00DD7306"/>
    <w:rsid w:val="00DD7917"/>
    <w:rsid w:val="00E00080"/>
    <w:rsid w:val="00E017CA"/>
    <w:rsid w:val="00E020AC"/>
    <w:rsid w:val="00E17014"/>
    <w:rsid w:val="00E27213"/>
    <w:rsid w:val="00E33A1B"/>
    <w:rsid w:val="00E43EC6"/>
    <w:rsid w:val="00E45379"/>
    <w:rsid w:val="00E47BC9"/>
    <w:rsid w:val="00E47DBF"/>
    <w:rsid w:val="00E52CCD"/>
    <w:rsid w:val="00E640B7"/>
    <w:rsid w:val="00E70349"/>
    <w:rsid w:val="00E7546B"/>
    <w:rsid w:val="00E76305"/>
    <w:rsid w:val="00E8066D"/>
    <w:rsid w:val="00E816BC"/>
    <w:rsid w:val="00E828A4"/>
    <w:rsid w:val="00E85125"/>
    <w:rsid w:val="00E8544B"/>
    <w:rsid w:val="00E92FE7"/>
    <w:rsid w:val="00EA5920"/>
    <w:rsid w:val="00EA5FEE"/>
    <w:rsid w:val="00EB239E"/>
    <w:rsid w:val="00EB6DD2"/>
    <w:rsid w:val="00EC2F44"/>
    <w:rsid w:val="00ED12AE"/>
    <w:rsid w:val="00ED3CBE"/>
    <w:rsid w:val="00ED6370"/>
    <w:rsid w:val="00EE1380"/>
    <w:rsid w:val="00EE6AD4"/>
    <w:rsid w:val="00EE6CE2"/>
    <w:rsid w:val="00EE6EE7"/>
    <w:rsid w:val="00EF126A"/>
    <w:rsid w:val="00EF21D4"/>
    <w:rsid w:val="00EF3314"/>
    <w:rsid w:val="00F02C32"/>
    <w:rsid w:val="00F03AE1"/>
    <w:rsid w:val="00F10E4A"/>
    <w:rsid w:val="00F15DF6"/>
    <w:rsid w:val="00F15EB8"/>
    <w:rsid w:val="00F1653A"/>
    <w:rsid w:val="00F43CAD"/>
    <w:rsid w:val="00F531E8"/>
    <w:rsid w:val="00F82223"/>
    <w:rsid w:val="00F84A88"/>
    <w:rsid w:val="00F9100A"/>
    <w:rsid w:val="00F9113F"/>
    <w:rsid w:val="00FA14F2"/>
    <w:rsid w:val="00FB0ED2"/>
    <w:rsid w:val="00FC3AE3"/>
    <w:rsid w:val="00FD30C5"/>
    <w:rsid w:val="00FD41EA"/>
    <w:rsid w:val="00FE2C14"/>
    <w:rsid w:val="00FF35A0"/>
    <w:rsid w:val="00FF42F5"/>
    <w:rsid w:val="0EA6097E"/>
    <w:rsid w:val="71695194"/>
    <w:rsid w:val="7A535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qFormat/>
    <w:uiPriority w:val="0"/>
    <w:rPr>
      <w:color w:val="0000FF"/>
      <w:u w:val="single"/>
    </w:rPr>
  </w:style>
  <w:style w:type="character" w:customStyle="1" w:styleId="9">
    <w:name w:val="页脚 Char1"/>
    <w:link w:val="2"/>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qFormat/>
    <w:uiPriority w:val="99"/>
    <w:rPr>
      <w:rFonts w:ascii="Times New Roman" w:hAnsi="Times New Roman" w:eastAsia="宋体" w:cs="Times New Roman"/>
      <w:sz w:val="18"/>
      <w:szCs w:val="18"/>
    </w:rPr>
  </w:style>
  <w:style w:type="character" w:customStyle="1" w:styleId="12">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897</Words>
  <Characters>5113</Characters>
  <Lines>42</Lines>
  <Paragraphs>11</Paragraphs>
  <ScaleCrop>false</ScaleCrop>
  <LinksUpToDate>false</LinksUpToDate>
  <CharactersWithSpaces>5999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2022-11-04T05:06:59Z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