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重庆市綦江区图书馆</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1.根据本地区政治、经济、科学、生态和文化教育事业发展的需要，积极收集和收藏各种书刊资料，成为具有地方特点的图书情报资料中心。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2.通过馆内流通阅览、馆际互借、邮寄借书、书目参考、咨询解答等各种形式和服务手段为读者服务，成为本区图书馆服务工作的中心。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3.积极开展书目、索引工作，编印出版本地区馆藏图书资料目录、索引，以及与本区重点科研、生产项目有关的书目资料，成为本区图书情报资源中心。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4.充分发挥在普及科学文化知识，提高广大读者思想、理论和科学文化水平方面的作用，成为本区校外终身教育和读者自学研究的中心。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5.组织各系统图书室之间的协作和协调工作，成为本区图书室网络的中心。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6.积极开展业务辅导、协助和指导镇街图书分馆图书通借通还“一卡通”及农家书屋管理，建立城乡图书网络化。</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7.负责全区文化旅游资源信息共享工程技术指导和培训。</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8.积极推动、引导綦江区全民阅读工作。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9.完成上级交办的其他工作。</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重庆市綦江区图书馆为区文化旅游委所属事业单位，机构类型为公益一类事业单位，机构级别为正科级，经费形式为财政全额拨款，宗旨为保存借阅图书资料，促进社会经济文化发展。</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根据上述职能，重庆市綦江区图书馆下设办公室、辅导部、活动部、地方文献古籍保护部等4个内设机构。</w:t>
      </w:r>
    </w:p>
    <w:p>
      <w:pPr>
        <w:spacing w:line="600" w:lineRule="exact"/>
        <w:ind w:firstLine="640" w:firstLineChars="200"/>
        <w:rPr>
          <w:rFonts w:eastAsia="方正黑体_GBK"/>
          <w:sz w:val="32"/>
          <w:szCs w:val="32"/>
        </w:rPr>
      </w:pP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2021年度收入总计351.95万元，支出总计351.95万元。收支较上年决算数减少46.7万元、下降11.7%</w:t>
      </w:r>
      <w:r>
        <w:rPr>
          <w:rFonts w:hint="eastAsia" w:ascii="方正仿宋_GBK" w:eastAsia="方正仿宋_GBK" w:cs="宋体"/>
          <w:kern w:val="0"/>
          <w:sz w:val="32"/>
          <w:szCs w:val="32"/>
        </w:rPr>
        <w:t>。</w:t>
      </w:r>
      <w:r>
        <w:rPr>
          <w:rFonts w:ascii="方正仿宋_GBK" w:eastAsia="方正仿宋_GBK" w:cs="宋体"/>
          <w:kern w:val="0"/>
          <w:sz w:val="32"/>
          <w:szCs w:val="32"/>
        </w:rPr>
        <w:t>主要原因</w:t>
      </w:r>
      <w:r>
        <w:rPr>
          <w:rFonts w:hint="eastAsia" w:ascii="方正仿宋_GBK" w:eastAsia="方正仿宋_GBK" w:cs="宋体"/>
          <w:kern w:val="0"/>
          <w:sz w:val="32"/>
          <w:szCs w:val="32"/>
        </w:rPr>
        <w:t>：一是规范津贴补贴后人员性支出正常减少1.05万元；二是公用支出因扶贫等工作增加劳务费、租车费等而正常增加0.9万元；三是项目支出正常减少46.55万元。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2.收入情况。</w:t>
      </w:r>
      <w:r>
        <w:rPr>
          <w:rFonts w:ascii="方正仿宋_GBK" w:eastAsia="方正仿宋_GBK" w:cs="宋体"/>
          <w:kern w:val="0"/>
          <w:sz w:val="32"/>
          <w:szCs w:val="32"/>
        </w:rPr>
        <w:t>2021年度收入合计268.73万元，较上年决算数减少75.71万元，下降22%，主要原因</w:t>
      </w:r>
      <w:r>
        <w:rPr>
          <w:rFonts w:hint="eastAsia" w:ascii="方正仿宋_GBK" w:eastAsia="方正仿宋_GBK" w:cs="宋体"/>
          <w:kern w:val="0"/>
          <w:sz w:val="32"/>
          <w:szCs w:val="32"/>
        </w:rPr>
        <w:t>：一是规范津贴补贴后人员性支出正常减少2.61万元；二是公用支出因扶贫等工作增加劳务费、租车费等而正常增加0.9万元；三是项目支出减少74万元。</w:t>
      </w:r>
      <w:r>
        <w:rPr>
          <w:rFonts w:ascii="方正仿宋_GBK" w:eastAsia="方正仿宋_GBK" w:cs="宋体"/>
          <w:kern w:val="0"/>
          <w:sz w:val="32"/>
          <w:szCs w:val="32"/>
        </w:rPr>
        <w:t>其中：财政拨款收入268.73万元，占100</w:t>
      </w:r>
      <w:r>
        <w:rPr>
          <w:rFonts w:hint="eastAsia" w:ascii="方正仿宋_GBK" w:eastAsia="方正仿宋_GBK" w:cs="宋体"/>
          <w:kern w:val="0"/>
          <w:sz w:val="32"/>
          <w:szCs w:val="32"/>
        </w:rPr>
        <w:t>.0</w:t>
      </w:r>
      <w:r>
        <w:rPr>
          <w:rFonts w:ascii="方正仿宋_GBK" w:eastAsia="方正仿宋_GBK" w:cs="宋体"/>
          <w:kern w:val="0"/>
          <w:sz w:val="32"/>
          <w:szCs w:val="32"/>
        </w:rPr>
        <w:t>%</w:t>
      </w:r>
      <w:r>
        <w:rPr>
          <w:rFonts w:hint="eastAsia" w:ascii="方正仿宋_GBK" w:eastAsia="方正仿宋_GBK" w:cs="宋体"/>
          <w:kern w:val="0"/>
          <w:sz w:val="32"/>
          <w:szCs w:val="32"/>
        </w:rPr>
        <w:t>。此外，</w:t>
      </w:r>
      <w:r>
        <w:rPr>
          <w:rFonts w:ascii="方正仿宋_GBK" w:eastAsia="方正仿宋_GBK" w:cs="宋体"/>
          <w:kern w:val="0"/>
          <w:sz w:val="32"/>
          <w:szCs w:val="32"/>
        </w:rPr>
        <w:t>年初结转和结余83.22万元。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3.支出情况。2</w:t>
      </w:r>
      <w:r>
        <w:rPr>
          <w:rFonts w:ascii="方正仿宋_GBK" w:eastAsia="方正仿宋_GBK" w:cs="宋体"/>
          <w:kern w:val="0"/>
          <w:sz w:val="32"/>
          <w:szCs w:val="32"/>
        </w:rPr>
        <w:t>021年度支出合计351.95万元，较上年决算数增加16.44万元，增长4.9%，主要原因</w:t>
      </w:r>
      <w:r>
        <w:rPr>
          <w:rFonts w:hint="eastAsia" w:ascii="方正仿宋_GBK" w:eastAsia="方正仿宋_GBK" w:cs="宋体"/>
          <w:kern w:val="0"/>
          <w:sz w:val="32"/>
          <w:szCs w:val="32"/>
        </w:rPr>
        <w:t>：一是人员性支出正常增加10.64万元；二是公用支出正常增加0.9万元；三是项目支出增加4.9万元。</w:t>
      </w:r>
      <w:r>
        <w:rPr>
          <w:rFonts w:ascii="方正仿宋_GBK" w:eastAsia="方正仿宋_GBK" w:cs="宋体"/>
          <w:kern w:val="0"/>
          <w:sz w:val="32"/>
          <w:szCs w:val="32"/>
        </w:rPr>
        <w:t>其中：基本支出196.07万元，占55.7%；项目支出155.88万元，占44.3%。</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w:t>
      </w:r>
      <w:r>
        <w:rPr>
          <w:rFonts w:ascii="方正仿宋_GBK" w:eastAsia="方正仿宋_GBK" w:cs="宋体"/>
          <w:kern w:val="0"/>
          <w:sz w:val="32"/>
          <w:szCs w:val="32"/>
        </w:rPr>
        <w:t>2021年度年末结转和结余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万元，较上年决算数减少63.14万元，下降100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当年全部执行完历年结转和结余63.14万元。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2021年度财政拨款收、支总计351.95万元。与2020年相比，财政拨款收、支总计各减少46.7万元，下降11.7%。</w:t>
      </w:r>
      <w:r>
        <w:rPr>
          <w:rFonts w:hint="eastAsia" w:ascii="方正仿宋_GBK" w:eastAsia="方正仿宋_GBK" w:cs="宋体"/>
          <w:kern w:val="0"/>
          <w:sz w:val="32"/>
          <w:szCs w:val="32"/>
        </w:rPr>
        <w:t>一是规范津贴补贴后人员性支出正常减少1.05万元；二是公用支出因扶贫等工作增加劳务费、租车费等而正常增加0.9万元；三是项目支出正常减少46.55万元。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1.收入情况。</w:t>
      </w:r>
      <w:r>
        <w:rPr>
          <w:rFonts w:ascii="方正仿宋_GBK" w:eastAsia="方正仿宋_GBK" w:cs="宋体"/>
          <w:kern w:val="0"/>
          <w:sz w:val="32"/>
          <w:szCs w:val="32"/>
        </w:rPr>
        <w:t>2021年度一般公共预算财政拨款收入268.73万元，较上年决算数减少75.71万元，下降22%。主要原因</w:t>
      </w:r>
      <w:r>
        <w:rPr>
          <w:rFonts w:hint="eastAsia" w:ascii="方正仿宋_GBK" w:eastAsia="方正仿宋_GBK" w:cs="宋体"/>
          <w:kern w:val="0"/>
          <w:sz w:val="32"/>
          <w:szCs w:val="32"/>
        </w:rPr>
        <w:t>：一是规范津贴补贴后人员性支出正常减少2.61万元；二是公用支出因扶贫等工作增加劳务费、租车费等而正常增加0.9万元；三是项目支出减少74万元。</w:t>
      </w:r>
      <w:r>
        <w:rPr>
          <w:rFonts w:ascii="方正仿宋_GBK" w:eastAsia="方正仿宋_GBK" w:cs="宋体"/>
          <w:kern w:val="0"/>
          <w:sz w:val="32"/>
          <w:szCs w:val="32"/>
        </w:rPr>
        <w:t>较年初预算数增加53.92万元，增长25.1%。主要原因</w:t>
      </w:r>
      <w:r>
        <w:rPr>
          <w:rFonts w:hint="eastAsia" w:ascii="方正仿宋_GBK" w:eastAsia="方正仿宋_GBK" w:cs="宋体"/>
          <w:kern w:val="0"/>
          <w:sz w:val="32"/>
          <w:szCs w:val="32"/>
        </w:rPr>
        <w:t>：一是人员增资等原因造成人员性支出正常增加7.82万元；二是因压缩公用支出和部分公用支出被调剂到人员性支出而正常减少20.63万元；三是项目支出增加66.73万元。</w:t>
      </w:r>
      <w:r>
        <w:rPr>
          <w:rFonts w:ascii="方正仿宋_GBK" w:eastAsia="方正仿宋_GBK" w:cs="宋体"/>
          <w:kern w:val="0"/>
          <w:sz w:val="32"/>
          <w:szCs w:val="32"/>
        </w:rPr>
        <w:t>此外，年初财政拨款结转和结余83.22万元。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2.支出情况。</w:t>
      </w:r>
      <w:r>
        <w:rPr>
          <w:rFonts w:ascii="方正仿宋_GBK" w:eastAsia="方正仿宋_GBK" w:cs="宋体"/>
          <w:kern w:val="0"/>
          <w:sz w:val="32"/>
          <w:szCs w:val="32"/>
        </w:rPr>
        <w:t>2021年度一般公共预算财政拨款支出351.95万元，较上年决算数增加16.44万元，增长4.9%。主要原因</w:t>
      </w:r>
      <w:r>
        <w:rPr>
          <w:rFonts w:hint="eastAsia" w:ascii="方正仿宋_GBK" w:eastAsia="方正仿宋_GBK" w:cs="宋体"/>
          <w:kern w:val="0"/>
          <w:sz w:val="32"/>
          <w:szCs w:val="32"/>
        </w:rPr>
        <w:t>：一是人员性支出正常增加10.64万元；二是公用支出正常增加0.9万元；三是项目支出增加4.9万元。</w:t>
      </w:r>
      <w:r>
        <w:rPr>
          <w:rFonts w:ascii="方正仿宋_GBK" w:eastAsia="方正仿宋_GBK" w:cs="宋体"/>
          <w:kern w:val="0"/>
          <w:sz w:val="32"/>
          <w:szCs w:val="32"/>
        </w:rPr>
        <w:t>较年初预算数增加73.99万元，增长26.6%。主要原因</w:t>
      </w:r>
      <w:r>
        <w:rPr>
          <w:rFonts w:hint="eastAsia" w:ascii="方正仿宋_GBK" w:eastAsia="方正仿宋_GBK" w:cs="宋体"/>
          <w:kern w:val="0"/>
          <w:sz w:val="32"/>
          <w:szCs w:val="32"/>
        </w:rPr>
        <w:t>：一是人员性支出正常增加21.94万元；二是因压缩公用支出和部分公用支出被调剂到人员性支出而正常减少20.63万元；三是项目支出增加72.68万元。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w:t>
      </w:r>
      <w:r>
        <w:rPr>
          <w:rFonts w:ascii="方正仿宋_GBK" w:eastAsia="方正仿宋_GBK" w:cs="宋体"/>
          <w:kern w:val="0"/>
          <w:sz w:val="32"/>
          <w:szCs w:val="32"/>
        </w:rPr>
        <w:t>2021年度年末一般公共预算财政拨款结转和结余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万元，较上年决算数减少63.14万元，下降100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当年全部执行完历年结转和结余63.14万元。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ascii="方正仿宋_GBK" w:eastAsia="方正仿宋_GBK" w:cs="宋体"/>
          <w:kern w:val="0"/>
          <w:sz w:val="32"/>
          <w:szCs w:val="32"/>
        </w:rPr>
        <w:t>文化旅游体育与传媒支出296.08万元，占84.1%，较年初预算数增加63.69万元，增长27.4%，</w:t>
      </w:r>
      <w:r>
        <w:rPr>
          <w:rFonts w:hint="eastAsia" w:ascii="方正仿宋_GBK" w:eastAsia="方正仿宋_GBK" w:cs="宋体"/>
          <w:kern w:val="0"/>
          <w:sz w:val="32"/>
          <w:szCs w:val="32"/>
        </w:rPr>
        <w:t>主要原因：一是人员性支出正常增加9.87万元；二是因压缩公用支出和部分公用支出被调剂到人员性支出而正常减少20.29万元；三是项目支出正常增加74.11万元。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社会保障与就业支出40.05万元，占11.4%，较年初预算数增加10.92万元，增长37.5%，主要原因</w:t>
      </w:r>
      <w:r>
        <w:rPr>
          <w:rFonts w:hint="eastAsia" w:ascii="方正仿宋_GBK" w:eastAsia="方正仿宋_GBK" w:cs="宋体"/>
          <w:kern w:val="0"/>
          <w:sz w:val="32"/>
          <w:szCs w:val="32"/>
        </w:rPr>
        <w:t>是人员正常增资后基数增加导致支出增加10.92万元。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rFonts w:ascii="方正仿宋_GBK" w:eastAsia="方正仿宋_GBK" w:cs="宋体"/>
          <w:kern w:val="0"/>
          <w:sz w:val="32"/>
          <w:szCs w:val="32"/>
        </w:rPr>
        <w:t>卫生健康支出8.15万元，占2.3%，较年初预算数减少0.72万元，下降8.1%，主要原因是</w:t>
      </w:r>
      <w:r>
        <w:rPr>
          <w:rFonts w:hint="eastAsia" w:ascii="方正仿宋_GBK" w:eastAsia="方正仿宋_GBK" w:cs="宋体"/>
          <w:kern w:val="0"/>
          <w:sz w:val="32"/>
          <w:szCs w:val="32"/>
        </w:rPr>
        <w:t>规范人员性津贴补贴后上缴基数正常减少而节约支出0.72万元。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rFonts w:ascii="方正仿宋_GBK" w:eastAsia="方正仿宋_GBK" w:cs="宋体"/>
          <w:kern w:val="0"/>
          <w:sz w:val="32"/>
          <w:szCs w:val="32"/>
        </w:rPr>
        <w:t>住房保障支出7.67万元，占2.2%，较年初预算数增加0.1万元，增长1.3%，主要原因</w:t>
      </w:r>
      <w:r>
        <w:rPr>
          <w:rFonts w:hint="eastAsia" w:ascii="方正仿宋_GBK" w:eastAsia="方正仿宋_GBK" w:cs="宋体"/>
          <w:kern w:val="0"/>
          <w:sz w:val="32"/>
          <w:szCs w:val="32"/>
        </w:rPr>
        <w:t xml:space="preserve">人员正常增资导致基数上升后支出正常增加0.1万元。  </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2021年度一般公共财政拨款基本支出196.07万元。其中：人员经费175.59万元，较上年决算数增加10.64万元，增长6.5%，主要原因是</w:t>
      </w:r>
      <w:r>
        <w:rPr>
          <w:rFonts w:hint="eastAsia" w:ascii="方正仿宋_GBK" w:eastAsia="方正仿宋_GBK" w:cs="宋体"/>
          <w:kern w:val="0"/>
          <w:sz w:val="32"/>
          <w:szCs w:val="32"/>
        </w:rPr>
        <w:t>人员增资导致人员性支出正常增加10.64万元。    人员经费用途主要包括基本工资、津贴补贴、奖金、社会保障缴费、绩效工资、机关事业单位基本养老保险缴费、职业年金缴费、其他工资福利支出、离退休费、抚恤金、医疗费、住房公积金等。</w:t>
      </w:r>
      <w:r>
        <w:rPr>
          <w:rFonts w:ascii="方正仿宋_GBK" w:eastAsia="方正仿宋_GBK" w:cs="宋体"/>
          <w:kern w:val="0"/>
          <w:sz w:val="32"/>
          <w:szCs w:val="32"/>
        </w:rPr>
        <w:t>公用经费20.48万元，较上年决算数增加0.9万元，增长4.6%</w:t>
      </w:r>
      <w:r>
        <w:rPr>
          <w:rFonts w:hint="eastAsia" w:ascii="方正仿宋_GBK" w:eastAsia="方正仿宋_GBK" w:cs="宋体"/>
          <w:kern w:val="0"/>
          <w:sz w:val="32"/>
          <w:szCs w:val="32"/>
        </w:rPr>
        <w:t>，主要原因是扶贫导致劳务费、租车费等公用支出正常增加0.9万元。公用经费用途主要包括办公费、印刷费、水费、电费、邮电费、差旅费、维修费、会议费、培训费、公务接待费、劳务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2021年度无政府性基金预算财政拨款收支</w:t>
      </w:r>
      <w:r>
        <w:rPr>
          <w:rFonts w:hint="eastAsia" w:ascii="方正仿宋_GBK" w:eastAsia="方正仿宋_GBK" w:cs="宋体"/>
          <w:kern w:val="0"/>
          <w:sz w:val="32"/>
          <w:szCs w:val="32"/>
        </w:rPr>
        <w:t>，与上年持平。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w:t>
      </w:r>
      <w:r>
        <w:rPr>
          <w:rFonts w:hint="eastAsia" w:ascii="方正仿宋_GBK" w:eastAsia="方正仿宋_GBK" w:cs="宋体"/>
          <w:kern w:val="0"/>
          <w:sz w:val="32"/>
          <w:szCs w:val="32"/>
        </w:rPr>
        <w:t>国有资本经营预算财政拨款</w:t>
      </w:r>
      <w:r>
        <w:rPr>
          <w:rFonts w:ascii="方正仿宋_GBK" w:eastAsia="方正仿宋_GBK" w:cs="宋体"/>
          <w:kern w:val="0"/>
          <w:sz w:val="32"/>
          <w:szCs w:val="32"/>
        </w:rPr>
        <w:t>收支</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hint="eastAsia" w:ascii="方正仿宋_GBK" w:eastAsia="方正仿宋_GBK" w:cs="宋体"/>
          <w:kern w:val="0"/>
          <w:sz w:val="32"/>
          <w:szCs w:val="32"/>
        </w:rPr>
      </w:pPr>
      <w:r>
        <w:rPr>
          <w:rFonts w:hint="eastAsia" w:ascii="方正楷体_GBK" w:eastAsia="方正楷体_GBK"/>
          <w:color w:val="333333"/>
          <w:sz w:val="32"/>
          <w:szCs w:val="32"/>
        </w:rPr>
        <w:t>（一）</w:t>
      </w:r>
      <w:r>
        <w:rPr>
          <w:rFonts w:hint="eastAsia" w:ascii="方正仿宋_GBK" w:eastAsia="方正仿宋_GBK" w:cs="宋体"/>
          <w:kern w:val="0"/>
          <w:sz w:val="32"/>
          <w:szCs w:val="32"/>
        </w:rPr>
        <w:t>“三公”经费支出总体情况说明。</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2021年度“三公”经费支出共计0.77万元，较年初预算数减少3.73万元，下降82.9%，主要原因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严控公务接待费减少支出0.9万元；二是严控公车出行减少支出2.83万元</w:t>
      </w:r>
      <w:r>
        <w:rPr>
          <w:rFonts w:ascii="方正仿宋_GBK" w:eastAsia="方正仿宋_GBK" w:cs="宋体"/>
          <w:kern w:val="0"/>
          <w:sz w:val="32"/>
          <w:szCs w:val="32"/>
        </w:rPr>
        <w:t>。较上年支出数增加0.66万元，增长600</w:t>
      </w:r>
      <w:r>
        <w:rPr>
          <w:rFonts w:hint="eastAsia" w:ascii="方正仿宋_GBK" w:eastAsia="方正仿宋_GBK" w:cs="宋体"/>
          <w:kern w:val="0"/>
          <w:sz w:val="32"/>
          <w:szCs w:val="32"/>
        </w:rPr>
        <w:t>.0</w:t>
      </w:r>
      <w:r>
        <w:rPr>
          <w:rFonts w:ascii="方正仿宋_GBK" w:eastAsia="方正仿宋_GBK" w:cs="宋体"/>
          <w:kern w:val="0"/>
          <w:sz w:val="32"/>
          <w:szCs w:val="32"/>
        </w:rPr>
        <w:t>%，主要原因</w:t>
      </w:r>
      <w:r>
        <w:rPr>
          <w:rFonts w:hint="eastAsia" w:ascii="方正仿宋_GBK" w:eastAsia="方正仿宋_GBK" w:cs="宋体"/>
          <w:kern w:val="0"/>
          <w:sz w:val="32"/>
          <w:szCs w:val="32"/>
        </w:rPr>
        <w:t>：一是当年新增公务接待费0.1万元；二</w:t>
      </w:r>
      <w:r>
        <w:rPr>
          <w:rFonts w:ascii="方正仿宋_GBK" w:eastAsia="方正仿宋_GBK" w:cs="宋体"/>
          <w:kern w:val="0"/>
          <w:sz w:val="32"/>
          <w:szCs w:val="32"/>
        </w:rPr>
        <w:t>是</w:t>
      </w:r>
      <w:r>
        <w:rPr>
          <w:rFonts w:hint="eastAsia" w:ascii="方正仿宋_GBK" w:eastAsia="方正仿宋_GBK" w:cs="宋体"/>
          <w:kern w:val="0"/>
          <w:sz w:val="32"/>
          <w:szCs w:val="32"/>
        </w:rPr>
        <w:t>当年新增车辆保险费、扶贫出车等运维费0.56万元</w:t>
      </w:r>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（二）“三公”经费分项支出情况。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因公出国（境）费。本单位当年未发生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公务车购置费。本单位当年未发生公务车购置费支出，与上年持平。</w:t>
      </w:r>
    </w:p>
    <w:p>
      <w:pPr>
        <w:spacing w:line="600" w:lineRule="exact"/>
        <w:ind w:firstLine="640" w:firstLineChars="200"/>
        <w:rPr>
          <w:rFonts w:hint="eastAsia" w:ascii="方正仿宋_GBK" w:hAnsi="微软雅黑" w:eastAsia="方正仿宋_GBK" w:cs="宋体"/>
          <w:color w:val="333333"/>
          <w:kern w:val="0"/>
          <w:sz w:val="32"/>
          <w:szCs w:val="32"/>
        </w:rPr>
      </w:pPr>
      <w:r>
        <w:rPr>
          <w:rFonts w:hint="eastAsia" w:ascii="方正仿宋_GBK" w:eastAsia="方正仿宋_GBK" w:cs="宋体"/>
          <w:kern w:val="0"/>
          <w:sz w:val="32"/>
          <w:szCs w:val="32"/>
        </w:rPr>
        <w:t>公务车运行维护费。</w:t>
      </w:r>
      <w:r>
        <w:rPr>
          <w:rFonts w:ascii="方正仿宋_GBK" w:eastAsia="方正仿宋_GBK" w:cs="宋体"/>
          <w:kern w:val="0"/>
          <w:sz w:val="32"/>
          <w:szCs w:val="32"/>
        </w:rPr>
        <w:t>公务车运行维护费0.67万元，</w:t>
      </w:r>
      <w:r>
        <w:rPr>
          <w:rFonts w:hint="eastAsia" w:ascii="方正仿宋_GBK" w:eastAsia="方正仿宋_GBK" w:cs="宋体"/>
          <w:kern w:val="0"/>
          <w:sz w:val="32"/>
          <w:szCs w:val="32"/>
        </w:rPr>
        <w:t>主要用于市内因公出行、执法检查等工作所需车辆的燃料费、维修费、过桥过路费、保险费等，费用支出较年初预算数减少</w:t>
      </w:r>
      <w:r>
        <w:rPr>
          <w:rFonts w:ascii="方正仿宋_GBK" w:eastAsia="方正仿宋_GBK" w:cs="宋体"/>
          <w:kern w:val="0"/>
          <w:sz w:val="32"/>
          <w:szCs w:val="32"/>
        </w:rPr>
        <w:t>2.83万元，下降80.9%，</w:t>
      </w:r>
      <w:r>
        <w:rPr>
          <w:rFonts w:hint="eastAsia" w:ascii="方正仿宋_GBK" w:eastAsia="方正仿宋_GBK" w:cs="宋体"/>
          <w:kern w:val="0"/>
          <w:sz w:val="32"/>
          <w:szCs w:val="32"/>
        </w:rPr>
        <w:t>主要原因是严格公务用车管理制度，厉行节约，严格管控支出减少支出2.83万元。较上年支出数增加</w:t>
      </w:r>
      <w:r>
        <w:rPr>
          <w:rFonts w:ascii="方正仿宋_GBK" w:eastAsia="方正仿宋_GBK" w:cs="宋体"/>
          <w:kern w:val="0"/>
          <w:sz w:val="32"/>
          <w:szCs w:val="32"/>
        </w:rPr>
        <w:t>0.56万元，增长509.1%，主要原因是</w:t>
      </w:r>
      <w:r>
        <w:rPr>
          <w:rFonts w:hint="eastAsia" w:ascii="方正仿宋_GBK" w:eastAsia="方正仿宋_GBK" w:cs="宋体"/>
          <w:kern w:val="0"/>
          <w:sz w:val="32"/>
          <w:szCs w:val="32"/>
        </w:rPr>
        <w:t>当年新增车辆保险费、扶贫出车等运维费0.56万元</w:t>
      </w:r>
      <w:r>
        <w:rPr>
          <w:rFonts w:hint="eastAsia" w:ascii="方正仿宋_GBK" w:hAnsi="微软雅黑" w:eastAsia="方正仿宋_GBK" w:cs="宋体"/>
          <w:color w:val="333333"/>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公务接待费。</w:t>
      </w:r>
      <w:r>
        <w:rPr>
          <w:rFonts w:ascii="方正仿宋_GBK" w:eastAsia="方正仿宋_GBK" w:cs="宋体"/>
          <w:kern w:val="0"/>
          <w:sz w:val="32"/>
          <w:szCs w:val="32"/>
        </w:rPr>
        <w:t>公务接待费0.1万元，主要用于接待</w:t>
      </w:r>
      <w:r>
        <w:rPr>
          <w:rFonts w:hint="eastAsia" w:ascii="方正仿宋_GBK" w:eastAsia="方正仿宋_GBK" w:cs="宋体"/>
          <w:kern w:val="0"/>
          <w:sz w:val="32"/>
          <w:szCs w:val="32"/>
        </w:rPr>
        <w:t>外单位来人交流、学习等，共3次13人.次。</w:t>
      </w:r>
      <w:r>
        <w:rPr>
          <w:rFonts w:ascii="方正仿宋_GBK" w:eastAsia="方正仿宋_GBK" w:cs="宋体"/>
          <w:kern w:val="0"/>
          <w:sz w:val="32"/>
          <w:szCs w:val="32"/>
        </w:rPr>
        <w:t>费用支出较年初预算数减少0.9万元，下降90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严控公务接待费减少支出0.9万元</w:t>
      </w:r>
      <w:r>
        <w:rPr>
          <w:rFonts w:ascii="方正仿宋_GBK" w:eastAsia="方正仿宋_GBK" w:cs="宋体"/>
          <w:kern w:val="0"/>
          <w:sz w:val="32"/>
          <w:szCs w:val="32"/>
        </w:rPr>
        <w:t>。较上年支出数增加0.1万元，增长</w:t>
      </w:r>
      <w:r>
        <w:rPr>
          <w:rFonts w:hint="eastAsia" w:ascii="方正仿宋_GBK" w:eastAsia="方正仿宋_GBK" w:cs="宋体"/>
          <w:kern w:val="0"/>
          <w:sz w:val="32"/>
          <w:szCs w:val="32"/>
        </w:rPr>
        <w:t>100.0</w:t>
      </w:r>
      <w:r>
        <w:rPr>
          <w:rFonts w:ascii="方正仿宋_GBK" w:eastAsia="方正仿宋_GBK" w:cs="宋体"/>
          <w:kern w:val="0"/>
          <w:sz w:val="32"/>
          <w:szCs w:val="32"/>
        </w:rPr>
        <w:t>%，主要原因是</w:t>
      </w:r>
      <w:r>
        <w:rPr>
          <w:rFonts w:hint="eastAsia" w:ascii="方正仿宋_GBK" w:eastAsia="方正仿宋_GBK" w:cs="宋体"/>
          <w:kern w:val="0"/>
          <w:sz w:val="32"/>
          <w:szCs w:val="32"/>
        </w:rPr>
        <w:t>上年无公务接待费用发生，本年共接待外来人员交流、学习等3批次13人次。</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（二）“三公”经费实物量情况。</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2021年度本部门因公出国（境）共计0个团组，0人；公务用车购置0辆，公务车保有量为1辆；国内公务接待3批次13人，其中：国内外事接待0批次，0人；国（境）外公务接待0批次，0人。2021年本部门人均接待费79.85元，车均购置费0万元，车均维护费0.67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spacing w:line="600" w:lineRule="exact"/>
        <w:ind w:firstLine="640" w:firstLineChars="200"/>
        <w:rPr>
          <w:rFonts w:hint="eastAsia" w:ascii="方正楷体_GBK" w:hAnsi="微软雅黑" w:eastAsia="方正楷体_GBK" w:cs="宋体"/>
          <w:kern w:val="0"/>
          <w:sz w:val="32"/>
          <w:szCs w:val="32"/>
        </w:rPr>
      </w:pPr>
      <w:r>
        <w:rPr>
          <w:rFonts w:ascii="方正楷体_GBK" w:hAnsi="微软雅黑" w:eastAsia="方正楷体_GBK" w:cs="宋体"/>
          <w:kern w:val="0"/>
          <w:sz w:val="32"/>
          <w:szCs w:val="32"/>
        </w:rPr>
        <w:t xml:space="preserve">（一）一般公共预算财政拨款会议费和培训费情况说明。  </w:t>
      </w:r>
    </w:p>
    <w:p>
      <w:pPr>
        <w:pStyle w:val="10"/>
        <w:tabs>
          <w:tab w:val="center" w:pos="4153"/>
          <w:tab w:val="left" w:pos="7275"/>
        </w:tabs>
        <w:spacing w:line="600" w:lineRule="exact"/>
        <w:ind w:firstLine="640"/>
        <w:rPr>
          <w:rFonts w:ascii="方正仿宋_GBK" w:eastAsia="方正仿宋_GBK" w:cs="宋体"/>
          <w:kern w:val="0"/>
          <w:sz w:val="32"/>
          <w:szCs w:val="32"/>
        </w:rPr>
      </w:pPr>
      <w:r>
        <w:rPr>
          <w:rFonts w:ascii="方正仿宋_GBK" w:eastAsia="方正仿宋_GBK" w:cs="宋体"/>
          <w:kern w:val="0"/>
          <w:sz w:val="32"/>
          <w:szCs w:val="32"/>
        </w:rPr>
        <w:t>本年度会议费支出0.07万元，较上年决算数减少0.34万元，下降82.9%，主要原因是</w:t>
      </w:r>
      <w:r>
        <w:rPr>
          <w:rFonts w:hint="eastAsia" w:ascii="方正仿宋_GBK" w:eastAsia="方正仿宋_GBK" w:cs="宋体"/>
          <w:kern w:val="0"/>
          <w:sz w:val="32"/>
          <w:szCs w:val="32"/>
        </w:rPr>
        <w:t>当年严控会议参加人员、会议次数节约支出0.34万元。</w:t>
      </w:r>
      <w:r>
        <w:rPr>
          <w:rFonts w:ascii="方正仿宋_GBK" w:eastAsia="方正仿宋_GBK" w:cs="宋体"/>
          <w:kern w:val="0"/>
          <w:sz w:val="32"/>
          <w:szCs w:val="32"/>
        </w:rPr>
        <w:t>本年度培训费支出0.9万元，较上年决算数减少0.51万元，下降36.2%，主要原因是</w:t>
      </w:r>
      <w:r>
        <w:rPr>
          <w:rFonts w:hint="eastAsia" w:ascii="方正仿宋_GBK" w:eastAsia="方正仿宋_GBK" w:cs="宋体"/>
          <w:kern w:val="0"/>
          <w:sz w:val="32"/>
          <w:szCs w:val="32"/>
        </w:rPr>
        <w:t>当年严控培训参加人员、培训次数节约支出0.51万元。</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（二）机关运行经费情况说明。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按照部门决算列报口径，我单位不在机关运行经费统计范围之内。</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（三）国有资产占用情况说明。</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截至2021年12月31日，本部门共有车辆1辆，其中，副部（省）级及以上领导用车0辆、主要领导干部用车0辆、机要通信用车0辆、应急保障用车0辆、执法执勤用车0辆，特种专业技术用车1辆，离退休干部用车0辆，其他用车0辆。单价50万元（含）以上通用设备0台（套），单价100万元（含）以上专用设备0台（套）。</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（四）政府采购支出情况说明。</w:t>
      </w:r>
    </w:p>
    <w:p>
      <w:pPr>
        <w:spacing w:line="600" w:lineRule="exact"/>
        <w:ind w:firstLine="640" w:firstLineChars="200"/>
        <w:rPr>
          <w:rFonts w:ascii="方正仿宋_GBK" w:eastAsia="方正仿宋_GBK"/>
          <w:color w:val="333333"/>
          <w:sz w:val="32"/>
          <w:szCs w:val="32"/>
        </w:rPr>
      </w:pPr>
      <w:r>
        <w:rPr>
          <w:rFonts w:ascii="方正仿宋_GBK" w:eastAsia="方正仿宋_GBK" w:cs="宋体"/>
          <w:kern w:val="0"/>
          <w:sz w:val="32"/>
          <w:szCs w:val="32"/>
        </w:rPr>
        <w:t>2021年度我单位未发生政府采购事项，无相关经费支出。</w:t>
      </w:r>
      <w:r>
        <w:rPr>
          <w:rFonts w:hint="eastAsia" w:ascii="方正仿宋_GBK" w:eastAsia="方正仿宋_GBK" w:cs="宋体"/>
          <w:kern w:val="0"/>
          <w:sz w:val="32"/>
          <w:szCs w:val="32"/>
        </w:rPr>
        <w:t xml:space="preserve"> </w:t>
      </w:r>
    </w:p>
    <w:p>
      <w:pPr>
        <w:spacing w:line="600" w:lineRule="exact"/>
        <w:ind w:firstLine="640" w:firstLineChars="200"/>
        <w:rPr>
          <w:rFonts w:eastAsia="方正仿宋_GBK" w:cs="宋体"/>
          <w:b/>
          <w:kern w:val="0"/>
          <w:sz w:val="32"/>
          <w:szCs w:val="32"/>
        </w:rPr>
      </w:pP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根据预算绩效管理要求，我单位对16个项目开展了绩效自评，其中，以填报目标自评表形式开展自评16项，涉及资金168.2万元；以委托第三方形式开展绩效评价0项，涉及资金0万元，从评价情况来看，</w:t>
      </w:r>
      <w:r>
        <w:rPr>
          <w:rFonts w:hint="eastAsia" w:ascii="方正仿宋_GBK" w:hAnsi="微软雅黑" w:eastAsia="方正仿宋_GBK" w:cs="宋体"/>
          <w:color w:val="333333"/>
          <w:kern w:val="0"/>
          <w:sz w:val="32"/>
          <w:szCs w:val="32"/>
          <w:shd w:val="clear" w:color="auto" w:fill="FFFFFF"/>
        </w:rPr>
        <w:t>预算执行情况良好，群众满意度较高</w:t>
      </w:r>
      <w:r>
        <w:rPr>
          <w:rFonts w:hint="eastAsia" w:ascii="方正仿宋_GBK" w:hAnsi="微软雅黑" w:eastAsia="方正仿宋_GBK" w:cs="宋体"/>
          <w:color w:val="333333"/>
          <w:kern w:val="0"/>
          <w:sz w:val="32"/>
          <w:szCs w:val="32"/>
        </w:rPr>
        <w:t>。</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shd w:val="clear" w:color="auto" w:fill="FFFFFF"/>
        </w:rPr>
        <w:t>本单位2020年中央公共文化服务体系建设专项资金（文化广播设施维修改造与设备购置）-图书馆新馆设备购置</w:t>
      </w:r>
      <w:r>
        <w:rPr>
          <w:rFonts w:hint="eastAsia" w:ascii="方正仿宋_GBK" w:hAnsi="微软雅黑" w:eastAsia="方正仿宋_GBK" w:cs="宋体"/>
          <w:color w:val="333333"/>
          <w:kern w:val="0"/>
          <w:sz w:val="32"/>
          <w:szCs w:val="32"/>
        </w:rPr>
        <w:t>项目绩效目标自评综述：根据年初设定的绩效目标，项目总体完成情况较好。项目全年预算数为50万元，执行数为50万元，完成预算的100.0%。主要产出和效果：完成设施设备采购、资金使用规范率达100.0%、开放时间达24小时、群众满意度达94%。总体均达到了年初设定目标。</w:t>
      </w:r>
    </w:p>
    <w:tbl>
      <w:tblPr>
        <w:tblStyle w:val="8"/>
        <w:tblW w:w="8780" w:type="dxa"/>
        <w:tblInd w:w="93" w:type="dxa"/>
        <w:tblLayout w:type="fixed"/>
        <w:tblCellMar>
          <w:top w:w="0" w:type="dxa"/>
          <w:left w:w="108" w:type="dxa"/>
          <w:bottom w:w="0" w:type="dxa"/>
          <w:right w:w="108" w:type="dxa"/>
        </w:tblCellMar>
      </w:tblPr>
      <w:tblGrid>
        <w:gridCol w:w="940"/>
        <w:gridCol w:w="1580"/>
        <w:gridCol w:w="980"/>
        <w:gridCol w:w="980"/>
        <w:gridCol w:w="1160"/>
        <w:gridCol w:w="1140"/>
        <w:gridCol w:w="1000"/>
        <w:gridCol w:w="1000"/>
      </w:tblGrid>
      <w:tr>
        <w:tblPrEx>
          <w:tblLayout w:type="fixed"/>
          <w:tblCellMar>
            <w:top w:w="0" w:type="dxa"/>
            <w:left w:w="108" w:type="dxa"/>
            <w:bottom w:w="0" w:type="dxa"/>
            <w:right w:w="108" w:type="dxa"/>
          </w:tblCellMar>
        </w:tblPrEx>
        <w:trPr>
          <w:trHeight w:val="585" w:hRule="atLeast"/>
        </w:trPr>
        <w:tc>
          <w:tcPr>
            <w:tcW w:w="878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780"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填表单位（盖章）：重庆市綦江区图书馆</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2020年中央公共文化服务体系建设专项资金（文化广播设施维修改造与设备购置）-图书馆新馆设备购置</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31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重庆市綦江区文化和旅游发展委员会</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31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陈晓亚18983739327</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158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3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11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5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24小时城市书房设施设备采购（包括：大门门禁、玻璃移动门及电机、挂式禁验证台、自助借还机、自助办证机、电子书借阅机、还书箱、阅览桌、阅览椅、书架等）等</w:t>
            </w:r>
          </w:p>
        </w:tc>
        <w:tc>
          <w:tcPr>
            <w:tcW w:w="43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完成全部事项，并于2021年国庆节免费向市民开放。</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设施设备采购</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一批</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一批</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一批</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资金使用规范率</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8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开放时间</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小时</w:t>
            </w:r>
          </w:p>
        </w:tc>
        <w:tc>
          <w:tcPr>
            <w:tcW w:w="98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24小时</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8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99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84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70" w:hRule="atLeast"/>
        </w:trPr>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5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78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预算单位主要领导：韩丹            绩效评价负责人：张绍里           经办人：陈晓亚</w:t>
            </w:r>
          </w:p>
        </w:tc>
      </w:tr>
    </w:tbl>
    <w:p>
      <w:pPr>
        <w:spacing w:line="600" w:lineRule="exact"/>
        <w:ind w:firstLine="640" w:firstLineChars="20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sz w:val="32"/>
          <w:szCs w:val="32"/>
        </w:rPr>
      </w:pPr>
      <w:r>
        <w:rPr>
          <w:rFonts w:hint="eastAsia" w:eastAsia="方正黑体_GBK"/>
          <w:sz w:val="32"/>
          <w:szCs w:val="32"/>
        </w:rPr>
        <w:t>七、决算公开联系方式</w:t>
      </w:r>
      <w:r>
        <w:rPr>
          <w:rFonts w:eastAsia="方正黑体_GBK"/>
          <w:sz w:val="32"/>
          <w:szCs w:val="32"/>
        </w:rPr>
        <w:t>及信息反馈渠道</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本单位决算公开信息反馈和联系方式：023-486786</w:t>
      </w:r>
      <w:r>
        <w:rPr>
          <w:rFonts w:hint="eastAsia" w:ascii="方正仿宋_GBK" w:hAnsi="微软雅黑" w:eastAsia="方正仿宋_GBK" w:cs="宋体"/>
          <w:color w:val="333333"/>
          <w:kern w:val="0"/>
          <w:sz w:val="32"/>
          <w:szCs w:val="32"/>
          <w:lang w:val="en-US" w:eastAsia="zh-CN"/>
        </w:rPr>
        <w:t>85</w:t>
      </w:r>
    </w:p>
    <w:p>
      <w:bookmarkStart w:id="0" w:name="_GoBack"/>
      <w:bookmarkEnd w:id="0"/>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13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E42"/>
    <w:rsid w:val="00003992"/>
    <w:rsid w:val="0002144B"/>
    <w:rsid w:val="0002370C"/>
    <w:rsid w:val="00027C59"/>
    <w:rsid w:val="000316CD"/>
    <w:rsid w:val="0003171D"/>
    <w:rsid w:val="00034B55"/>
    <w:rsid w:val="00045D55"/>
    <w:rsid w:val="00056D42"/>
    <w:rsid w:val="00061809"/>
    <w:rsid w:val="00061AB4"/>
    <w:rsid w:val="000718A2"/>
    <w:rsid w:val="00080818"/>
    <w:rsid w:val="000B1B3A"/>
    <w:rsid w:val="000B601E"/>
    <w:rsid w:val="000B73D6"/>
    <w:rsid w:val="000E180A"/>
    <w:rsid w:val="000E28AE"/>
    <w:rsid w:val="000E2F43"/>
    <w:rsid w:val="001132E8"/>
    <w:rsid w:val="001204F5"/>
    <w:rsid w:val="00126D18"/>
    <w:rsid w:val="00136BDA"/>
    <w:rsid w:val="00141295"/>
    <w:rsid w:val="00142802"/>
    <w:rsid w:val="001455A5"/>
    <w:rsid w:val="001544B3"/>
    <w:rsid w:val="00162512"/>
    <w:rsid w:val="00163CC6"/>
    <w:rsid w:val="00164928"/>
    <w:rsid w:val="00176B55"/>
    <w:rsid w:val="001838AC"/>
    <w:rsid w:val="0018478B"/>
    <w:rsid w:val="00187DCD"/>
    <w:rsid w:val="00196376"/>
    <w:rsid w:val="001C2DE8"/>
    <w:rsid w:val="001D5485"/>
    <w:rsid w:val="001E283E"/>
    <w:rsid w:val="001E525C"/>
    <w:rsid w:val="001E52C3"/>
    <w:rsid w:val="001F79A0"/>
    <w:rsid w:val="00214E1E"/>
    <w:rsid w:val="002151FF"/>
    <w:rsid w:val="002201F5"/>
    <w:rsid w:val="00241423"/>
    <w:rsid w:val="00241AA0"/>
    <w:rsid w:val="00253041"/>
    <w:rsid w:val="00254906"/>
    <w:rsid w:val="002571F0"/>
    <w:rsid w:val="002600E3"/>
    <w:rsid w:val="00261F55"/>
    <w:rsid w:val="0026204D"/>
    <w:rsid w:val="0026393D"/>
    <w:rsid w:val="002813BD"/>
    <w:rsid w:val="002850A8"/>
    <w:rsid w:val="00291F3E"/>
    <w:rsid w:val="00291FD7"/>
    <w:rsid w:val="002B41E5"/>
    <w:rsid w:val="002B6100"/>
    <w:rsid w:val="002B7F4B"/>
    <w:rsid w:val="002C27DA"/>
    <w:rsid w:val="002E5E5C"/>
    <w:rsid w:val="002F3F58"/>
    <w:rsid w:val="00304423"/>
    <w:rsid w:val="0030783B"/>
    <w:rsid w:val="00311A02"/>
    <w:rsid w:val="0031648E"/>
    <w:rsid w:val="0031658F"/>
    <w:rsid w:val="00324E22"/>
    <w:rsid w:val="00331B9B"/>
    <w:rsid w:val="0033591D"/>
    <w:rsid w:val="00350599"/>
    <w:rsid w:val="00353986"/>
    <w:rsid w:val="0035555D"/>
    <w:rsid w:val="00364E0F"/>
    <w:rsid w:val="003656C9"/>
    <w:rsid w:val="0037218A"/>
    <w:rsid w:val="00372CD5"/>
    <w:rsid w:val="00373C6F"/>
    <w:rsid w:val="00377E3D"/>
    <w:rsid w:val="003807C7"/>
    <w:rsid w:val="003822EC"/>
    <w:rsid w:val="00387C3A"/>
    <w:rsid w:val="00394E14"/>
    <w:rsid w:val="003951F3"/>
    <w:rsid w:val="003A1167"/>
    <w:rsid w:val="003B71F3"/>
    <w:rsid w:val="003C26E4"/>
    <w:rsid w:val="003C313C"/>
    <w:rsid w:val="003D3937"/>
    <w:rsid w:val="003E050A"/>
    <w:rsid w:val="003E065B"/>
    <w:rsid w:val="003E1DC4"/>
    <w:rsid w:val="003E5B1B"/>
    <w:rsid w:val="003F0ACA"/>
    <w:rsid w:val="003F4C00"/>
    <w:rsid w:val="003F53A5"/>
    <w:rsid w:val="0041637A"/>
    <w:rsid w:val="00425BCA"/>
    <w:rsid w:val="00427D48"/>
    <w:rsid w:val="00430E65"/>
    <w:rsid w:val="00442881"/>
    <w:rsid w:val="00447E5D"/>
    <w:rsid w:val="0045276B"/>
    <w:rsid w:val="0046447F"/>
    <w:rsid w:val="004658C7"/>
    <w:rsid w:val="004763BD"/>
    <w:rsid w:val="00476DBF"/>
    <w:rsid w:val="0049044C"/>
    <w:rsid w:val="004A67EE"/>
    <w:rsid w:val="004B14F6"/>
    <w:rsid w:val="004C6299"/>
    <w:rsid w:val="004E0599"/>
    <w:rsid w:val="004E2BDA"/>
    <w:rsid w:val="004E6334"/>
    <w:rsid w:val="004F0566"/>
    <w:rsid w:val="004F3350"/>
    <w:rsid w:val="004F3D19"/>
    <w:rsid w:val="0050458E"/>
    <w:rsid w:val="0051150E"/>
    <w:rsid w:val="00512CB1"/>
    <w:rsid w:val="00517DFD"/>
    <w:rsid w:val="00521185"/>
    <w:rsid w:val="00524807"/>
    <w:rsid w:val="00525309"/>
    <w:rsid w:val="00534659"/>
    <w:rsid w:val="00543343"/>
    <w:rsid w:val="00553DC1"/>
    <w:rsid w:val="00570AF7"/>
    <w:rsid w:val="00584CA8"/>
    <w:rsid w:val="005A0F50"/>
    <w:rsid w:val="005B5D87"/>
    <w:rsid w:val="005D0A03"/>
    <w:rsid w:val="005E1A09"/>
    <w:rsid w:val="005E4384"/>
    <w:rsid w:val="005E66AC"/>
    <w:rsid w:val="005F7111"/>
    <w:rsid w:val="00602289"/>
    <w:rsid w:val="00625599"/>
    <w:rsid w:val="00630665"/>
    <w:rsid w:val="00635E10"/>
    <w:rsid w:val="00636090"/>
    <w:rsid w:val="006379EF"/>
    <w:rsid w:val="006400A4"/>
    <w:rsid w:val="0064196E"/>
    <w:rsid w:val="006502B1"/>
    <w:rsid w:val="00650B95"/>
    <w:rsid w:val="006555E6"/>
    <w:rsid w:val="00657030"/>
    <w:rsid w:val="00664EF0"/>
    <w:rsid w:val="00665B91"/>
    <w:rsid w:val="00670944"/>
    <w:rsid w:val="0068091D"/>
    <w:rsid w:val="00680E07"/>
    <w:rsid w:val="006825CF"/>
    <w:rsid w:val="006926ED"/>
    <w:rsid w:val="00694ED7"/>
    <w:rsid w:val="00695865"/>
    <w:rsid w:val="006B6054"/>
    <w:rsid w:val="006B690B"/>
    <w:rsid w:val="006B7436"/>
    <w:rsid w:val="006C0D6D"/>
    <w:rsid w:val="006D080E"/>
    <w:rsid w:val="006D1CB0"/>
    <w:rsid w:val="006D3B48"/>
    <w:rsid w:val="006D3E9B"/>
    <w:rsid w:val="006E07E5"/>
    <w:rsid w:val="006E235E"/>
    <w:rsid w:val="006E45B0"/>
    <w:rsid w:val="006F02C6"/>
    <w:rsid w:val="006F607D"/>
    <w:rsid w:val="007004A3"/>
    <w:rsid w:val="00703707"/>
    <w:rsid w:val="00710F07"/>
    <w:rsid w:val="00711570"/>
    <w:rsid w:val="00711904"/>
    <w:rsid w:val="00727E04"/>
    <w:rsid w:val="00730D24"/>
    <w:rsid w:val="00735571"/>
    <w:rsid w:val="0073722E"/>
    <w:rsid w:val="00740E12"/>
    <w:rsid w:val="00742197"/>
    <w:rsid w:val="0074584C"/>
    <w:rsid w:val="00776600"/>
    <w:rsid w:val="00777919"/>
    <w:rsid w:val="00777CB5"/>
    <w:rsid w:val="00781F7F"/>
    <w:rsid w:val="007935D8"/>
    <w:rsid w:val="00794B5E"/>
    <w:rsid w:val="007A6CED"/>
    <w:rsid w:val="007A7D23"/>
    <w:rsid w:val="007B648F"/>
    <w:rsid w:val="007C26AB"/>
    <w:rsid w:val="007C4982"/>
    <w:rsid w:val="007D0E7C"/>
    <w:rsid w:val="007E32F4"/>
    <w:rsid w:val="007E5042"/>
    <w:rsid w:val="007E70AB"/>
    <w:rsid w:val="007F2A59"/>
    <w:rsid w:val="007F4D09"/>
    <w:rsid w:val="007F7F41"/>
    <w:rsid w:val="00803B43"/>
    <w:rsid w:val="0080575E"/>
    <w:rsid w:val="00817F90"/>
    <w:rsid w:val="00822488"/>
    <w:rsid w:val="008229A1"/>
    <w:rsid w:val="008230E0"/>
    <w:rsid w:val="008332DC"/>
    <w:rsid w:val="008421A9"/>
    <w:rsid w:val="0085694F"/>
    <w:rsid w:val="00873ABC"/>
    <w:rsid w:val="0087487B"/>
    <w:rsid w:val="00892BBB"/>
    <w:rsid w:val="008931D2"/>
    <w:rsid w:val="008A2B71"/>
    <w:rsid w:val="008A2BA4"/>
    <w:rsid w:val="008B2800"/>
    <w:rsid w:val="008C29B8"/>
    <w:rsid w:val="008E572A"/>
    <w:rsid w:val="008F0E0F"/>
    <w:rsid w:val="008F187B"/>
    <w:rsid w:val="008F77A2"/>
    <w:rsid w:val="00903DEC"/>
    <w:rsid w:val="00921E07"/>
    <w:rsid w:val="00931507"/>
    <w:rsid w:val="00931A4E"/>
    <w:rsid w:val="00940C49"/>
    <w:rsid w:val="0095130E"/>
    <w:rsid w:val="0095585D"/>
    <w:rsid w:val="00982AE4"/>
    <w:rsid w:val="0098562A"/>
    <w:rsid w:val="00990B62"/>
    <w:rsid w:val="00996857"/>
    <w:rsid w:val="009A6C4E"/>
    <w:rsid w:val="009C0911"/>
    <w:rsid w:val="009C410C"/>
    <w:rsid w:val="009C518E"/>
    <w:rsid w:val="009C541D"/>
    <w:rsid w:val="009D369D"/>
    <w:rsid w:val="009D7F3E"/>
    <w:rsid w:val="009E47AB"/>
    <w:rsid w:val="009E7C90"/>
    <w:rsid w:val="009F19E8"/>
    <w:rsid w:val="00A037EF"/>
    <w:rsid w:val="00A259D4"/>
    <w:rsid w:val="00A368ED"/>
    <w:rsid w:val="00A40BDE"/>
    <w:rsid w:val="00A477B2"/>
    <w:rsid w:val="00A520AE"/>
    <w:rsid w:val="00A5396E"/>
    <w:rsid w:val="00A5544C"/>
    <w:rsid w:val="00A56B20"/>
    <w:rsid w:val="00A718E9"/>
    <w:rsid w:val="00A75F87"/>
    <w:rsid w:val="00A832FE"/>
    <w:rsid w:val="00A85060"/>
    <w:rsid w:val="00A8610F"/>
    <w:rsid w:val="00AB3B24"/>
    <w:rsid w:val="00AB4B7B"/>
    <w:rsid w:val="00AB6144"/>
    <w:rsid w:val="00AB6786"/>
    <w:rsid w:val="00AC50FA"/>
    <w:rsid w:val="00AC7289"/>
    <w:rsid w:val="00AC77E3"/>
    <w:rsid w:val="00AE7F08"/>
    <w:rsid w:val="00AF12B8"/>
    <w:rsid w:val="00AF5080"/>
    <w:rsid w:val="00AF6716"/>
    <w:rsid w:val="00B025D9"/>
    <w:rsid w:val="00B03922"/>
    <w:rsid w:val="00B0598C"/>
    <w:rsid w:val="00B10054"/>
    <w:rsid w:val="00B15985"/>
    <w:rsid w:val="00B16C30"/>
    <w:rsid w:val="00B26543"/>
    <w:rsid w:val="00B35170"/>
    <w:rsid w:val="00B429A6"/>
    <w:rsid w:val="00B532BE"/>
    <w:rsid w:val="00B56CFE"/>
    <w:rsid w:val="00B91FD5"/>
    <w:rsid w:val="00B93B4B"/>
    <w:rsid w:val="00BA067C"/>
    <w:rsid w:val="00BA4710"/>
    <w:rsid w:val="00BB4696"/>
    <w:rsid w:val="00BD7645"/>
    <w:rsid w:val="00BE0692"/>
    <w:rsid w:val="00BF37AE"/>
    <w:rsid w:val="00C11658"/>
    <w:rsid w:val="00C140C0"/>
    <w:rsid w:val="00C23FB4"/>
    <w:rsid w:val="00C37C54"/>
    <w:rsid w:val="00C41F82"/>
    <w:rsid w:val="00C65C6F"/>
    <w:rsid w:val="00C65D1D"/>
    <w:rsid w:val="00C73D2A"/>
    <w:rsid w:val="00C84ED3"/>
    <w:rsid w:val="00CA017C"/>
    <w:rsid w:val="00CA0E79"/>
    <w:rsid w:val="00CB0F27"/>
    <w:rsid w:val="00CB77AD"/>
    <w:rsid w:val="00CC401D"/>
    <w:rsid w:val="00CD2EF1"/>
    <w:rsid w:val="00CD4BEE"/>
    <w:rsid w:val="00CE4046"/>
    <w:rsid w:val="00CE65FA"/>
    <w:rsid w:val="00D0306B"/>
    <w:rsid w:val="00D2209C"/>
    <w:rsid w:val="00D236A0"/>
    <w:rsid w:val="00D33F8F"/>
    <w:rsid w:val="00D53936"/>
    <w:rsid w:val="00D55A4E"/>
    <w:rsid w:val="00D64AAB"/>
    <w:rsid w:val="00D670A2"/>
    <w:rsid w:val="00D73976"/>
    <w:rsid w:val="00D7407E"/>
    <w:rsid w:val="00D77A9B"/>
    <w:rsid w:val="00D80A03"/>
    <w:rsid w:val="00D80BCF"/>
    <w:rsid w:val="00D95617"/>
    <w:rsid w:val="00DA44BD"/>
    <w:rsid w:val="00DA66D1"/>
    <w:rsid w:val="00DB074B"/>
    <w:rsid w:val="00DB087A"/>
    <w:rsid w:val="00DB2F65"/>
    <w:rsid w:val="00DC0612"/>
    <w:rsid w:val="00DD1ACA"/>
    <w:rsid w:val="00DD7306"/>
    <w:rsid w:val="00DD7917"/>
    <w:rsid w:val="00DE3867"/>
    <w:rsid w:val="00DF7E37"/>
    <w:rsid w:val="00E017CA"/>
    <w:rsid w:val="00E17014"/>
    <w:rsid w:val="00E27213"/>
    <w:rsid w:val="00E33A1B"/>
    <w:rsid w:val="00E40980"/>
    <w:rsid w:val="00E43EC6"/>
    <w:rsid w:val="00E45379"/>
    <w:rsid w:val="00E47BC9"/>
    <w:rsid w:val="00E47DBF"/>
    <w:rsid w:val="00E52CCD"/>
    <w:rsid w:val="00E70349"/>
    <w:rsid w:val="00E7546B"/>
    <w:rsid w:val="00E76305"/>
    <w:rsid w:val="00E8066D"/>
    <w:rsid w:val="00E816BC"/>
    <w:rsid w:val="00E828A4"/>
    <w:rsid w:val="00E85125"/>
    <w:rsid w:val="00E92FE7"/>
    <w:rsid w:val="00EA5920"/>
    <w:rsid w:val="00EA5FEE"/>
    <w:rsid w:val="00EB239E"/>
    <w:rsid w:val="00EB6DD2"/>
    <w:rsid w:val="00EC2F44"/>
    <w:rsid w:val="00ED12AE"/>
    <w:rsid w:val="00ED3CBE"/>
    <w:rsid w:val="00ED3EA3"/>
    <w:rsid w:val="00ED6370"/>
    <w:rsid w:val="00EE6AD4"/>
    <w:rsid w:val="00EE6EE7"/>
    <w:rsid w:val="00EF126A"/>
    <w:rsid w:val="00EF21D4"/>
    <w:rsid w:val="00EF3314"/>
    <w:rsid w:val="00F02C32"/>
    <w:rsid w:val="00F03AE1"/>
    <w:rsid w:val="00F10E4A"/>
    <w:rsid w:val="00F15DF6"/>
    <w:rsid w:val="00F43CAD"/>
    <w:rsid w:val="00F531E8"/>
    <w:rsid w:val="00F560C7"/>
    <w:rsid w:val="00F700ED"/>
    <w:rsid w:val="00F82223"/>
    <w:rsid w:val="00F9100A"/>
    <w:rsid w:val="00F9106B"/>
    <w:rsid w:val="00F9113F"/>
    <w:rsid w:val="00FA12E9"/>
    <w:rsid w:val="00FB0ED2"/>
    <w:rsid w:val="00FC1FB4"/>
    <w:rsid w:val="00FC3AE3"/>
    <w:rsid w:val="00FD30C5"/>
    <w:rsid w:val="00FE2C14"/>
    <w:rsid w:val="00FE7681"/>
    <w:rsid w:val="00FF35A0"/>
    <w:rsid w:val="00FF42F5"/>
    <w:rsid w:val="00FF605F"/>
    <w:rsid w:val="1FC2781E"/>
    <w:rsid w:val="34F54257"/>
    <w:rsid w:val="53A24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uiPriority w:val="0"/>
    <w:rPr>
      <w:color w:val="0000FF"/>
      <w:u w:val="single"/>
    </w:rPr>
  </w:style>
  <w:style w:type="character" w:customStyle="1" w:styleId="9">
    <w:name w:val="页脚 Char1"/>
    <w:link w:val="2"/>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qFormat/>
    <w:uiPriority w:val="99"/>
    <w:rPr>
      <w:rFonts w:ascii="Times New Roman" w:hAnsi="Times New Roman" w:eastAsia="宋体" w:cs="Times New Roman"/>
      <w:sz w:val="18"/>
      <w:szCs w:val="18"/>
    </w:rPr>
  </w:style>
  <w:style w:type="character" w:customStyle="1" w:styleId="12">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983</Words>
  <Characters>5607</Characters>
  <Lines>46</Lines>
  <Paragraphs>13</Paragraphs>
  <ScaleCrop>false</ScaleCrop>
  <LinksUpToDate>false</LinksUpToDate>
  <CharactersWithSpaces>6577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2022-11-04T02:53:25Z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