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742E">
      <w:pPr>
        <w:keepNext w:val="0"/>
        <w:keepLines w:val="0"/>
        <w:pageBreakBefore w:val="0"/>
        <w:widowControl w:val="0"/>
        <w:kinsoku/>
        <w:wordWrap/>
        <w:overflowPunct/>
        <w:topLinePunct w:val="0"/>
        <w:autoSpaceDN/>
        <w:bidi w:val="0"/>
        <w:adjustRightInd/>
        <w:spacing w:line="576" w:lineRule="exact"/>
        <w:ind w:firstLine="880" w:firstLineChars="200"/>
        <w:jc w:val="center"/>
        <w:textAlignment w:val="auto"/>
        <w:rPr>
          <w:rFonts w:hint="default" w:ascii="Times New Roman" w:hAnsi="Times New Roman" w:eastAsia="方正小标宋_GBK" w:cs="Times New Roman"/>
          <w:b w:val="0"/>
          <w:bCs w:val="0"/>
          <w:kern w:val="2"/>
          <w:sz w:val="44"/>
          <w:szCs w:val="44"/>
        </w:rPr>
      </w:pPr>
      <w:r>
        <w:rPr>
          <w:rFonts w:hint="default" w:ascii="Times New Roman" w:hAnsi="Times New Roman" w:eastAsia="方正小标宋_GBK" w:cs="Times New Roman"/>
          <w:b w:val="0"/>
          <w:bCs w:val="0"/>
          <w:kern w:val="2"/>
          <w:sz w:val="44"/>
          <w:szCs w:val="44"/>
        </w:rPr>
        <w:t>重庆市綦江区文化和旅游发展委员会</w:t>
      </w:r>
    </w:p>
    <w:p w14:paraId="6E5E4CAD">
      <w:pPr>
        <w:keepNext w:val="0"/>
        <w:keepLines w:val="0"/>
        <w:pageBreakBefore w:val="0"/>
        <w:widowControl w:val="0"/>
        <w:kinsoku/>
        <w:wordWrap/>
        <w:overflowPunct/>
        <w:topLinePunct w:val="0"/>
        <w:autoSpaceDN/>
        <w:bidi w:val="0"/>
        <w:adjustRightInd/>
        <w:spacing w:line="576" w:lineRule="exact"/>
        <w:ind w:firstLine="880" w:firstLineChars="200"/>
        <w:jc w:val="center"/>
        <w:textAlignment w:val="auto"/>
        <w:rPr>
          <w:rFonts w:hint="default" w:ascii="Times New Roman" w:hAnsi="Times New Roman" w:eastAsia="方正小标宋_GBK" w:cs="Times New Roman"/>
          <w:b w:val="0"/>
          <w:bCs w:val="0"/>
          <w:kern w:val="2"/>
          <w:sz w:val="44"/>
          <w:szCs w:val="44"/>
        </w:rPr>
      </w:pPr>
      <w:r>
        <w:rPr>
          <w:rFonts w:hint="default" w:ascii="Times New Roman" w:hAnsi="Times New Roman" w:eastAsia="方正小标宋_GBK" w:cs="Times New Roman"/>
          <w:b w:val="0"/>
          <w:bCs w:val="0"/>
          <w:kern w:val="2"/>
          <w:sz w:val="44"/>
          <w:szCs w:val="44"/>
        </w:rPr>
        <w:t>202</w:t>
      </w:r>
      <w:r>
        <w:rPr>
          <w:rFonts w:hint="default" w:ascii="Times New Roman" w:hAnsi="Times New Roman" w:eastAsia="方正小标宋_GBK" w:cs="Times New Roman"/>
          <w:b w:val="0"/>
          <w:bCs w:val="0"/>
          <w:kern w:val="2"/>
          <w:sz w:val="44"/>
          <w:szCs w:val="44"/>
          <w:lang w:val="en-US" w:eastAsia="zh-CN"/>
        </w:rPr>
        <w:t>4</w:t>
      </w:r>
      <w:r>
        <w:rPr>
          <w:rFonts w:hint="default" w:ascii="Times New Roman" w:hAnsi="Times New Roman" w:eastAsia="方正小标宋_GBK" w:cs="Times New Roman"/>
          <w:b w:val="0"/>
          <w:bCs w:val="0"/>
          <w:kern w:val="2"/>
          <w:sz w:val="44"/>
          <w:szCs w:val="44"/>
        </w:rPr>
        <w:t>年度决算</w:t>
      </w:r>
      <w:r>
        <w:rPr>
          <w:rFonts w:hint="default" w:ascii="Times New Roman" w:hAnsi="Times New Roman" w:eastAsia="方正小标宋_GBK" w:cs="Times New Roman"/>
          <w:b w:val="0"/>
          <w:bCs w:val="0"/>
          <w:sz w:val="44"/>
          <w:szCs w:val="44"/>
        </w:rPr>
        <w:t>公开</w:t>
      </w:r>
      <w:r>
        <w:rPr>
          <w:rFonts w:hint="default" w:ascii="Times New Roman" w:hAnsi="Times New Roman" w:eastAsia="方正小标宋_GBK" w:cs="Times New Roman"/>
          <w:b w:val="0"/>
          <w:bCs w:val="0"/>
          <w:kern w:val="2"/>
          <w:sz w:val="44"/>
          <w:szCs w:val="44"/>
        </w:rPr>
        <w:t>说明</w:t>
      </w:r>
    </w:p>
    <w:p w14:paraId="51293D1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p>
    <w:p w14:paraId="56EA90C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一、部门基本情况</w:t>
      </w:r>
    </w:p>
    <w:p w14:paraId="1DC671EF">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rPr>
      </w:pPr>
      <w:r>
        <w:rPr>
          <w:rStyle w:val="8"/>
          <w:rFonts w:hint="default" w:ascii="Times New Roman" w:hAnsi="Times New Roman" w:eastAsia="楷体" w:cs="Times New Roman"/>
          <w:b w:val="0"/>
          <w:bCs w:val="0"/>
          <w:sz w:val="32"/>
          <w:szCs w:val="32"/>
          <w:shd w:val="clear" w:color="auto" w:fill="FFFFFF"/>
        </w:rPr>
        <w:t>（一）职能职责</w:t>
      </w:r>
    </w:p>
    <w:p w14:paraId="26E8017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重庆市綦江区文化和旅游发展委员会主要职责是：</w:t>
      </w:r>
    </w:p>
    <w:p w14:paraId="5B90752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（1）贯彻执行党和国家宣传、文化和旅游、广播电视、文物和博物馆、体育工作的方针政策和法律法规，拟订全区文化和旅游、广播电视、文物和博物馆、体育政策措施并组织实施。</w:t>
      </w:r>
    </w:p>
    <w:p w14:paraId="20F5386E">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（2）统筹规划全区文化事业、文化产业、体育事业、体育产业和旅游业发展，拟订文化和旅游、广播电视、文物和博物馆、体育事业发展规划并组织实施，推进文化和旅游融合发展，推进体制机制改革。</w:t>
      </w:r>
    </w:p>
    <w:p w14:paraId="42D3D3E0">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3）管理全区性重大文化、体育活动，指导区级重点文化、体育设施建设，负责全区旅游整体形象宣传和推广，促进文化产业、旅游产业、体育产业对外合作和市场推广，拟订旅游市场开发战略并组织实施，指导、推进全域旅游。指导、协调、推动广播电视领域产业发展。</w:t>
      </w:r>
    </w:p>
    <w:p w14:paraId="08C817F2">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（4）负责管理全区文艺事业，指导艺术创作生产，扶持体现社会主义核心价值观、具有导向性代表性示范性的文艺作品，推动各门类艺术、各艺术品种发展。</w:t>
      </w:r>
    </w:p>
    <w:p w14:paraId="21C10B0B">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5）负责全区公共文化事业发展，推进公共文化服务体系建设和旅游、体育公共服务建设，深入实施惠民工程，统筹推进基本公共文化服务标准化、均等化。指导实施全区广播电视领域公共服务重大公益工程和公益活动。</w:t>
      </w:r>
    </w:p>
    <w:p w14:paraId="180B3A0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（6）指导、推进全区文化和旅游、广播电视、文物和博物馆、体育行业科技创新发展，推进文化和旅游行业信息化、标准化。</w:t>
      </w:r>
    </w:p>
    <w:p w14:paraId="63684132">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（7）负责全区非物质文化遗产保护，推动非物质文化遗产的传承、普及、弘扬和振兴。</w:t>
      </w:r>
    </w:p>
    <w:p w14:paraId="7E8730A1">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（8）统筹规划全区文化产业、旅游产业、体育产业，组织实施文化和旅游资源普查、挖掘、保护和利用工作，承担文化市场和旅游经济运行监测体系建设工作，促进文化产业、旅游产业和体育产业发展。</w:t>
      </w:r>
    </w:p>
    <w:p w14:paraId="5A18E691">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9）指导全区文化、旅游和体育市场发展，对文化、旅游和体育市场经营进行行业监管，推进文化、旅游和体育行业信用体系建设，依法规范文化、旅游和体育市场。负责文化、旅游和体育市场安全的综合协调和监督管理，指导应急救援工作。</w:t>
      </w:r>
    </w:p>
    <w:p w14:paraId="34C5575E">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（10）指导全区文化市场综合执法，组织查处文化、文物、出版、广播电视、电影、旅游、体育等市场的违法行为，维护市场秩序。具体执法由区文化市场综合执法队伍承担。</w:t>
      </w:r>
    </w:p>
    <w:p w14:paraId="5A19A0AE">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（11）负责对广播电视机构进行业务指导和行业监管,会同有关部门对网络视听节目服务机构进行管理。指导全区广播电视重点基础设施建设。</w:t>
      </w:r>
    </w:p>
    <w:p w14:paraId="70CB642C">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（12）负责电视剧行业发展和电视剧创作生产。监督管理、审</w:t>
      </w:r>
      <w:r>
        <w:rPr>
          <w:rFonts w:hint="eastAsia" w:ascii="Times New Roman" w:hAnsi="Times New Roman" w:eastAsia="方正仿宋_GBK" w:cs="Times New Roman"/>
          <w:b w:val="0"/>
          <w:bCs w:val="0"/>
          <w:sz w:val="32"/>
          <w:szCs w:val="32"/>
          <w:shd w:val="clear" w:color="auto" w:fill="FFFFFF"/>
          <w:lang w:val="en-US" w:eastAsia="zh-CN" w:bidi="ar-SA"/>
        </w:rPr>
        <w:t>查</w:t>
      </w:r>
      <w:r>
        <w:rPr>
          <w:rFonts w:hint="default" w:ascii="Times New Roman" w:hAnsi="Times New Roman" w:eastAsia="方正仿宋_GBK" w:cs="Times New Roman"/>
          <w:b w:val="0"/>
          <w:bCs w:val="0"/>
          <w:sz w:val="32"/>
          <w:szCs w:val="32"/>
          <w:shd w:val="clear" w:color="auto" w:fill="FFFFFF"/>
          <w:lang w:val="en-US" w:eastAsia="zh-CN" w:bidi="ar-SA"/>
        </w:rPr>
        <w:t>广播电视节目、网络视听节目的内容和质量。指导、监管广播电视广告播放。</w:t>
      </w:r>
    </w:p>
    <w:p w14:paraId="1B6C8913">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（13）负责推进广播电视与新媒体新技术新业态融合发展，推进广电网与电信网、互联网三网融合。</w:t>
      </w:r>
    </w:p>
    <w:p w14:paraId="550AB300">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（14）负责对广播电视节目传输覆盖、监测和安全播出进行监管，负责应急广播体系建设。指导全区广播电视系统的安全工作。</w:t>
      </w:r>
    </w:p>
    <w:p w14:paraId="421F851D">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15）负责指导全区文物和博物馆业务工作。负责管理和指导考古工作，组织、协调重大文物保护和考古项目的实施。组织开展文物资源调查，履行文物、博物馆安全督察职责。指导协调博物馆建设及博物馆间的交流与协作。</w:t>
      </w:r>
    </w:p>
    <w:p w14:paraId="50B989CB">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 xml:space="preserve">（16）负责全区文化遗产保护和管理监督工作，协同住房和城乡建设部门负责历史文化名镇（村）保护和监督管理工作。 </w:t>
      </w:r>
    </w:p>
    <w:p w14:paraId="6575E14C">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（17）推行全民健身计划，指导并开展群众性体育活动，实施国家体育锻炼标准，开展国民体质监测。</w:t>
      </w:r>
    </w:p>
    <w:p w14:paraId="2127338C">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（18）规划全区运动项目布局，指导优秀运动队的建设和业余训练工作。</w:t>
      </w:r>
    </w:p>
    <w:p w14:paraId="00003586">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（19）指导、管理文化和旅游、广播电视、文物和博物馆、体育对外及对港澳台交流、合作和宣传、推广工作，组织全区大型文化和旅游、体育等对外及对港澳台交流活动。</w:t>
      </w:r>
    </w:p>
    <w:p w14:paraId="0E74608A">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（20）拟订全区文化、旅游和体育行业人才队伍建设规划并组织实施，负责从业人员职业资格管理。</w:t>
      </w:r>
    </w:p>
    <w:p w14:paraId="4248F9B8">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（21）负责机关、直属单位和所主管的社会组织党建工作。</w:t>
      </w:r>
    </w:p>
    <w:p w14:paraId="45CEC256">
      <w:pPr>
        <w:pStyle w:val="10"/>
        <w:keepNext w:val="0"/>
        <w:keepLines w:val="0"/>
        <w:pageBreakBefore w:val="0"/>
        <w:widowControl w:val="0"/>
        <w:tabs>
          <w:tab w:val="center" w:pos="4153"/>
          <w:tab w:val="left" w:pos="7275"/>
        </w:tabs>
        <w:kinsoku/>
        <w:wordWrap/>
        <w:overflowPunct/>
        <w:topLinePunct w:val="0"/>
        <w:autoSpaceDN/>
        <w:bidi w:val="0"/>
        <w:adjustRightInd/>
        <w:spacing w:line="576" w:lineRule="exact"/>
        <w:ind w:left="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（22）完成区委、区政府交办的其他任务。</w:t>
      </w:r>
    </w:p>
    <w:p w14:paraId="766B456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2EBBA5EB">
      <w:pPr>
        <w:keepNext w:val="0"/>
        <w:keepLines w:val="0"/>
        <w:pageBreakBefore w:val="0"/>
        <w:widowControl w:val="0"/>
        <w:shd w:val="clear" w:color="auto" w:fill="FFFFFF"/>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重庆市綦江区文化和旅游发展委员会设下列内设机构：</w:t>
      </w:r>
    </w:p>
    <w:p w14:paraId="21FE6AA5">
      <w:pPr>
        <w:keepNext w:val="0"/>
        <w:keepLines w:val="0"/>
        <w:pageBreakBefore w:val="0"/>
        <w:widowControl w:val="0"/>
        <w:shd w:val="clear" w:color="auto" w:fill="FFFFFF"/>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办公室。（2）党群政工科。（3）财务科。（4）安全应急科（信访稳定科）。（5）公共服务科。（6）旅游管理科。（7）体育发展科。（8）文化遗产科。（9）媒体管理科。（10）产业发展科（招商引资科）。</w:t>
      </w:r>
      <w:r>
        <w:rPr>
          <w:rFonts w:hint="default" w:ascii="Times New Roman" w:hAnsi="Times New Roman" w:eastAsia="方正仿宋_GBK" w:cs="Times New Roman"/>
          <w:b w:val="0"/>
          <w:bCs w:val="0"/>
          <w:sz w:val="32"/>
          <w:szCs w:val="32"/>
          <w:shd w:val="clear" w:color="auto" w:fill="FFFFFF"/>
          <w:lang w:val="en-US" w:eastAsia="zh-CN"/>
        </w:rPr>
        <w:t>(11)</w:t>
      </w:r>
      <w:r>
        <w:rPr>
          <w:rFonts w:hint="default" w:ascii="Times New Roman" w:hAnsi="Times New Roman" w:eastAsia="方正仿宋_GBK" w:cs="Times New Roman"/>
          <w:b w:val="0"/>
          <w:bCs w:val="0"/>
          <w:sz w:val="32"/>
          <w:szCs w:val="32"/>
          <w:shd w:val="clear" w:color="auto" w:fill="FFFFFF"/>
        </w:rPr>
        <w:t>市场管理科（行政审批科）。</w:t>
      </w:r>
    </w:p>
    <w:p w14:paraId="4C4F28F4">
      <w:pPr>
        <w:keepNext w:val="0"/>
        <w:keepLines w:val="0"/>
        <w:pageBreakBefore w:val="0"/>
        <w:widowControl w:val="0"/>
        <w:shd w:val="clear" w:color="auto" w:fill="FFFFFF"/>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szCs w:val="32"/>
          <w:shd w:val="clear" w:color="auto" w:fill="FFFFFF"/>
        </w:rPr>
        <w:t>重庆市綦江区文化和旅游发展委员会下属</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个二级预算单位，分别是：重庆市綦江区文化和旅游发展委员会（本级）</w:t>
      </w:r>
      <w:r>
        <w:rPr>
          <w:rFonts w:hint="default" w:ascii="Times New Roman" w:hAnsi="Times New Roman" w:eastAsia="方正仿宋_GBK" w:cs="Times New Roman"/>
          <w:b w:val="0"/>
          <w:bCs w:val="0"/>
          <w:sz w:val="32"/>
          <w:szCs w:val="32"/>
          <w:shd w:val="clear" w:color="auto" w:fill="FFFFFF"/>
          <w:lang w:eastAsia="zh-CN"/>
        </w:rPr>
        <w:t>、重庆市綦江区文化市场综合行政执法支队、</w:t>
      </w:r>
      <w:r>
        <w:rPr>
          <w:rFonts w:hint="default" w:ascii="Times New Roman" w:hAnsi="Times New Roman" w:eastAsia="方正仿宋_GBK" w:cs="Times New Roman"/>
          <w:b w:val="0"/>
          <w:bCs w:val="0"/>
          <w:sz w:val="32"/>
          <w:szCs w:val="32"/>
          <w:shd w:val="clear" w:color="auto" w:fill="FFFFFF"/>
        </w:rPr>
        <w:t>重庆市綦江区文化馆、重庆市綦江区图书馆、重庆市綦江区文物管理所、重庆市綦江农民版画院、重庆市綦江区青少年体育运动学校、重庆市綦江区体育中心、重庆市綦江区文化旅游服务中心。</w:t>
      </w:r>
    </w:p>
    <w:p w14:paraId="5041485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二、部门决算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14:paraId="01B68D3C">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2866BB87">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5778.09万元。收、支与2023年度相比，增加905.88万元，增长18.6%，主要原因是当年正常调入10人及补资增加572.74万元，公用费用正常增加111.74万元，项目正常增加221.41万元。</w:t>
      </w:r>
    </w:p>
    <w:p w14:paraId="71F5AD90">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5778.09万元，与2023年度相比，增加905.88万元，增长18.6%，主要原因是当年正常调入10人及补资增加572.74万元，公用费用正常增加111.74万元，项目正常增加221.41万元。其中：财政拨款收入5778.09万元，占100.0%；事业收入0.00万元，占0.0%；经营收入0.00万元，占0.0%；其他收入0.00万元，占0.0%。此外，使用非财政拨款结余（含专用结余）0.00万元，年初结转和结余0.00万元。</w:t>
      </w:r>
    </w:p>
    <w:p w14:paraId="56A0CCE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5778.09万元，与2023年度相比，增加905.88万元，增长18.6%，主要原因是当年正常调入10人及补资增加572.74万元，公用费用正常增加111.74万元，项目正常增加221.41万元。其中：基本支出2929.44万元，占50.7%；项目支出2848.65万元，占49.3%；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5A4EBF6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1ABE59E6">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5F046F8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2024年度财政拨款收、支总计均为5778.09万元。与2023年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相比，财政拨款收、支总计各增加905.88万元，增长18.6%。主要原因是当年正常调入10人及补资增加572.74万元，公用费用正常增加111.74万元，项目正常增加221.41万元。</w:t>
      </w:r>
    </w:p>
    <w:p w14:paraId="36FBF41B">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10C51B0F">
      <w:pPr>
        <w:keepNext w:val="0"/>
        <w:keepLines w:val="0"/>
        <w:pageBreakBefore w:val="0"/>
        <w:widowControl w:val="0"/>
        <w:suppressLineNumbers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2024年度一般公共预算财政拨款收入4620.64万元，与2023年度相比，增加455.43万元，增长10.9%。主要原因是</w:t>
      </w:r>
      <w:r>
        <w:rPr>
          <w:rFonts w:hint="default" w:ascii="Times New Roman" w:hAnsi="Times New Roman" w:eastAsia="方正仿宋_GBK" w:cs="Times New Roman"/>
          <w:b w:val="0"/>
          <w:bCs w:val="0"/>
          <w:sz w:val="32"/>
          <w:szCs w:val="32"/>
          <w:shd w:val="clear" w:color="auto" w:fill="FFFFFF"/>
          <w:lang w:val="en-US" w:eastAsia="zh-CN"/>
        </w:rPr>
        <w:t>人员</w:t>
      </w:r>
      <w:r>
        <w:rPr>
          <w:rFonts w:hint="eastAsia" w:ascii="Times New Roman" w:hAnsi="Times New Roman" w:eastAsia="方正仿宋_GBK" w:cs="Times New Roman"/>
          <w:b w:val="0"/>
          <w:bCs w:val="0"/>
          <w:sz w:val="32"/>
          <w:szCs w:val="32"/>
          <w:shd w:val="clear" w:color="auto" w:fill="FFFFFF"/>
          <w:lang w:val="en-US" w:eastAsia="zh-CN"/>
        </w:rPr>
        <w:t>类经费</w:t>
      </w:r>
      <w:bookmarkStart w:id="0" w:name="_GoBack"/>
      <w:bookmarkEnd w:id="0"/>
      <w:r>
        <w:rPr>
          <w:rFonts w:hint="default" w:ascii="Times New Roman" w:hAnsi="Times New Roman" w:eastAsia="方正仿宋_GBK" w:cs="Times New Roman"/>
          <w:b w:val="0"/>
          <w:bCs w:val="0"/>
          <w:sz w:val="32"/>
          <w:szCs w:val="32"/>
          <w:shd w:val="clear" w:color="auto" w:fill="FFFFFF"/>
          <w:lang w:val="en-US" w:eastAsia="zh-CN"/>
        </w:rPr>
        <w:t>正常增加455.43万元。</w:t>
      </w:r>
      <w:r>
        <w:rPr>
          <w:rFonts w:hint="default" w:ascii="Times New Roman" w:hAnsi="Times New Roman" w:eastAsia="方正仿宋_GBK" w:cs="Times New Roman"/>
          <w:b w:val="0"/>
          <w:bCs w:val="0"/>
          <w:sz w:val="32"/>
          <w:szCs w:val="32"/>
          <w:shd w:val="clear" w:color="auto" w:fill="FFFFFF"/>
        </w:rPr>
        <w:t>较年初预算数减少2495.96万元，下降35.1%。主要原因是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sz w:val="32"/>
          <w:szCs w:val="32"/>
          <w:shd w:val="clear" w:color="auto" w:fill="FFFFFF"/>
        </w:rPr>
        <w:t>此外，年初财政拨款结转和结余0.00万元。</w:t>
      </w:r>
    </w:p>
    <w:p w14:paraId="7985916D">
      <w:pPr>
        <w:keepNext w:val="0"/>
        <w:keepLines w:val="0"/>
        <w:pageBreakBefore w:val="0"/>
        <w:widowControl w:val="0"/>
        <w:suppressLineNumbers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2024年度一般公共预算财政拨款支出4620.64万元，与2023年度相比，增加455.43万元，增长10.9%。主要原因是</w:t>
      </w:r>
      <w:r>
        <w:rPr>
          <w:rFonts w:hint="default" w:ascii="Times New Roman" w:hAnsi="Times New Roman" w:eastAsia="方正仿宋_GBK" w:cs="Times New Roman"/>
          <w:b w:val="0"/>
          <w:bCs w:val="0"/>
          <w:sz w:val="32"/>
          <w:szCs w:val="32"/>
          <w:shd w:val="clear" w:color="auto" w:fill="FFFFFF"/>
          <w:lang w:val="en-US" w:eastAsia="zh-CN"/>
        </w:rPr>
        <w:t>人员性正常增加455.43万元。</w:t>
      </w:r>
      <w:r>
        <w:rPr>
          <w:rFonts w:hint="default" w:ascii="Times New Roman" w:hAnsi="Times New Roman" w:eastAsia="方正仿宋_GBK" w:cs="Times New Roman"/>
          <w:b w:val="0"/>
          <w:bCs w:val="0"/>
          <w:sz w:val="32"/>
          <w:szCs w:val="32"/>
          <w:shd w:val="clear" w:color="auto" w:fill="FFFFFF"/>
        </w:rPr>
        <w:t>较年初预算数减少2495.96万元，下降35.1%。主要原因是</w:t>
      </w:r>
      <w:r>
        <w:rPr>
          <w:rFonts w:hint="default" w:ascii="Times New Roman" w:hAnsi="Times New Roman" w:eastAsia="方正仿宋_GBK" w:cs="Times New Roman"/>
          <w:b w:val="0"/>
          <w:bCs w:val="0"/>
          <w:kern w:val="0"/>
          <w:sz w:val="32"/>
          <w:szCs w:val="32"/>
          <w:lang w:val="en-US" w:eastAsia="zh-CN" w:bidi="ar-SA"/>
        </w:rPr>
        <w:t>部分项目当年未实施。</w:t>
      </w:r>
    </w:p>
    <w:p w14:paraId="0047A532">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14:paraId="34C6FB1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）文化旅游体育与传媒支出3701.66万元，占80.1%，较年初预算数减少921.34万元，下降19.9%，</w:t>
      </w:r>
      <w:r>
        <w:rPr>
          <w:rFonts w:hint="default" w:ascii="Times New Roman" w:hAnsi="Times New Roman" w:eastAsia="方正仿宋_GBK" w:cs="Times New Roman"/>
          <w:b w:val="0"/>
          <w:bCs w:val="0"/>
          <w:kern w:val="0"/>
          <w:sz w:val="32"/>
          <w:szCs w:val="32"/>
          <w:lang w:val="en-US" w:eastAsia="zh-CN" w:bidi="ar-SA"/>
        </w:rPr>
        <w:t>主要原因是部分项目当年未实施。</w:t>
      </w:r>
    </w:p>
    <w:p w14:paraId="20360AC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就业支出649.09万元，占14.1%，较年初预算数减少15.15万元，下降2.3%，</w:t>
      </w:r>
      <w:r>
        <w:rPr>
          <w:rFonts w:hint="default" w:ascii="Times New Roman" w:hAnsi="Times New Roman" w:eastAsia="方正仿宋_GBK" w:cs="Times New Roman"/>
          <w:b w:val="0"/>
          <w:bCs w:val="0"/>
          <w:kern w:val="0"/>
          <w:sz w:val="32"/>
          <w:szCs w:val="32"/>
          <w:lang w:val="en-US" w:eastAsia="zh-CN" w:bidi="ar-SA"/>
        </w:rPr>
        <w:t>主要原因是退休职工健康休养费支出有所减少。</w:t>
      </w:r>
    </w:p>
    <w:p w14:paraId="73D59A5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）卫生健康支出121.92万元，占2.6%，较年初预算数减少18.19万元，下降13.0%，</w:t>
      </w:r>
      <w:r>
        <w:rPr>
          <w:rFonts w:hint="default" w:ascii="Times New Roman" w:hAnsi="Times New Roman" w:eastAsia="方正仿宋_GBK" w:cs="Times New Roman"/>
          <w:b w:val="0"/>
          <w:bCs w:val="0"/>
          <w:kern w:val="0"/>
          <w:sz w:val="32"/>
          <w:szCs w:val="32"/>
          <w:lang w:val="en-US" w:eastAsia="zh-CN" w:bidi="ar-SA"/>
        </w:rPr>
        <w:t>主要原因是医保缴费基数是按照上年月平均工资申报，故实际缴费有所减少。</w:t>
      </w:r>
    </w:p>
    <w:p w14:paraId="0A6082B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147.97万元，占3.2%，较年初预算数减少2.27万元，下降1.5%，</w:t>
      </w:r>
      <w:r>
        <w:rPr>
          <w:rFonts w:hint="default" w:ascii="Times New Roman" w:hAnsi="Times New Roman" w:eastAsia="方正仿宋_GBK" w:cs="Times New Roman"/>
          <w:b w:val="0"/>
          <w:bCs w:val="0"/>
          <w:kern w:val="0"/>
          <w:sz w:val="32"/>
          <w:szCs w:val="32"/>
          <w:lang w:val="en-US" w:eastAsia="zh-CN" w:bidi="ar-SA"/>
        </w:rPr>
        <w:t>主要原因是住房公积金缴费基数是按照上年月平均工资申报，故实际缴费有所减少。</w:t>
      </w:r>
    </w:p>
    <w:p w14:paraId="2A25468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38B90F33">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6275BF1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2024年度一般公共财政拨款基本支出2929.44万元。</w:t>
      </w:r>
    </w:p>
    <w:p w14:paraId="7C9B6D56">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112D527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人员经费2496.97万元，与2023年度相比，增加572.74万元，增长29.8%，主要原因是当年正常调入10人及补资增加572.74万元</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人员经费用途主要包括基本工资、津贴补贴、社会保障缴费、住房公积金等。</w:t>
      </w:r>
    </w:p>
    <w:p w14:paraId="3EC6BDE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公用经费432.47万元，与2023年度相比，增加111.73万元，增长34.8%，主要原因是公用费用正常增加111.7</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公用经费用途主要包括办公费、邮电费、工会补助经费、其他交通费用等。</w:t>
      </w:r>
    </w:p>
    <w:p w14:paraId="7108D104">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4B83BC5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1157.45万元，与2023年度相比，增加450.45万元，增长63.7%，主要原因是文化类基金项目正常增加450.45万元。本年支出1157.45万元，与2023年度相比，增加450.45万元，增长63.7%，主要原因是文化类基金项目正常增加450.45万元。</w:t>
      </w:r>
    </w:p>
    <w:p w14:paraId="6ABAD46D">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5215910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2024年度无国有资本经营预算财政拨款支出。</w:t>
      </w:r>
    </w:p>
    <w:p w14:paraId="1FA8496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2BEF6F79">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3032D392">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2024年度“三公”经费支出共计19.04万元，较年初预算数减少13.56万元，下降41.6%，主要原因是</w:t>
      </w:r>
      <w:r>
        <w:rPr>
          <w:rFonts w:hint="default" w:ascii="Times New Roman" w:hAnsi="Times New Roman" w:eastAsia="方正仿宋_GBK" w:cs="Times New Roman"/>
          <w:b w:val="0"/>
          <w:bCs w:val="0"/>
          <w:kern w:val="0"/>
          <w:sz w:val="32"/>
          <w:szCs w:val="32"/>
          <w:lang w:val="en-US" w:eastAsia="zh-CN" w:bidi="ar-SA"/>
        </w:rPr>
        <w:t>认真贯彻落实中央“八项规定”精神和厉行节约要求，实际支出有很大减少。</w:t>
      </w:r>
      <w:r>
        <w:rPr>
          <w:rFonts w:hint="default" w:ascii="Times New Roman" w:hAnsi="Times New Roman" w:eastAsia="方正仿宋_GBK" w:cs="Times New Roman"/>
          <w:b w:val="0"/>
          <w:bCs w:val="0"/>
          <w:sz w:val="32"/>
          <w:szCs w:val="32"/>
          <w:shd w:val="clear" w:color="auto" w:fill="FFFFFF"/>
        </w:rPr>
        <w:t>较上年支出数减少14.47万元，下降43.2%，主要原因是当年无公车购置支出，减少16.84万元，维护增加0.94万元，接待因人次增加费用增加1.43万元。</w:t>
      </w:r>
    </w:p>
    <w:p w14:paraId="73100C6D">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321E302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w:t>
      </w:r>
    </w:p>
    <w:p w14:paraId="7B26A03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车购置费0.00万元，费用支出较年初预算数无增减。较上年支出数减少16.84万元，下降100.0%，主要原因是</w:t>
      </w:r>
      <w:r>
        <w:rPr>
          <w:rFonts w:hint="default" w:ascii="Times New Roman" w:hAnsi="Times New Roman" w:eastAsia="方正仿宋_GBK" w:cs="Times New Roman"/>
          <w:b w:val="0"/>
          <w:bCs w:val="0"/>
          <w:sz w:val="32"/>
          <w:szCs w:val="32"/>
          <w:shd w:val="clear" w:color="auto" w:fill="FFFFFF"/>
          <w:lang w:eastAsia="zh-CN"/>
        </w:rPr>
        <w:t>上</w:t>
      </w:r>
      <w:r>
        <w:rPr>
          <w:rFonts w:hint="default" w:ascii="Times New Roman" w:hAnsi="Times New Roman" w:eastAsia="方正仿宋_GBK" w:cs="Times New Roman"/>
          <w:b w:val="0"/>
          <w:bCs w:val="0"/>
          <w:sz w:val="32"/>
          <w:szCs w:val="32"/>
          <w:shd w:val="clear" w:color="auto" w:fill="FFFFFF"/>
        </w:rPr>
        <w:t>年度发生公务车购置支出</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本年度未发生公务车购置支出。</w:t>
      </w:r>
    </w:p>
    <w:p w14:paraId="45B86AB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车运行维护费15.05万元，主要用于</w:t>
      </w:r>
      <w:r>
        <w:rPr>
          <w:rFonts w:hint="default" w:ascii="Times New Roman" w:hAnsi="Times New Roman" w:eastAsia="方正仿宋_GBK" w:cs="Times New Roman"/>
          <w:b w:val="0"/>
          <w:bCs w:val="0"/>
          <w:color w:val="333333"/>
          <w:sz w:val="32"/>
          <w:szCs w:val="32"/>
        </w:rPr>
        <w:t>市</w:t>
      </w:r>
      <w:r>
        <w:rPr>
          <w:rFonts w:hint="default" w:ascii="Times New Roman" w:hAnsi="Times New Roman" w:eastAsia="方正仿宋_GBK" w:cs="Times New Roman"/>
          <w:b w:val="0"/>
          <w:bCs w:val="0"/>
          <w:sz w:val="32"/>
          <w:szCs w:val="32"/>
          <w:shd w:val="clear" w:color="auto" w:fill="FFFFFF"/>
        </w:rPr>
        <w:t>内因公出行、执法检查等工作所需车辆的燃料费、维修费、过桥过路费、保险费等。费用支出较年初预算数减少10.55万元，下降41.2%，主要原因是</w:t>
      </w:r>
      <w:r>
        <w:rPr>
          <w:rFonts w:hint="default" w:ascii="Times New Roman" w:hAnsi="Times New Roman" w:eastAsia="方正仿宋_GBK" w:cs="Times New Roman"/>
          <w:b w:val="0"/>
          <w:bCs w:val="0"/>
          <w:kern w:val="0"/>
          <w:sz w:val="32"/>
          <w:szCs w:val="32"/>
          <w:lang w:val="en-US" w:eastAsia="zh-CN" w:bidi="ar-SA"/>
        </w:rPr>
        <w:t>严格落实公车使用规定，严禁公车私用，公车运行维护成本大幅下降。</w:t>
      </w:r>
      <w:r>
        <w:rPr>
          <w:rFonts w:hint="default" w:ascii="Times New Roman" w:hAnsi="Times New Roman" w:eastAsia="方正仿宋_GBK" w:cs="Times New Roman"/>
          <w:b w:val="0"/>
          <w:bCs w:val="0"/>
          <w:sz w:val="32"/>
          <w:szCs w:val="32"/>
          <w:shd w:val="clear" w:color="auto" w:fill="FFFFFF"/>
        </w:rPr>
        <w:t>较上年支出数增加0.94万元，增长6.7%，主要原因是维护增加0.94万元</w:t>
      </w:r>
      <w:r>
        <w:rPr>
          <w:rFonts w:hint="default" w:ascii="Times New Roman" w:hAnsi="Times New Roman" w:eastAsia="方正仿宋_GBK" w:cs="Times New Roman"/>
          <w:b w:val="0"/>
          <w:bCs w:val="0"/>
          <w:color w:val="auto"/>
          <w:sz w:val="32"/>
          <w:szCs w:val="32"/>
          <w:shd w:val="clear" w:color="auto" w:fill="FFFFFF"/>
        </w:rPr>
        <w:t>。</w:t>
      </w:r>
    </w:p>
    <w:p w14:paraId="528156F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公务接待费3.99万元，主要用于市区外单位来人交流工作接待。费用支出较年初预算数减少3.01万元，下降43.0%，主要原因是</w:t>
      </w:r>
      <w:r>
        <w:rPr>
          <w:rFonts w:hint="default" w:ascii="Times New Roman" w:hAnsi="Times New Roman" w:eastAsia="方正仿宋_GBK" w:cs="Times New Roman"/>
          <w:b w:val="0"/>
          <w:bCs w:val="0"/>
          <w:kern w:val="0"/>
          <w:sz w:val="32"/>
          <w:szCs w:val="32"/>
          <w:lang w:val="en-US" w:eastAsia="zh-CN" w:bidi="ar-SA"/>
        </w:rPr>
        <w:t>强化公务接待支出管理，严格遵守公务接待开支范围和开支标准，严格控制陪餐人数，对应由接待对象承担的费用一律由接待对象自行支付，所以实际支出公务接待费大幅度减少。</w:t>
      </w:r>
      <w:r>
        <w:rPr>
          <w:rFonts w:hint="default" w:ascii="Times New Roman" w:hAnsi="Times New Roman" w:eastAsia="方正仿宋_GBK" w:cs="Times New Roman"/>
          <w:b w:val="0"/>
          <w:bCs w:val="0"/>
          <w:sz w:val="32"/>
          <w:szCs w:val="32"/>
          <w:shd w:val="clear" w:color="auto" w:fill="FFFFFF"/>
        </w:rPr>
        <w:t>较上年支出数增加1.43万元，增长55.9%，主要原因是接待人次增加费用增加1.43万元。</w:t>
      </w:r>
    </w:p>
    <w:p w14:paraId="7B8D7B11">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1E5D4D4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共计0个团组，0人；公务用车购置0辆，公务车保有量为6辆；国内公务接待80批次574人，其中：国内外事接待0批次，0人；国（境）外公务接待0批次，0人。2024年本部门人均接待费69.53元，车均购置费0万元，车均维护费2.51万元。</w:t>
      </w:r>
    </w:p>
    <w:p w14:paraId="2C227EF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26A2025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0321401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shd w:val="clear" w:color="auto" w:fill="FFFFFF"/>
        </w:rPr>
        <w:t>本年度会议费支出6.92万元，与2023年度相比，增加0.82万元，增长13.4%，主要原因是当年</w:t>
      </w:r>
      <w:r>
        <w:rPr>
          <w:rFonts w:hint="default" w:ascii="Times New Roman" w:hAnsi="Times New Roman" w:eastAsia="方正仿宋_GBK" w:cs="Times New Roman"/>
          <w:b w:val="0"/>
          <w:bCs w:val="0"/>
          <w:sz w:val="32"/>
          <w:szCs w:val="32"/>
          <w:shd w:val="clear" w:color="auto" w:fill="FFFFFF"/>
          <w:lang w:eastAsia="zh-CN"/>
        </w:rPr>
        <w:t>会议频次</w:t>
      </w:r>
      <w:r>
        <w:rPr>
          <w:rFonts w:hint="default" w:ascii="Times New Roman" w:hAnsi="Times New Roman" w:eastAsia="方正仿宋_GBK" w:cs="Times New Roman"/>
          <w:b w:val="0"/>
          <w:bCs w:val="0"/>
          <w:sz w:val="32"/>
          <w:szCs w:val="32"/>
          <w:shd w:val="clear" w:color="auto" w:fill="FFFFFF"/>
        </w:rPr>
        <w:t>有小幅提高，费用相对增加0.82万元。本年度培训费支出34.28万元，与2023年度相比，减少0.26万元，下降0.8%，主要原因</w:t>
      </w:r>
      <w:r>
        <w:rPr>
          <w:rFonts w:hint="default" w:ascii="Times New Roman" w:hAnsi="Times New Roman" w:eastAsia="方正仿宋_GBK" w:cs="Times New Roman"/>
          <w:b w:val="0"/>
          <w:bCs w:val="0"/>
          <w:sz w:val="32"/>
          <w:szCs w:val="32"/>
          <w:shd w:val="clear" w:color="auto" w:fill="FFFFFF"/>
          <w:lang w:eastAsia="zh-CN"/>
        </w:rPr>
        <w:t>是当年参加培训人次有所减少，</w:t>
      </w:r>
      <w:r>
        <w:rPr>
          <w:rFonts w:hint="default" w:ascii="Times New Roman" w:hAnsi="Times New Roman" w:eastAsia="方正仿宋_GBK" w:cs="Times New Roman"/>
          <w:b w:val="0"/>
          <w:bCs w:val="0"/>
          <w:sz w:val="32"/>
          <w:szCs w:val="32"/>
          <w:shd w:val="clear" w:color="auto" w:fill="FFFFFF"/>
        </w:rPr>
        <w:t>培训费</w:t>
      </w:r>
      <w:r>
        <w:rPr>
          <w:rFonts w:hint="default" w:ascii="Times New Roman" w:hAnsi="Times New Roman" w:eastAsia="方正仿宋_GBK" w:cs="Times New Roman"/>
          <w:b w:val="0"/>
          <w:bCs w:val="0"/>
          <w:sz w:val="32"/>
          <w:szCs w:val="32"/>
          <w:shd w:val="clear" w:color="auto" w:fill="FFFFFF"/>
          <w:lang w:eastAsia="zh-CN"/>
        </w:rPr>
        <w:t>支出减少</w:t>
      </w:r>
      <w:r>
        <w:rPr>
          <w:rFonts w:hint="default" w:ascii="Times New Roman" w:hAnsi="Times New Roman" w:eastAsia="方正仿宋_GBK" w:cs="Times New Roman"/>
          <w:b w:val="0"/>
          <w:bCs w:val="0"/>
          <w:sz w:val="32"/>
          <w:szCs w:val="32"/>
          <w:shd w:val="clear" w:color="auto" w:fill="FFFFFF"/>
          <w:lang w:val="en-US" w:eastAsia="zh-CN"/>
        </w:rPr>
        <w:t>0.26万元。</w:t>
      </w:r>
      <w:r>
        <w:rPr>
          <w:rFonts w:hint="default" w:ascii="Times New Roman" w:hAnsi="Times New Roman" w:eastAsia="方正仿宋_GBK" w:cs="Times New Roman"/>
          <w:b w:val="0"/>
          <w:bCs w:val="0"/>
          <w:sz w:val="32"/>
          <w:szCs w:val="32"/>
          <w:shd w:val="clear" w:color="auto" w:fill="FFFFFF"/>
        </w:rPr>
        <w:t>本年度差旅费支出139.53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与2023年度相比，增加68.21万元，增长95.6%，主要原因是</w:t>
      </w:r>
      <w:r>
        <w:rPr>
          <w:rFonts w:hint="default" w:ascii="Times New Roman" w:hAnsi="Times New Roman" w:eastAsia="方正仿宋_GBK" w:cs="Times New Roman"/>
          <w:b w:val="0"/>
          <w:bCs w:val="0"/>
          <w:color w:val="auto"/>
          <w:sz w:val="32"/>
          <w:szCs w:val="32"/>
          <w:shd w:val="clear" w:color="auto" w:fill="FFFFFF"/>
          <w:lang w:eastAsia="zh-CN"/>
        </w:rPr>
        <w:t>根据工作需要安排出差人次增加，故差旅费支出增加</w:t>
      </w:r>
      <w:r>
        <w:rPr>
          <w:rFonts w:hint="default" w:ascii="Times New Roman" w:hAnsi="Times New Roman" w:eastAsia="方正仿宋_GBK" w:cs="Times New Roman"/>
          <w:b w:val="0"/>
          <w:bCs w:val="0"/>
          <w:color w:val="auto"/>
          <w:sz w:val="32"/>
          <w:szCs w:val="32"/>
          <w:shd w:val="clear" w:color="auto" w:fill="FFFFFF"/>
          <w:lang w:val="en-US" w:eastAsia="zh-CN"/>
        </w:rPr>
        <w:t>68.21万元</w:t>
      </w:r>
      <w:r>
        <w:rPr>
          <w:rFonts w:hint="default" w:ascii="Times New Roman" w:hAnsi="Times New Roman" w:eastAsia="方正仿宋_GBK" w:cs="Times New Roman"/>
          <w:b w:val="0"/>
          <w:bCs w:val="0"/>
          <w:color w:val="auto"/>
          <w:sz w:val="32"/>
          <w:szCs w:val="32"/>
          <w:shd w:val="clear" w:color="auto" w:fill="FFFFFF"/>
        </w:rPr>
        <w:t>。</w:t>
      </w:r>
    </w:p>
    <w:p w14:paraId="64FED3EA">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45468465">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2024年度本部门机关运行经费支出175.59万元，机关运行经费主要用于开支</w:t>
      </w:r>
      <w:r>
        <w:rPr>
          <w:rFonts w:hint="default" w:ascii="Times New Roman" w:hAnsi="Times New Roman" w:eastAsia="方正仿宋_GBK" w:cs="Times New Roman"/>
          <w:b w:val="0"/>
          <w:bCs w:val="0"/>
          <w:sz w:val="32"/>
        </w:rPr>
        <w:t>办公费、印刷费、邮电费、水电费、物管费、差旅费、会议费、培训费及其他商品和服务支出等。</w:t>
      </w:r>
      <w:r>
        <w:rPr>
          <w:rFonts w:hint="default" w:ascii="Times New Roman" w:hAnsi="Times New Roman" w:eastAsia="方正仿宋_GBK" w:cs="Times New Roman"/>
          <w:b w:val="0"/>
          <w:bCs w:val="0"/>
          <w:sz w:val="32"/>
          <w:szCs w:val="32"/>
          <w:shd w:val="clear" w:color="auto" w:fill="FFFFFF"/>
        </w:rPr>
        <w:t>机关运行经费较上年支出数增加26.25万元，增长17.6%，主要原因是将原列入日常项目的公用费用转为正常公用后增加26.25万元。</w:t>
      </w:r>
    </w:p>
    <w:p w14:paraId="2D8535F2">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8FD04C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部门共有车辆6辆，其中，副部（省）级及以上领导用车0辆、主要负责人用车0辆、机要通信用车1辆、应急保障用车3辆、执法执勤用车0辆，特种专业技术用车2辆，离退休干部用车0辆。单价100万元（含）以上专用设备0台（套）。</w:t>
      </w:r>
    </w:p>
    <w:p w14:paraId="1B3EC176">
      <w:pPr>
        <w:pStyle w:val="9"/>
        <w:keepNext w:val="0"/>
        <w:keepLines w:val="0"/>
        <w:pageBreakBefore w:val="0"/>
        <w:widowControl w:val="0"/>
        <w:kinsoku/>
        <w:wordWrap/>
        <w:overflowPunct/>
        <w:topLinePunct w:val="0"/>
        <w:autoSpaceDE w:val="0"/>
        <w:autoSpaceDN/>
        <w:bidi w:val="0"/>
        <w:adjustRightInd/>
        <w:snapToGrid/>
        <w:spacing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52416E1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2024年度本部门政府采购支出总额261.24万元，其中：政府采购货物支出0.00万元、政府采购工程支出0.00万元、政府采购服务支出261.24万元。授予中小企业合同金额261.24</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元，占政府采购支出总额的100.0%，其中：授予小微企业合同金额261.24万元，占政府采购支出总额的100.0 %。主要用于采购</w:t>
      </w:r>
      <w:r>
        <w:rPr>
          <w:rFonts w:hint="default" w:ascii="Times New Roman" w:hAnsi="Times New Roman" w:eastAsia="方正仿宋_GBK" w:cs="Times New Roman"/>
          <w:b w:val="0"/>
          <w:bCs w:val="0"/>
          <w:kern w:val="0"/>
          <w:sz w:val="32"/>
          <w:szCs w:val="32"/>
          <w:lang w:val="en-US" w:eastAsia="zh-CN" w:bidi="ar-SA"/>
        </w:rPr>
        <w:t>部分健身器材和购买公共文化演出等。</w:t>
      </w:r>
    </w:p>
    <w:p w14:paraId="4C5D106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五、2024年度预算绩效管理情况说明</w:t>
      </w:r>
    </w:p>
    <w:p w14:paraId="13BFAE27">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134416EE">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lang w:val="en-US" w:eastAsia="zh-CN"/>
        </w:rPr>
        <w:t>53</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个二级项目开展了绩效自评，涉及财政拨款项目支出资金2,848.65万元。</w:t>
      </w:r>
    </w:p>
    <w:p w14:paraId="4EFA608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37A0ADF4">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17FE829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534717D2">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38B44D9">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6C64F54B">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w:t>
      </w:r>
      <w:r>
        <w:rPr>
          <w:rFonts w:hint="eastAsia" w:eastAsia="方正仿宋_GBK" w:cs="Times New Roman"/>
          <w:b w:val="0"/>
          <w:bCs w:val="0"/>
          <w:kern w:val="0"/>
          <w:sz w:val="32"/>
          <w:szCs w:val="32"/>
          <w:lang w:eastAsia="zh-CN"/>
        </w:rPr>
        <w:t>部门</w:t>
      </w:r>
      <w:r>
        <w:rPr>
          <w:rFonts w:hint="default" w:ascii="Times New Roman" w:hAnsi="Times New Roman" w:eastAsia="方正仿宋_GBK" w:cs="Times New Roman"/>
          <w:b w:val="0"/>
          <w:bCs w:val="0"/>
          <w:sz w:val="32"/>
          <w:szCs w:val="32"/>
        </w:rPr>
        <w:t>未委托第三方开展绩效评价。</w:t>
      </w:r>
    </w:p>
    <w:p w14:paraId="5480BB07">
      <w:pPr>
        <w:pStyle w:val="12"/>
        <w:keepNext w:val="0"/>
        <w:keepLines w:val="0"/>
        <w:pageBreakBefore w:val="0"/>
        <w:widowControl w:val="0"/>
        <w:kinsoku/>
        <w:wordWrap/>
        <w:overflowPunct/>
        <w:topLinePunct w:val="0"/>
        <w:autoSpaceDE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49EAB00F">
      <w:pPr>
        <w:pStyle w:val="13"/>
        <w:keepNext w:val="0"/>
        <w:keepLines w:val="0"/>
        <w:pageBreakBefore w:val="0"/>
        <w:widowControl w:val="0"/>
        <w:tabs>
          <w:tab w:val="center" w:pos="4153"/>
          <w:tab w:val="left" w:pos="7275"/>
        </w:tabs>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w:t>
      </w:r>
      <w:r>
        <w:rPr>
          <w:rFonts w:hint="eastAsia" w:eastAsia="方正仿宋_GBK" w:cs="Times New Roman"/>
          <w:b w:val="0"/>
          <w:bCs w:val="0"/>
          <w:kern w:val="0"/>
          <w:sz w:val="32"/>
          <w:szCs w:val="32"/>
          <w:lang w:eastAsia="zh-CN"/>
        </w:rPr>
        <w:t>部门</w:t>
      </w:r>
      <w:r>
        <w:rPr>
          <w:rFonts w:hint="default" w:ascii="Times New Roman" w:hAnsi="Times New Roman" w:eastAsia="方正仿宋_GBK" w:cs="Times New Roman"/>
          <w:b w:val="0"/>
          <w:bCs w:val="0"/>
          <w:kern w:val="0"/>
          <w:sz w:val="32"/>
          <w:szCs w:val="32"/>
        </w:rPr>
        <w:t>的整体、政策或项目开展重点绩效评价。</w:t>
      </w:r>
    </w:p>
    <w:p w14:paraId="3ED7EA83">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六、专业名词解释</w:t>
      </w:r>
    </w:p>
    <w:p w14:paraId="3FE48A6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136F893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1341F01F">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6737A4B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8B3FEB">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7C1F397">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7C74FA15">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254E6FA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47557ADF">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1B91E3">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6AC020A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5EA4D33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C18769">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5B70F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36252DE0">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3210788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3E5277B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0832C3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七、决算公开联系方式及信息反馈渠道</w:t>
      </w:r>
    </w:p>
    <w:p w14:paraId="4D1DE6FF">
      <w:pPr>
        <w:keepNext w:val="0"/>
        <w:keepLines w:val="0"/>
        <w:pageBreakBefore w:val="0"/>
        <w:widowControl w:val="0"/>
        <w:kinsoku/>
        <w:wordWrap/>
        <w:overflowPunct/>
        <w:topLinePunct w:val="0"/>
        <w:autoSpaceDN/>
        <w:bidi w:val="0"/>
        <w:adjustRightInd/>
        <w:spacing w:line="576" w:lineRule="exact"/>
        <w:ind w:left="0" w:firstLine="640" w:firstLineChars="200"/>
        <w:jc w:val="both"/>
        <w:textAlignment w:val="auto"/>
        <w:rPr>
          <w:rFonts w:hint="default" w:ascii="Times New Roman" w:hAnsi="Times New Roman" w:eastAsia="微软雅黑" w:cs="Times New Roman"/>
          <w:b w:val="0"/>
          <w:bCs w:val="0"/>
          <w:sz w:val="21"/>
          <w:szCs w:val="21"/>
          <w:lang w:val="en-US" w:eastAsia="zh-CN"/>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023-486</w:t>
      </w:r>
      <w:r>
        <w:rPr>
          <w:rFonts w:hint="default" w:ascii="Times New Roman" w:hAnsi="Times New Roman" w:eastAsia="微软雅黑" w:cs="Times New Roman"/>
          <w:b w:val="0"/>
          <w:bCs w:val="0"/>
          <w:color w:val="333333"/>
          <w:sz w:val="32"/>
          <w:szCs w:val="32"/>
          <w:lang w:val="en-US" w:eastAsia="zh-CN"/>
        </w:rPr>
        <w:t>78206</w:t>
      </w:r>
    </w:p>
    <w:p w14:paraId="4937DF6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p>
    <w:p w14:paraId="52782E34">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76649156">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6A0C7F55">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6EE6C64A">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07CCC211">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736D4F49">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1C0BB88F">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7209F2E6">
      <w:pPr>
        <w:keepNext w:val="0"/>
        <w:keepLines w:val="0"/>
        <w:pageBreakBefore w:val="0"/>
        <w:kinsoku/>
        <w:wordWrap/>
        <w:overflowPunct/>
        <w:topLinePunct w:val="0"/>
        <w:autoSpaceDN/>
        <w:bidi w:val="0"/>
        <w:adjustRightInd/>
        <w:spacing w:line="576" w:lineRule="exact"/>
        <w:ind w:firstLine="420" w:firstLineChars="200"/>
        <w:textAlignment w:val="auto"/>
        <w:rPr>
          <w:rFonts w:hint="default" w:ascii="Times New Roman" w:hAnsi="Times New Roman" w:eastAsia="宋体" w:cs="Times New Roman"/>
          <w:b w:val="0"/>
          <w:bCs w:val="0"/>
          <w:color w:val="000000"/>
          <w:sz w:val="21"/>
          <w:szCs w:val="21"/>
          <w:lang w:bidi="ar"/>
        </w:rPr>
      </w:pPr>
    </w:p>
    <w:p w14:paraId="15A1C725">
      <w:pPr>
        <w:pStyle w:val="9"/>
        <w:keepNext w:val="0"/>
        <w:keepLines w:val="0"/>
        <w:pageBreakBefore w:val="0"/>
        <w:kinsoku/>
        <w:wordWrap/>
        <w:overflowPunct/>
        <w:topLinePunct w:val="0"/>
        <w:autoSpaceDE w:val="0"/>
        <w:autoSpaceDN/>
        <w:bidi w:val="0"/>
        <w:adjustRightInd/>
        <w:spacing w:line="576" w:lineRule="exact"/>
        <w:ind w:firstLine="420" w:firstLineChars="200"/>
        <w:textAlignment w:val="auto"/>
        <w:rPr>
          <w:rFonts w:hint="default" w:ascii="Times New Roman" w:hAnsi="Times New Roman" w:eastAsia="宋体" w:cs="Times New Roman"/>
          <w:b w:val="0"/>
          <w:bCs w:val="0"/>
          <w:sz w:val="21"/>
          <w:szCs w:val="21"/>
        </w:rPr>
      </w:pPr>
    </w:p>
    <w:sectPr>
      <w:headerReference r:id="rId3" w:type="default"/>
      <w:footerReference r:id="rId4" w:type="default"/>
      <w:pgSz w:w="11850" w:h="16783"/>
      <w:pgMar w:top="2098" w:right="1531" w:bottom="1984" w:left="1531" w:header="0" w:footer="283" w:gutter="0"/>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992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D9D9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0D9D9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887879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887879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94C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00B03CCD"/>
    <w:rsid w:val="000D7BCC"/>
    <w:rsid w:val="00550ABE"/>
    <w:rsid w:val="007B419D"/>
    <w:rsid w:val="009B67B8"/>
    <w:rsid w:val="00B03CCD"/>
    <w:rsid w:val="012D3CE1"/>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EB798ED"/>
    <w:rsid w:val="0ED72849"/>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BEB8B7"/>
    <w:rsid w:val="16D80EBF"/>
    <w:rsid w:val="16FD2FA2"/>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55EE1"/>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45B60"/>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7BAC8D"/>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D72BE4"/>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7FAAB7"/>
    <w:rsid w:val="6FFB2E76"/>
    <w:rsid w:val="70AB70D6"/>
    <w:rsid w:val="70DE5507"/>
    <w:rsid w:val="71C34D91"/>
    <w:rsid w:val="71ED38AA"/>
    <w:rsid w:val="72DB435C"/>
    <w:rsid w:val="74ED1B1B"/>
    <w:rsid w:val="750837F0"/>
    <w:rsid w:val="762A73EF"/>
    <w:rsid w:val="7631412E"/>
    <w:rsid w:val="764F62AB"/>
    <w:rsid w:val="765C45EC"/>
    <w:rsid w:val="768A7619"/>
    <w:rsid w:val="76DF8A95"/>
    <w:rsid w:val="7714640F"/>
    <w:rsid w:val="77EA362A"/>
    <w:rsid w:val="7875383E"/>
    <w:rsid w:val="796D60A4"/>
    <w:rsid w:val="79A031D5"/>
    <w:rsid w:val="79A52681"/>
    <w:rsid w:val="7A1525F7"/>
    <w:rsid w:val="7A3E6CB6"/>
    <w:rsid w:val="7A99799F"/>
    <w:rsid w:val="7B2B01BB"/>
    <w:rsid w:val="7B420052"/>
    <w:rsid w:val="7B7D43A1"/>
    <w:rsid w:val="7BD06A28"/>
    <w:rsid w:val="7C1E4CD7"/>
    <w:rsid w:val="7C3A7C0B"/>
    <w:rsid w:val="7C5248E4"/>
    <w:rsid w:val="7C566698"/>
    <w:rsid w:val="7CE56AF6"/>
    <w:rsid w:val="7CF02E5B"/>
    <w:rsid w:val="7D213FB2"/>
    <w:rsid w:val="7DD6372E"/>
    <w:rsid w:val="7FF723E4"/>
    <w:rsid w:val="B77E3F71"/>
    <w:rsid w:val="DBDC8B28"/>
    <w:rsid w:val="DBEF084E"/>
    <w:rsid w:val="FDDF8F8E"/>
    <w:rsid w:val="FFBB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_Style 1"/>
    <w:basedOn w:val="1"/>
    <w:qFormat/>
    <w:uiPriority w:val="34"/>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paragraph" w:customStyle="1" w:styleId="13">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4">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7711</Words>
  <Characters>21008</Characters>
  <Lines>161</Lines>
  <Paragraphs>45</Paragraphs>
  <TotalTime>43</TotalTime>
  <ScaleCrop>false</ScaleCrop>
  <LinksUpToDate>false</LinksUpToDate>
  <CharactersWithSpaces>21460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2024-07-13T02:00:00Z</dcterms:created>
  <dc:creator>Administrator</dc:creator>
  <cp:lastModifiedBy>Administrator</cp:lastModifiedBy>
  <dcterms:modified xsi:type="dcterms:W3CDTF">2025-10-30T02:14:07Z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ies>
</file>