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Times New Roman" w:hAnsi="Times New Roman" w:eastAsia="方正小标宋_GBK" w:cs="华文中宋"/>
          <w:sz w:val="44"/>
          <w:szCs w:val="44"/>
        </w:rPr>
      </w:pPr>
      <w:r>
        <w:rPr>
          <w:rFonts w:hint="eastAsia" w:ascii="Times New Roman" w:hAnsi="Times New Roman" w:eastAsia="方正小标宋_GBK" w:cs="华文中宋"/>
          <w:sz w:val="44"/>
          <w:szCs w:val="44"/>
        </w:rPr>
        <w:t>重庆市綦江区城市建设档案中心</w:t>
      </w:r>
    </w:p>
    <w:p>
      <w:pPr>
        <w:spacing w:line="600" w:lineRule="exact"/>
        <w:jc w:val="center"/>
        <w:rPr>
          <w:rFonts w:ascii="Times New Roman" w:hAnsi="Times New Roman" w:eastAsia="方正小标宋_GBK" w:cs="华文中宋"/>
          <w:sz w:val="44"/>
          <w:szCs w:val="44"/>
        </w:rPr>
      </w:pPr>
      <w:r>
        <w:rPr>
          <w:rFonts w:hint="eastAsia" w:ascii="Times New Roman" w:hAnsi="Times New Roman" w:eastAsia="方正小标宋_GBK" w:cs="华文中宋"/>
          <w:sz w:val="44"/>
          <w:szCs w:val="44"/>
        </w:rPr>
        <w:t>2024年部门预算情况说明</w:t>
      </w:r>
    </w:p>
    <w:p>
      <w:pPr>
        <w:spacing w:line="600" w:lineRule="exact"/>
        <w:ind w:firstLine="640" w:firstLineChars="200"/>
        <w:rPr>
          <w:rFonts w:ascii="Times New Roman" w:hAnsi="Times New Roman" w:eastAsia="方正仿宋_GBK" w:cs="仿宋_GB2312"/>
          <w:sz w:val="32"/>
        </w:rPr>
      </w:pPr>
    </w:p>
    <w:p>
      <w:pPr>
        <w:spacing w:line="600" w:lineRule="exact"/>
        <w:ind w:firstLine="640" w:firstLineChars="200"/>
        <w:rPr>
          <w:rFonts w:ascii="Times New Roman" w:hAnsi="Times New Roman" w:eastAsia="方正黑体_GBK" w:cs="仿宋_GB2312"/>
          <w:sz w:val="32"/>
        </w:rPr>
      </w:pPr>
      <w:r>
        <w:rPr>
          <w:rFonts w:hint="eastAsia" w:ascii="Times New Roman" w:hAnsi="Times New Roman" w:eastAsia="方正黑体_GBK" w:cs="仿宋_GB2312"/>
          <w:sz w:val="32"/>
        </w:rPr>
        <w:t>一、单位基本情况</w:t>
      </w:r>
    </w:p>
    <w:p>
      <w:pPr>
        <w:spacing w:line="600" w:lineRule="exact"/>
        <w:ind w:firstLine="640" w:firstLineChars="200"/>
        <w:rPr>
          <w:rFonts w:hint="eastAsia" w:ascii="方正楷体_GBK" w:hAnsi="Times New Roman" w:eastAsia="方正楷体_GBK" w:cs="仿宋_GB2312"/>
          <w:sz w:val="32"/>
        </w:rPr>
      </w:pPr>
      <w:r>
        <w:rPr>
          <w:rFonts w:hint="eastAsia" w:ascii="方正楷体_GBK" w:hAnsi="Times New Roman" w:eastAsia="方正楷体_GBK" w:cs="仿宋_GB2312"/>
          <w:sz w:val="32"/>
        </w:rPr>
        <w:t>（一）职能职责</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仿宋_GBK" w:cs="仿宋_GB2312"/>
          <w:sz w:val="32"/>
        </w:rPr>
        <w:t>根据《中共重庆市綦江区委机构编制委员会关于印发&lt;重庆市綦江区住房和城乡建设委员会所属事业单位机构编制方案&gt;的通知》（綦江委办发〔2019〕105号）规定，重庆市綦江区城市建设档案中心为重庆市綦江区住房和城乡建设委员会管理的正科级公益一类事业单位。其主要职能职责如下：</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仿宋_GBK" w:cs="仿宋_GB2312"/>
          <w:sz w:val="32"/>
        </w:rPr>
        <w:t>1.贯彻执行建设工程档案有关法律、法规、规范、制度。</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仿宋_GBK" w:cs="仿宋_GB2312"/>
          <w:sz w:val="32"/>
        </w:rPr>
        <w:t>2.负责建设工程档案专项验收，按规定接收需长期和永久保存的建设工程档案。</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仿宋_GBK" w:cs="仿宋_GB2312"/>
          <w:sz w:val="32"/>
        </w:rPr>
        <w:t>3.负责对接收的建设工程档案、城乡建设业务技术档案等进行管理、编研、开发，利用城建档案开展服务工作。</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仿宋_GBK" w:cs="仿宋_GB2312"/>
          <w:sz w:val="32"/>
        </w:rPr>
        <w:t>4.负责建设市场各方主体城建档案的业务指导，协助主管部门开展专项督查。</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仿宋_GBK" w:cs="仿宋_GB2312"/>
          <w:sz w:val="32"/>
        </w:rPr>
        <w:t>5.完成主管部门交办的其他工作。</w:t>
      </w:r>
    </w:p>
    <w:p>
      <w:pPr>
        <w:spacing w:line="600" w:lineRule="exact"/>
        <w:ind w:firstLine="640" w:firstLineChars="200"/>
        <w:rPr>
          <w:rFonts w:ascii="方正楷体_GBK" w:hAnsi="Times New Roman" w:eastAsia="方正楷体_GBK" w:cs="仿宋_GB2312"/>
          <w:sz w:val="32"/>
        </w:rPr>
      </w:pPr>
      <w:r>
        <w:rPr>
          <w:rFonts w:hint="eastAsia" w:ascii="方正楷体_GBK" w:hAnsi="Times New Roman" w:eastAsia="方正楷体_GBK" w:cs="仿宋_GB2312"/>
          <w:sz w:val="32"/>
        </w:rPr>
        <w:t>（二）单位构成</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仿宋_GBK" w:cs="仿宋_GB2312"/>
          <w:sz w:val="32"/>
        </w:rPr>
        <w:t>本单位无内设科室。</w:t>
      </w:r>
    </w:p>
    <w:p>
      <w:pPr>
        <w:spacing w:line="600" w:lineRule="exact"/>
        <w:ind w:firstLine="640" w:firstLineChars="200"/>
        <w:rPr>
          <w:rFonts w:ascii="方正楷体_GBK" w:hAnsi="Times New Roman" w:eastAsia="方正楷体_GBK" w:cs="仿宋_GB2312"/>
          <w:sz w:val="32"/>
        </w:rPr>
      </w:pPr>
      <w:r>
        <w:rPr>
          <w:rFonts w:hint="eastAsia" w:ascii="方正楷体_GBK" w:hAnsi="Times New Roman" w:eastAsia="方正楷体_GBK" w:cs="仿宋_GB2312"/>
          <w:sz w:val="32"/>
        </w:rPr>
        <w:t>（三）机构改革相关情况。</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仿宋_GBK" w:cs="仿宋_GB2312"/>
          <w:sz w:val="32"/>
        </w:rPr>
        <w:t>无。</w:t>
      </w:r>
    </w:p>
    <w:p>
      <w:pPr>
        <w:spacing w:line="600" w:lineRule="exact"/>
        <w:ind w:firstLine="640" w:firstLineChars="200"/>
        <w:rPr>
          <w:rFonts w:ascii="Times New Roman" w:hAnsi="Times New Roman" w:eastAsia="方正黑体_GBK" w:cs="仿宋_GB2312"/>
          <w:sz w:val="32"/>
        </w:rPr>
      </w:pPr>
      <w:r>
        <w:rPr>
          <w:rFonts w:hint="eastAsia" w:ascii="Times New Roman" w:hAnsi="Times New Roman" w:eastAsia="方正黑体_GBK" w:cs="仿宋_GB2312"/>
          <w:sz w:val="32"/>
        </w:rPr>
        <w:t>二、部门收支总体情况</w:t>
      </w:r>
    </w:p>
    <w:p>
      <w:pPr>
        <w:spacing w:line="600" w:lineRule="exact"/>
        <w:ind w:firstLine="640" w:firstLineChars="200"/>
        <w:rPr>
          <w:rFonts w:ascii="Times New Roman" w:hAnsi="Times New Roman" w:eastAsia="方正仿宋_GBK"/>
          <w:sz w:val="32"/>
          <w:highlight w:val="none"/>
        </w:rPr>
      </w:pPr>
      <w:r>
        <w:rPr>
          <w:rFonts w:ascii="Times New Roman" w:hAnsi="Times New Roman" w:eastAsia="方正仿宋_GBK"/>
          <w:sz w:val="32"/>
        </w:rPr>
        <w:t>（一）收入预算：</w:t>
      </w:r>
      <w:r>
        <w:rPr>
          <w:rFonts w:hint="eastAsia" w:ascii="Times New Roman" w:hAnsi="Times New Roman" w:eastAsia="方正仿宋_GBK"/>
          <w:sz w:val="32"/>
        </w:rPr>
        <w:t>2024</w:t>
      </w:r>
      <w:r>
        <w:rPr>
          <w:rFonts w:ascii="Times New Roman" w:hAnsi="Times New Roman" w:eastAsia="方正仿宋_GBK"/>
          <w:sz w:val="32"/>
        </w:rPr>
        <w:t>年年初预算数</w:t>
      </w:r>
      <w:r>
        <w:rPr>
          <w:rFonts w:hint="eastAsia" w:ascii="Times New Roman" w:hAnsi="Times New Roman" w:eastAsia="方正仿宋_GBK"/>
          <w:sz w:val="32"/>
        </w:rPr>
        <w:t>150.64</w:t>
      </w:r>
      <w:r>
        <w:rPr>
          <w:rFonts w:ascii="Times New Roman" w:hAnsi="Times New Roman" w:eastAsia="方正仿宋_GBK"/>
          <w:sz w:val="32"/>
        </w:rPr>
        <w:t>万元，其中：一般公共预算拨款</w:t>
      </w:r>
      <w:r>
        <w:rPr>
          <w:rFonts w:hint="eastAsia" w:ascii="Times New Roman" w:hAnsi="Times New Roman" w:eastAsia="方正仿宋_GBK"/>
          <w:sz w:val="32"/>
        </w:rPr>
        <w:t>150.64</w:t>
      </w:r>
      <w:r>
        <w:rPr>
          <w:rFonts w:ascii="Times New Roman" w:hAnsi="Times New Roman" w:eastAsia="方正仿宋_GBK"/>
          <w:sz w:val="32"/>
        </w:rPr>
        <w:t>万元，政府性基金预算拨款</w:t>
      </w:r>
      <w:r>
        <w:rPr>
          <w:rFonts w:hint="eastAsia" w:ascii="Times New Roman" w:hAnsi="Times New Roman" w:eastAsia="方正仿宋_GBK"/>
          <w:sz w:val="32"/>
        </w:rPr>
        <w:t>0</w:t>
      </w:r>
      <w:r>
        <w:rPr>
          <w:rFonts w:ascii="Times New Roman" w:hAnsi="Times New Roman" w:eastAsia="方正仿宋_GBK"/>
          <w:sz w:val="32"/>
        </w:rPr>
        <w:t>万元，国有资本经营预算收入</w:t>
      </w:r>
      <w:r>
        <w:rPr>
          <w:rFonts w:hint="eastAsia" w:ascii="Times New Roman" w:hAnsi="Times New Roman" w:eastAsia="方正仿宋_GBK"/>
          <w:sz w:val="32"/>
        </w:rPr>
        <w:t>0</w:t>
      </w:r>
      <w:r>
        <w:rPr>
          <w:rFonts w:ascii="Times New Roman" w:hAnsi="Times New Roman" w:eastAsia="方正仿宋_GBK"/>
          <w:sz w:val="32"/>
        </w:rPr>
        <w:t>万元，事业收入</w:t>
      </w:r>
      <w:r>
        <w:rPr>
          <w:rFonts w:hint="eastAsia" w:ascii="Times New Roman" w:hAnsi="Times New Roman" w:eastAsia="方正仿宋_GBK"/>
          <w:sz w:val="32"/>
        </w:rPr>
        <w:t>0</w:t>
      </w:r>
      <w:r>
        <w:rPr>
          <w:rFonts w:ascii="Times New Roman" w:hAnsi="Times New Roman" w:eastAsia="方正仿宋_GBK"/>
          <w:sz w:val="32"/>
        </w:rPr>
        <w:t>万元，事业单位经营收入</w:t>
      </w:r>
      <w:r>
        <w:rPr>
          <w:rFonts w:hint="eastAsia" w:ascii="Times New Roman" w:hAnsi="Times New Roman" w:eastAsia="方正仿宋_GBK"/>
          <w:sz w:val="32"/>
        </w:rPr>
        <w:t>0</w:t>
      </w:r>
      <w:r>
        <w:rPr>
          <w:rFonts w:ascii="Times New Roman" w:hAnsi="Times New Roman" w:eastAsia="方正仿宋_GBK"/>
          <w:sz w:val="32"/>
        </w:rPr>
        <w:t>万元，其他收入</w:t>
      </w:r>
      <w:r>
        <w:rPr>
          <w:rFonts w:hint="eastAsia" w:ascii="Times New Roman" w:hAnsi="Times New Roman" w:eastAsia="方正仿宋_GBK"/>
          <w:sz w:val="32"/>
        </w:rPr>
        <w:t>0</w:t>
      </w:r>
      <w:r>
        <w:rPr>
          <w:rFonts w:ascii="Times New Roman" w:hAnsi="Times New Roman" w:eastAsia="方正仿宋_GBK"/>
          <w:sz w:val="32"/>
        </w:rPr>
        <w:t>万元。收入较</w:t>
      </w:r>
      <w:r>
        <w:rPr>
          <w:rFonts w:hint="eastAsia" w:ascii="Times New Roman" w:hAnsi="Times New Roman" w:eastAsia="方正仿宋_GBK"/>
          <w:sz w:val="32"/>
        </w:rPr>
        <w:t>2023</w:t>
      </w:r>
      <w:r>
        <w:rPr>
          <w:rFonts w:ascii="Times New Roman" w:hAnsi="Times New Roman" w:eastAsia="方正仿宋_GBK"/>
          <w:sz w:val="32"/>
        </w:rPr>
        <w:t>年</w:t>
      </w:r>
      <w:r>
        <w:rPr>
          <w:rFonts w:hint="eastAsia" w:ascii="Times New Roman" w:hAnsi="Times New Roman" w:eastAsia="方正仿宋_GBK"/>
          <w:sz w:val="32"/>
        </w:rPr>
        <w:t>减少12.07</w:t>
      </w:r>
      <w:r>
        <w:rPr>
          <w:rFonts w:ascii="Times New Roman" w:hAnsi="Times New Roman" w:eastAsia="方正仿宋_GBK"/>
          <w:sz w:val="32"/>
        </w:rPr>
        <w:t>万元，主要是</w:t>
      </w:r>
      <w:r>
        <w:rPr>
          <w:rFonts w:hint="eastAsia" w:ascii="Times New Roman" w:hAnsi="Times New Roman" w:eastAsia="方正仿宋_GBK"/>
          <w:sz w:val="32"/>
        </w:rPr>
        <w:t>一般公共预算拨款减少9</w:t>
      </w:r>
      <w:r>
        <w:rPr>
          <w:rFonts w:ascii="Times New Roman" w:hAnsi="Times New Roman" w:eastAsia="方正仿宋_GBK"/>
          <w:sz w:val="32"/>
        </w:rPr>
        <w:t>万元</w:t>
      </w:r>
      <w:r>
        <w:rPr>
          <w:rFonts w:hint="eastAsia" w:ascii="Times New Roman" w:hAnsi="Times New Roman" w:eastAsia="方正仿宋_GBK"/>
          <w:sz w:val="32"/>
          <w:lang w:val="en-US" w:eastAsia="zh-CN"/>
        </w:rPr>
        <w:t>以及</w:t>
      </w:r>
      <w:r>
        <w:rPr>
          <w:rFonts w:hint="eastAsia" w:ascii="Times New Roman" w:hAnsi="Times New Roman" w:eastAsia="方正仿宋_GBK"/>
          <w:sz w:val="32"/>
          <w:highlight w:val="none"/>
          <w:lang w:val="en-US" w:eastAsia="zh-CN"/>
        </w:rPr>
        <w:t>2022年的奖励性绩效3.07万元结转到2023年发放。</w:t>
      </w:r>
      <w:bookmarkStart w:id="0" w:name="_GoBack"/>
      <w:bookmarkEnd w:id="0"/>
    </w:p>
    <w:p>
      <w:pPr>
        <w:spacing w:line="600" w:lineRule="exact"/>
        <w:ind w:firstLine="640" w:firstLineChars="200"/>
        <w:rPr>
          <w:rFonts w:ascii="Times New Roman" w:hAnsi="Times New Roman" w:eastAsia="方正仿宋_GBK" w:cs="仿宋_GB2312"/>
          <w:sz w:val="32"/>
        </w:rPr>
      </w:pPr>
      <w:r>
        <w:rPr>
          <w:rFonts w:ascii="Times New Roman" w:hAnsi="Times New Roman" w:eastAsia="方正仿宋_GBK"/>
          <w:sz w:val="32"/>
        </w:rPr>
        <w:t>（二）支出预算：</w:t>
      </w:r>
      <w:r>
        <w:rPr>
          <w:rFonts w:hint="eastAsia" w:ascii="Times New Roman" w:hAnsi="Times New Roman" w:eastAsia="方正仿宋_GBK"/>
          <w:sz w:val="32"/>
        </w:rPr>
        <w:t>2024</w:t>
      </w:r>
      <w:r>
        <w:rPr>
          <w:rFonts w:ascii="Times New Roman" w:hAnsi="Times New Roman" w:eastAsia="方正仿宋_GBK"/>
          <w:sz w:val="32"/>
        </w:rPr>
        <w:t>年年初预算数</w:t>
      </w:r>
      <w:r>
        <w:rPr>
          <w:rFonts w:hint="eastAsia" w:ascii="Times New Roman" w:hAnsi="Times New Roman" w:eastAsia="方正仿宋_GBK"/>
          <w:sz w:val="32"/>
        </w:rPr>
        <w:t>150.64</w:t>
      </w:r>
      <w:r>
        <w:rPr>
          <w:rFonts w:ascii="Times New Roman" w:hAnsi="Times New Roman" w:eastAsia="方正仿宋_GBK"/>
          <w:sz w:val="32"/>
        </w:rPr>
        <w:t>万元，其中：社会保障和就业支出预算</w:t>
      </w:r>
      <w:r>
        <w:rPr>
          <w:rFonts w:hint="eastAsia" w:ascii="Times New Roman" w:hAnsi="Times New Roman" w:eastAsia="方正仿宋_GBK"/>
          <w:sz w:val="32"/>
        </w:rPr>
        <w:t>13.50</w:t>
      </w:r>
      <w:r>
        <w:rPr>
          <w:rFonts w:ascii="Times New Roman" w:hAnsi="Times New Roman" w:eastAsia="方正仿宋_GBK"/>
          <w:sz w:val="32"/>
        </w:rPr>
        <w:t>万元，卫生健康支出预算</w:t>
      </w:r>
      <w:r>
        <w:rPr>
          <w:rFonts w:hint="eastAsia" w:ascii="Times New Roman" w:hAnsi="Times New Roman" w:eastAsia="方正仿宋_GBK"/>
          <w:sz w:val="32"/>
        </w:rPr>
        <w:t>4.12</w:t>
      </w:r>
      <w:r>
        <w:rPr>
          <w:rFonts w:ascii="Times New Roman" w:hAnsi="Times New Roman" w:eastAsia="方正仿宋_GBK"/>
          <w:sz w:val="32"/>
        </w:rPr>
        <w:t>万元，</w:t>
      </w:r>
      <w:r>
        <w:rPr>
          <w:rFonts w:hint="eastAsia" w:ascii="Times New Roman" w:hAnsi="Times New Roman" w:eastAsia="方正仿宋_GBK"/>
          <w:sz w:val="32"/>
        </w:rPr>
        <w:t>城乡社区支出128.88万元，</w:t>
      </w:r>
      <w:r>
        <w:rPr>
          <w:rFonts w:ascii="Times New Roman" w:hAnsi="Times New Roman" w:eastAsia="方正仿宋_GBK"/>
          <w:sz w:val="32"/>
        </w:rPr>
        <w:t>住房保障支出预算</w:t>
      </w:r>
      <w:r>
        <w:rPr>
          <w:rFonts w:hint="eastAsia" w:ascii="Times New Roman" w:hAnsi="Times New Roman" w:eastAsia="方正仿宋_GBK"/>
          <w:sz w:val="32"/>
        </w:rPr>
        <w:t>4.14</w:t>
      </w:r>
      <w:r>
        <w:rPr>
          <w:rFonts w:ascii="Times New Roman" w:hAnsi="Times New Roman" w:eastAsia="方正仿宋_GBK"/>
          <w:sz w:val="32"/>
        </w:rPr>
        <w:t>万元。支出预算较</w:t>
      </w:r>
      <w:r>
        <w:rPr>
          <w:rFonts w:hint="eastAsia" w:ascii="Times New Roman" w:hAnsi="Times New Roman" w:eastAsia="方正仿宋_GBK"/>
          <w:sz w:val="32"/>
        </w:rPr>
        <w:t>2023</w:t>
      </w:r>
      <w:r>
        <w:rPr>
          <w:rFonts w:ascii="Times New Roman" w:hAnsi="Times New Roman" w:eastAsia="方正仿宋_GBK"/>
          <w:sz w:val="32"/>
        </w:rPr>
        <w:t>年</w:t>
      </w:r>
      <w:r>
        <w:rPr>
          <w:rFonts w:hint="eastAsia" w:ascii="Times New Roman" w:hAnsi="Times New Roman" w:eastAsia="方正仿宋_GBK"/>
          <w:sz w:val="32"/>
        </w:rPr>
        <w:t>减少12.07</w:t>
      </w:r>
      <w:r>
        <w:rPr>
          <w:rFonts w:hint="eastAsia" w:ascii="Times New Roman" w:hAnsi="Times New Roman" w:eastAsia="方正仿宋_GBK" w:cs="仿宋_GB2312"/>
          <w:sz w:val="32"/>
        </w:rPr>
        <w:t>万元，主要是基本支出预算增加</w:t>
      </w:r>
      <w:r>
        <w:rPr>
          <w:rFonts w:hint="eastAsia" w:ascii="Times New Roman" w:hAnsi="Times New Roman" w:eastAsia="方正仿宋_GBK"/>
          <w:sz w:val="32"/>
        </w:rPr>
        <w:t>15.88</w:t>
      </w:r>
      <w:r>
        <w:rPr>
          <w:rFonts w:hint="eastAsia" w:ascii="Times New Roman" w:hAnsi="Times New Roman" w:eastAsia="方正仿宋_GBK" w:cs="仿宋_GB2312"/>
          <w:sz w:val="32"/>
        </w:rPr>
        <w:t>万元，项目支出预算</w:t>
      </w:r>
      <w:r>
        <w:rPr>
          <w:rFonts w:hint="eastAsia" w:ascii="Times New Roman" w:hAnsi="Times New Roman" w:eastAsia="方正仿宋_GBK"/>
          <w:sz w:val="32"/>
        </w:rPr>
        <w:t>减少27.95</w:t>
      </w:r>
      <w:r>
        <w:rPr>
          <w:rFonts w:hint="eastAsia" w:ascii="Times New Roman" w:hAnsi="Times New Roman" w:eastAsia="方正仿宋_GBK" w:cs="仿宋_GB2312"/>
          <w:sz w:val="32"/>
        </w:rPr>
        <w:t>万元。</w:t>
      </w:r>
    </w:p>
    <w:p>
      <w:pPr>
        <w:spacing w:line="600" w:lineRule="exact"/>
        <w:ind w:firstLine="640" w:firstLineChars="200"/>
        <w:rPr>
          <w:rFonts w:ascii="Times New Roman" w:hAnsi="Times New Roman" w:eastAsia="方正黑体_GBK" w:cs="仿宋_GB2312"/>
          <w:sz w:val="32"/>
        </w:rPr>
      </w:pPr>
      <w:r>
        <w:rPr>
          <w:rFonts w:hint="eastAsia" w:ascii="Times New Roman" w:hAnsi="Times New Roman" w:eastAsia="方正黑体_GBK" w:cs="仿宋_GB2312"/>
          <w:sz w:val="32"/>
        </w:rPr>
        <w:t>三、部门预算情况说明</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2024</w:t>
      </w:r>
      <w:r>
        <w:rPr>
          <w:rFonts w:ascii="Times New Roman" w:hAnsi="Times New Roman" w:eastAsia="方正仿宋_GBK"/>
          <w:sz w:val="32"/>
        </w:rPr>
        <w:t>年一般公共预算财政拨款收入</w:t>
      </w:r>
      <w:r>
        <w:rPr>
          <w:rFonts w:hint="eastAsia" w:ascii="Times New Roman" w:hAnsi="Times New Roman" w:eastAsia="方正仿宋_GBK"/>
          <w:sz w:val="32"/>
        </w:rPr>
        <w:t>150.64</w:t>
      </w:r>
      <w:r>
        <w:rPr>
          <w:rFonts w:ascii="Times New Roman" w:hAnsi="Times New Roman" w:eastAsia="方正仿宋_GBK"/>
          <w:sz w:val="32"/>
        </w:rPr>
        <w:t>万元，一般公共预算财政拨款支出</w:t>
      </w:r>
      <w:r>
        <w:rPr>
          <w:rFonts w:hint="eastAsia" w:ascii="Times New Roman" w:hAnsi="Times New Roman" w:eastAsia="方正仿宋_GBK"/>
          <w:sz w:val="32"/>
        </w:rPr>
        <w:t>150.64</w:t>
      </w:r>
      <w:r>
        <w:rPr>
          <w:rFonts w:ascii="Times New Roman" w:hAnsi="Times New Roman" w:eastAsia="方正仿宋_GBK"/>
          <w:sz w:val="32"/>
        </w:rPr>
        <w:t>万元，比</w:t>
      </w:r>
      <w:r>
        <w:rPr>
          <w:rFonts w:hint="eastAsia" w:ascii="Times New Roman" w:hAnsi="Times New Roman" w:eastAsia="方正仿宋_GBK"/>
          <w:sz w:val="32"/>
        </w:rPr>
        <w:t>2023</w:t>
      </w:r>
      <w:r>
        <w:rPr>
          <w:rFonts w:ascii="Times New Roman" w:hAnsi="Times New Roman" w:eastAsia="方正仿宋_GBK"/>
          <w:sz w:val="32"/>
        </w:rPr>
        <w:t>年增加减少</w:t>
      </w:r>
      <w:r>
        <w:rPr>
          <w:rFonts w:hint="eastAsia" w:ascii="Times New Roman" w:hAnsi="Times New Roman" w:eastAsia="方正仿宋_GBK"/>
          <w:sz w:val="32"/>
        </w:rPr>
        <w:t>12.07</w:t>
      </w:r>
      <w:r>
        <w:rPr>
          <w:rFonts w:ascii="Times New Roman" w:hAnsi="Times New Roman" w:eastAsia="方正仿宋_GBK"/>
          <w:sz w:val="32"/>
        </w:rPr>
        <w:t>万元。其中：基本支出</w:t>
      </w:r>
      <w:r>
        <w:rPr>
          <w:rFonts w:hint="eastAsia" w:ascii="Times New Roman" w:hAnsi="Times New Roman" w:eastAsia="方正仿宋_GBK"/>
          <w:sz w:val="32"/>
        </w:rPr>
        <w:t>106.35</w:t>
      </w:r>
      <w:r>
        <w:rPr>
          <w:rFonts w:ascii="Times New Roman" w:hAnsi="Times New Roman" w:eastAsia="方正仿宋_GBK"/>
          <w:sz w:val="32"/>
        </w:rPr>
        <w:t>万元，比</w:t>
      </w:r>
      <w:r>
        <w:rPr>
          <w:rFonts w:hint="eastAsia" w:ascii="Times New Roman" w:hAnsi="Times New Roman" w:eastAsia="方正仿宋_GBK"/>
          <w:sz w:val="32"/>
        </w:rPr>
        <w:t>2023</w:t>
      </w:r>
      <w:r>
        <w:rPr>
          <w:rFonts w:ascii="Times New Roman" w:hAnsi="Times New Roman" w:eastAsia="方正仿宋_GBK"/>
          <w:sz w:val="32"/>
        </w:rPr>
        <w:t>年增加</w:t>
      </w:r>
      <w:r>
        <w:rPr>
          <w:rFonts w:hint="eastAsia" w:ascii="Times New Roman" w:hAnsi="Times New Roman" w:eastAsia="方正仿宋_GBK"/>
          <w:sz w:val="32"/>
        </w:rPr>
        <w:t>15.88</w:t>
      </w:r>
      <w:r>
        <w:rPr>
          <w:rFonts w:ascii="Times New Roman" w:hAnsi="Times New Roman" w:eastAsia="方正仿宋_GBK"/>
          <w:sz w:val="32"/>
        </w:rPr>
        <w:t>万元，主要原因是</w:t>
      </w:r>
      <w:r>
        <w:rPr>
          <w:rFonts w:hint="eastAsia" w:ascii="Times New Roman" w:hAnsi="Times New Roman" w:eastAsia="方正仿宋_GBK"/>
          <w:sz w:val="32"/>
        </w:rPr>
        <w:t>人员经费拨款增加等</w:t>
      </w:r>
      <w:r>
        <w:rPr>
          <w:rFonts w:ascii="Times New Roman" w:hAnsi="Times New Roman" w:eastAsia="方正仿宋_GBK"/>
          <w:sz w:val="32"/>
        </w:rPr>
        <w:t>，主要用于保障在职人员工资福利及社会保险缴费，退休人员补助等，保障部门正常运转的各项商品服务支出；项目支出</w:t>
      </w:r>
      <w:r>
        <w:rPr>
          <w:rFonts w:hint="eastAsia" w:ascii="Times New Roman" w:hAnsi="Times New Roman" w:eastAsia="方正仿宋_GBK"/>
          <w:sz w:val="32"/>
        </w:rPr>
        <w:t>44.25</w:t>
      </w:r>
      <w:r>
        <w:rPr>
          <w:rFonts w:ascii="Times New Roman" w:hAnsi="Times New Roman" w:eastAsia="方正仿宋_GBK"/>
          <w:sz w:val="32"/>
        </w:rPr>
        <w:t>万元，主要原因是</w:t>
      </w:r>
      <w:r>
        <w:rPr>
          <w:rFonts w:hint="eastAsia" w:ascii="Times New Roman" w:hAnsi="Times New Roman" w:eastAsia="方正仿宋_GBK"/>
          <w:sz w:val="32"/>
        </w:rPr>
        <w:t>城建档案室数字化扫描项目经费减少</w:t>
      </w:r>
      <w:r>
        <w:rPr>
          <w:rFonts w:ascii="Times New Roman" w:hAnsi="Times New Roman" w:eastAsia="方正仿宋_GBK"/>
          <w:sz w:val="32"/>
        </w:rPr>
        <w:t>。</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仿宋_GBK" w:cs="仿宋_GB2312"/>
          <w:sz w:val="32"/>
        </w:rPr>
        <w:t>本单位</w:t>
      </w:r>
      <w:r>
        <w:rPr>
          <w:rFonts w:hint="eastAsia" w:ascii="Times New Roman" w:hAnsi="Times New Roman" w:eastAsia="方正仿宋_GBK"/>
          <w:sz w:val="32"/>
        </w:rPr>
        <w:t>2024</w:t>
      </w:r>
      <w:r>
        <w:rPr>
          <w:rFonts w:hint="eastAsia" w:ascii="Times New Roman" w:hAnsi="Times New Roman" w:eastAsia="方正仿宋_GBK" w:cs="仿宋_GB2312"/>
          <w:sz w:val="32"/>
        </w:rPr>
        <w:t>年无使用政府性基金预算拨款安排的支出。</w:t>
      </w:r>
    </w:p>
    <w:p>
      <w:pPr>
        <w:spacing w:line="600" w:lineRule="exact"/>
        <w:ind w:firstLine="640" w:firstLineChars="200"/>
        <w:rPr>
          <w:rFonts w:ascii="Times New Roman" w:hAnsi="Times New Roman" w:eastAsia="方正黑体_GBK" w:cs="仿宋_GB2312"/>
          <w:sz w:val="32"/>
        </w:rPr>
      </w:pPr>
      <w:r>
        <w:rPr>
          <w:rFonts w:hint="eastAsia" w:ascii="Times New Roman" w:hAnsi="Times New Roman" w:eastAsia="方正黑体_GBK" w:cs="仿宋_GB2312"/>
          <w:sz w:val="32"/>
        </w:rPr>
        <w:t>四、“三公”经费情况说明</w:t>
      </w:r>
    </w:p>
    <w:p>
      <w:pPr>
        <w:spacing w:line="600" w:lineRule="exact"/>
        <w:ind w:firstLine="600"/>
        <w:rPr>
          <w:rFonts w:ascii="Times New Roman" w:hAnsi="Times New Roman" w:eastAsia="方正仿宋_GBK" w:cs="仿宋_GB2312"/>
          <w:sz w:val="32"/>
        </w:rPr>
      </w:pPr>
      <w:r>
        <w:rPr>
          <w:rFonts w:hint="eastAsia" w:ascii="Times New Roman" w:hAnsi="Times New Roman" w:eastAsia="方正仿宋_GBK"/>
          <w:sz w:val="32"/>
        </w:rPr>
        <w:t>2024</w:t>
      </w:r>
      <w:r>
        <w:rPr>
          <w:rFonts w:hint="eastAsia" w:ascii="Times New Roman" w:hAnsi="Times New Roman" w:eastAsia="方正仿宋_GBK" w:cs="仿宋_GB2312"/>
          <w:sz w:val="32"/>
        </w:rPr>
        <w:t>年“三公”经费预算</w:t>
      </w:r>
      <w:r>
        <w:rPr>
          <w:rFonts w:hint="eastAsia" w:ascii="Times New Roman" w:hAnsi="Times New Roman" w:eastAsia="方正仿宋_GBK"/>
          <w:sz w:val="32"/>
        </w:rPr>
        <w:t>0.4</w:t>
      </w:r>
      <w:r>
        <w:rPr>
          <w:rFonts w:hint="eastAsia" w:ascii="Times New Roman" w:hAnsi="Times New Roman" w:eastAsia="方正仿宋_GBK" w:cs="仿宋_GB2312"/>
          <w:sz w:val="32"/>
        </w:rPr>
        <w:t>万元，与上年持平。其中：因公出国（境）费用</w:t>
      </w:r>
      <w:r>
        <w:rPr>
          <w:rFonts w:hint="eastAsia" w:ascii="Times New Roman" w:hAnsi="Times New Roman" w:eastAsia="方正仿宋_GBK"/>
          <w:sz w:val="32"/>
        </w:rPr>
        <w:t>0</w:t>
      </w:r>
      <w:r>
        <w:rPr>
          <w:rFonts w:hint="eastAsia" w:ascii="Times New Roman" w:hAnsi="Times New Roman" w:eastAsia="方正仿宋_GBK" w:cs="仿宋_GB2312"/>
          <w:sz w:val="32"/>
        </w:rPr>
        <w:t>万元；公务接待费</w:t>
      </w:r>
      <w:r>
        <w:rPr>
          <w:rFonts w:hint="eastAsia" w:ascii="Times New Roman" w:hAnsi="Times New Roman" w:eastAsia="方正仿宋_GBK"/>
          <w:sz w:val="32"/>
        </w:rPr>
        <w:t>0.4</w:t>
      </w:r>
      <w:r>
        <w:rPr>
          <w:rFonts w:hint="eastAsia" w:ascii="Times New Roman" w:hAnsi="Times New Roman" w:eastAsia="方正仿宋_GBK" w:cs="仿宋_GB2312"/>
          <w:sz w:val="32"/>
        </w:rPr>
        <w:t>万元；与上年持平；公务用车运行维护费</w:t>
      </w:r>
      <w:r>
        <w:rPr>
          <w:rFonts w:hint="eastAsia" w:ascii="Times New Roman" w:hAnsi="Times New Roman" w:eastAsia="方正仿宋_GBK"/>
          <w:sz w:val="32"/>
        </w:rPr>
        <w:t>0</w:t>
      </w:r>
      <w:r>
        <w:rPr>
          <w:rFonts w:hint="eastAsia" w:ascii="Times New Roman" w:hAnsi="Times New Roman" w:eastAsia="方正仿宋_GBK" w:cs="仿宋_GB2312"/>
          <w:sz w:val="32"/>
        </w:rPr>
        <w:t>万元；公务用车购置费0万元。</w:t>
      </w:r>
    </w:p>
    <w:p>
      <w:pPr>
        <w:spacing w:line="600" w:lineRule="exact"/>
        <w:ind w:firstLine="640" w:firstLineChars="200"/>
        <w:rPr>
          <w:rFonts w:ascii="Times New Roman" w:hAnsi="Times New Roman" w:eastAsia="方正黑体_GBK" w:cs="仿宋_GB2312"/>
          <w:sz w:val="32"/>
        </w:rPr>
      </w:pPr>
      <w:r>
        <w:rPr>
          <w:rFonts w:hint="eastAsia" w:ascii="Times New Roman" w:hAnsi="Times New Roman" w:eastAsia="方正黑体_GBK" w:cs="仿宋_GB2312"/>
          <w:sz w:val="32"/>
        </w:rPr>
        <w:t>五、其他重要事项的情况说明</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仿宋_GBK"/>
          <w:sz w:val="32"/>
        </w:rPr>
        <w:t>1.</w:t>
      </w:r>
      <w:r>
        <w:rPr>
          <w:rFonts w:hint="eastAsia" w:ascii="Times New Roman" w:hAnsi="Times New Roman" w:eastAsia="方正仿宋_GBK" w:cs="仿宋_GB2312"/>
          <w:sz w:val="32"/>
        </w:rPr>
        <w:t>本单位不在机关运行经费统计范围之内。</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仿宋_GBK"/>
          <w:sz w:val="32"/>
        </w:rPr>
        <w:t>2.</w:t>
      </w:r>
      <w:r>
        <w:rPr>
          <w:rFonts w:hint="eastAsia" w:ascii="Times New Roman" w:hAnsi="Times New Roman" w:eastAsia="方正仿宋_GBK" w:cs="仿宋_GB2312"/>
          <w:sz w:val="32"/>
        </w:rPr>
        <w:t>政府采购情况。2024年本单位编制政府采购预算0万元。</w:t>
      </w:r>
    </w:p>
    <w:p>
      <w:pPr>
        <w:spacing w:line="600" w:lineRule="exact"/>
        <w:ind w:firstLine="640" w:firstLineChars="200"/>
        <w:rPr>
          <w:rFonts w:ascii="Times New Roman" w:hAnsi="Times New Roman" w:eastAsia="方正仿宋_GBK" w:cs="仿宋_GB2312"/>
          <w:color w:val="000000"/>
          <w:sz w:val="32"/>
        </w:rPr>
      </w:pPr>
      <w:r>
        <w:rPr>
          <w:rFonts w:hint="eastAsia" w:ascii="Times New Roman" w:hAnsi="Times New Roman" w:eastAsia="方正仿宋_GBK"/>
          <w:sz w:val="32"/>
        </w:rPr>
        <w:t>3.</w:t>
      </w:r>
      <w:r>
        <w:rPr>
          <w:rFonts w:hint="eastAsia" w:ascii="Times New Roman" w:hAnsi="Times New Roman" w:eastAsia="方正仿宋_GBK" w:cs="仿宋_GB2312"/>
          <w:sz w:val="32"/>
        </w:rPr>
        <w:t>绩效目标设置情况。</w:t>
      </w:r>
      <w:r>
        <w:rPr>
          <w:rFonts w:hint="eastAsia" w:ascii="Times New Roman" w:hAnsi="Times New Roman" w:eastAsia="方正仿宋_GBK"/>
          <w:sz w:val="32"/>
        </w:rPr>
        <w:t>2024</w:t>
      </w:r>
      <w:r>
        <w:rPr>
          <w:rFonts w:hint="eastAsia" w:ascii="Times New Roman" w:hAnsi="Times New Roman" w:eastAsia="方正仿宋_GBK" w:cs="仿宋_GB2312"/>
          <w:color w:val="000000"/>
          <w:sz w:val="32"/>
        </w:rPr>
        <w:t>年项目支出均实行了绩效目标管理，涉及一般公共预算当年财政拨款</w:t>
      </w:r>
      <w:r>
        <w:rPr>
          <w:rFonts w:ascii="Times New Roman" w:hAnsi="Times New Roman" w:eastAsia="方正仿宋_GBK"/>
          <w:kern w:val="0"/>
          <w:sz w:val="32"/>
          <w:szCs w:val="32"/>
        </w:rPr>
        <w:t>44.29</w:t>
      </w:r>
      <w:r>
        <w:rPr>
          <w:rFonts w:hint="eastAsia" w:ascii="Times New Roman" w:hAnsi="Times New Roman" w:eastAsia="方正仿宋_GBK" w:cs="仿宋_GB2312"/>
          <w:color w:val="000000"/>
          <w:sz w:val="32"/>
        </w:rPr>
        <w:t>万元。</w:t>
      </w:r>
    </w:p>
    <w:p>
      <w:pPr>
        <w:spacing w:line="600" w:lineRule="exact"/>
        <w:ind w:firstLine="640" w:firstLineChars="200"/>
        <w:rPr>
          <w:rFonts w:ascii="Times New Roman" w:hAnsi="Times New Roman" w:eastAsia="方正仿宋_GBK" w:cs="仿宋_GB2312"/>
          <w:color w:val="000000"/>
          <w:sz w:val="32"/>
        </w:rPr>
      </w:pPr>
      <w:r>
        <w:rPr>
          <w:rFonts w:hint="eastAsia" w:ascii="Times New Roman" w:hAnsi="Times New Roman" w:eastAsia="方正仿宋_GBK"/>
          <w:sz w:val="32"/>
        </w:rPr>
        <w:t>4.</w:t>
      </w:r>
      <w:r>
        <w:rPr>
          <w:rFonts w:hint="eastAsia" w:ascii="Times New Roman" w:hAnsi="Times New Roman" w:eastAsia="方正仿宋_GBK" w:cs="仿宋_GB2312"/>
          <w:color w:val="000000"/>
          <w:sz w:val="32"/>
        </w:rPr>
        <w:t>国有资产占有使用情况。</w:t>
      </w:r>
      <w:r>
        <w:rPr>
          <w:rFonts w:hint="eastAsia" w:ascii="Times New Roman" w:hAnsi="Times New Roman" w:eastAsia="方正仿宋_GBK"/>
          <w:sz w:val="32"/>
        </w:rPr>
        <w:t>截止2023年12月</w:t>
      </w:r>
      <w:r>
        <w:rPr>
          <w:rFonts w:hint="eastAsia" w:ascii="Times New Roman" w:hAnsi="Times New Roman" w:eastAsia="方正仿宋_GBK" w:cs="仿宋_GB2312"/>
          <w:color w:val="000000"/>
          <w:sz w:val="32"/>
        </w:rPr>
        <w:t>，本单位无公车编制。</w:t>
      </w:r>
    </w:p>
    <w:p>
      <w:pPr>
        <w:spacing w:line="600" w:lineRule="exact"/>
        <w:ind w:firstLine="640" w:firstLineChars="200"/>
        <w:rPr>
          <w:rFonts w:ascii="Times New Roman" w:hAnsi="Times New Roman" w:eastAsia="方正黑体_GBK" w:cs="仿宋_GB2312"/>
          <w:sz w:val="32"/>
        </w:rPr>
      </w:pPr>
      <w:r>
        <w:rPr>
          <w:rFonts w:hint="eastAsia" w:ascii="Times New Roman" w:hAnsi="Times New Roman" w:eastAsia="方正黑体_GBK" w:cs="仿宋_GB2312"/>
          <w:sz w:val="32"/>
        </w:rPr>
        <w:t>六、专业性名词解释</w:t>
      </w:r>
    </w:p>
    <w:p>
      <w:pPr>
        <w:pStyle w:val="11"/>
        <w:tabs>
          <w:tab w:val="center" w:pos="4153"/>
          <w:tab w:val="left" w:pos="7275"/>
        </w:tabs>
        <w:spacing w:line="600" w:lineRule="exact"/>
        <w:ind w:firstLine="640"/>
        <w:jc w:val="left"/>
        <w:rPr>
          <w:rFonts w:ascii="Times New Roman" w:hAnsi="Times New Roman" w:eastAsia="方正仿宋_GBK"/>
          <w:sz w:val="32"/>
          <w:szCs w:val="32"/>
        </w:rPr>
      </w:pPr>
      <w:r>
        <w:rPr>
          <w:rFonts w:hint="eastAsia" w:ascii="Times New Roman" w:hAnsi="Times New Roman" w:eastAsia="方正仿宋_GBK"/>
          <w:sz w:val="32"/>
          <w:szCs w:val="32"/>
        </w:rPr>
        <w:t>（一）财政拨款收入：指本年度从本级财政部门取得的财政拨款，包括一般公共预算财政拨款和政府性基金预算财政拨款。</w:t>
      </w:r>
    </w:p>
    <w:p>
      <w:pPr>
        <w:pStyle w:val="11"/>
        <w:tabs>
          <w:tab w:val="center" w:pos="4153"/>
          <w:tab w:val="left" w:pos="7275"/>
        </w:tabs>
        <w:spacing w:line="600" w:lineRule="exact"/>
        <w:ind w:firstLine="640"/>
        <w:jc w:val="left"/>
        <w:rPr>
          <w:rFonts w:ascii="Times New Roman" w:hAnsi="Times New Roman" w:eastAsia="方正仿宋_GBK"/>
          <w:sz w:val="32"/>
          <w:szCs w:val="32"/>
        </w:rPr>
      </w:pPr>
      <w:r>
        <w:rPr>
          <w:rFonts w:hint="eastAsia" w:ascii="Times New Roman" w:hAnsi="Times New Roman" w:eastAsia="方正仿宋_GBK"/>
          <w:sz w:val="32"/>
          <w:szCs w:val="32"/>
        </w:rPr>
        <w:t>（二）其他收入：指单位取得的除“财政拨款收入”、“事业收入”、“经营收入”等以外的收入。</w:t>
      </w:r>
    </w:p>
    <w:p>
      <w:pPr>
        <w:pStyle w:val="11"/>
        <w:tabs>
          <w:tab w:val="center" w:pos="4153"/>
          <w:tab w:val="left" w:pos="7275"/>
        </w:tabs>
        <w:spacing w:line="600" w:lineRule="exact"/>
        <w:ind w:firstLine="640"/>
        <w:jc w:val="left"/>
        <w:rPr>
          <w:rFonts w:ascii="Times New Roman" w:hAnsi="Times New Roman" w:eastAsia="方正仿宋_GBK"/>
          <w:sz w:val="32"/>
          <w:szCs w:val="32"/>
        </w:rPr>
      </w:pPr>
      <w:r>
        <w:rPr>
          <w:rFonts w:hint="eastAsia" w:ascii="Times New Roman" w:hAnsi="Times New Roman" w:eastAsia="方正仿宋_GBK"/>
          <w:sz w:val="32"/>
          <w:szCs w:val="32"/>
        </w:rPr>
        <w:t>（三）基本支出：指为保障机构正常运转、完成日常工作任务而发生的人员经费和公用经费。</w:t>
      </w:r>
    </w:p>
    <w:p>
      <w:pPr>
        <w:pStyle w:val="11"/>
        <w:tabs>
          <w:tab w:val="center" w:pos="4153"/>
          <w:tab w:val="left" w:pos="7275"/>
        </w:tabs>
        <w:spacing w:line="600" w:lineRule="exact"/>
        <w:ind w:firstLine="640"/>
        <w:jc w:val="left"/>
        <w:rPr>
          <w:rFonts w:ascii="Times New Roman" w:hAnsi="Times New Roman" w:eastAsia="方正仿宋_GBK"/>
          <w:sz w:val="32"/>
          <w:szCs w:val="32"/>
        </w:rPr>
      </w:pPr>
      <w:r>
        <w:rPr>
          <w:rFonts w:hint="eastAsia" w:ascii="Times New Roman" w:hAnsi="Times New Roman" w:eastAsia="方正仿宋_GBK"/>
          <w:sz w:val="32"/>
          <w:szCs w:val="32"/>
        </w:rPr>
        <w:t>（四）项目支出：指在基本支出之外为完成特定行政任务和事业发展目标所发生的支出。</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Times New Roman" w:hAnsi="Times New Roman" w:eastAsia="方正仿宋_GBK" w:cs="方正仿宋_GBK"/>
          <w:bCs/>
          <w:sz w:val="32"/>
        </w:rPr>
      </w:pPr>
      <w:r>
        <w:rPr>
          <w:rFonts w:hint="eastAsia" w:ascii="Times New Roman" w:hAnsi="Times New Roman" w:eastAsia="方正仿宋_GBK" w:cs="仿宋_GB2312"/>
          <w:sz w:val="32"/>
        </w:rPr>
        <w:t>联系人：重庆市綦江区住房和城乡建设委员会财务科</w:t>
      </w:r>
    </w:p>
    <w:p>
      <w:pPr>
        <w:spacing w:line="600" w:lineRule="exact"/>
        <w:ind w:firstLine="640" w:firstLineChars="200"/>
        <w:rPr>
          <w:rFonts w:ascii="Times New Roman" w:hAnsi="Times New Roman" w:eastAsia="方正仿宋_GBK" w:cs="方正仿宋_GBK"/>
          <w:bCs/>
          <w:sz w:val="32"/>
        </w:rPr>
      </w:pPr>
      <w:r>
        <w:rPr>
          <w:rFonts w:hint="eastAsia" w:ascii="Times New Roman" w:hAnsi="Times New Roman" w:eastAsia="方正仿宋_GBK" w:cs="方正仿宋_GBK"/>
          <w:bCs/>
          <w:sz w:val="32"/>
        </w:rPr>
        <w:t>联系方式：023-48678817。</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t>—</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Y5ptYBAACyAwAADgAAAGRycy9lMm9Eb2MueG1srVPNjtMwEL4j8Q6W&#10;7zRpD6iKmq6AahESAqSFB3Adp7HkP3mmTcoDwBtw4sKd5+pzMHaS7rJc9sAlGY/H33zf5/HmZrCG&#10;nVQE7V3Nl4uSM+Wkb7Q71PzL59sXa84AhWuE8U7V/KyA32yfP9v0oVIr33nTqMgIxEHVh5p3iKEq&#10;CpCdsgIWPihHm62PViAt46FoougJ3ZpiVZYvi97HJkQvFQBld+MmnxDjUwB922qpdl4erXI4okZl&#10;BJIk6HQAvs1s21ZJ/Ni2oJCZmpNSzF9qQvE+fYvtRlSHKEKn5URBPIXCI01WaEdNr1A7gYIdo/4H&#10;ymoZPfgWF9LbYhSSHSEVy/KRN3edCCprIashXE2H/wcrP5w+RaYbmgTOnLB04Zcf3y8/f19+fWPL&#10;ZE8foKKqu0B1OLz2Qyqd8kDJpHpoo01/0sNon8w9X81VAzKZDq1X63VJW5L25gXhFPfHQwR8q7xl&#10;Kah5pNvLporTe8CxdC5J3Zy/1cZQXlTG/ZUgzJQpEveRY4pw2A8T8b1vzqSHngH16Xz8yllPQ1Bz&#10;RzPPmXnnyOM0L3MQ52A/B8JJOlhz5GwM32Ceq0QEwqsjErtMOrUe+02M6Cqz7Gns0qw8XOeq+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6rY5ptYBAACyAwAADgAAAAAAAAABACAAAAAe&#10;AQAAZHJzL2Uyb0RvYy54bWxQSwUGAAAAAAYABgBZAQAAZgUAAAAA&#10;">
              <v:fill on="f" focussize="0,0"/>
              <v:stroke on="f"/>
              <v:imagedata o:title=""/>
              <o:lock v:ext="edit" aspectratio="f"/>
              <v:textbox inset="0mm,0mm,0mm,0mm" style="mso-fit-shape-to-text:t;">
                <w:txbxContent>
                  <w:p>
                    <w:pPr>
                      <w:pStyle w:val="3"/>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1D"/>
    <w:rsid w:val="0000223B"/>
    <w:rsid w:val="00006FB1"/>
    <w:rsid w:val="0001271B"/>
    <w:rsid w:val="00023A4C"/>
    <w:rsid w:val="00042219"/>
    <w:rsid w:val="00047C7A"/>
    <w:rsid w:val="00053834"/>
    <w:rsid w:val="000551A4"/>
    <w:rsid w:val="000624D8"/>
    <w:rsid w:val="0007330D"/>
    <w:rsid w:val="00074317"/>
    <w:rsid w:val="00075914"/>
    <w:rsid w:val="0008570C"/>
    <w:rsid w:val="00091B93"/>
    <w:rsid w:val="00093301"/>
    <w:rsid w:val="00096685"/>
    <w:rsid w:val="000A60FC"/>
    <w:rsid w:val="000C594E"/>
    <w:rsid w:val="000D2E8F"/>
    <w:rsid w:val="000D6437"/>
    <w:rsid w:val="000F1499"/>
    <w:rsid w:val="000F5707"/>
    <w:rsid w:val="0010264D"/>
    <w:rsid w:val="00106A76"/>
    <w:rsid w:val="00125C07"/>
    <w:rsid w:val="001424B0"/>
    <w:rsid w:val="0014404E"/>
    <w:rsid w:val="001525DD"/>
    <w:rsid w:val="00161474"/>
    <w:rsid w:val="00165A74"/>
    <w:rsid w:val="00186100"/>
    <w:rsid w:val="00191ADC"/>
    <w:rsid w:val="001957F9"/>
    <w:rsid w:val="001C0A7C"/>
    <w:rsid w:val="001D0CAA"/>
    <w:rsid w:val="001D4937"/>
    <w:rsid w:val="001E1AED"/>
    <w:rsid w:val="001E31D9"/>
    <w:rsid w:val="00202E0A"/>
    <w:rsid w:val="002132E9"/>
    <w:rsid w:val="00213635"/>
    <w:rsid w:val="00216BF6"/>
    <w:rsid w:val="00226F1D"/>
    <w:rsid w:val="00230754"/>
    <w:rsid w:val="00242727"/>
    <w:rsid w:val="00246006"/>
    <w:rsid w:val="00246AA4"/>
    <w:rsid w:val="00252849"/>
    <w:rsid w:val="002605A5"/>
    <w:rsid w:val="0026529F"/>
    <w:rsid w:val="0027005A"/>
    <w:rsid w:val="002773F0"/>
    <w:rsid w:val="00280A93"/>
    <w:rsid w:val="00286440"/>
    <w:rsid w:val="002911AA"/>
    <w:rsid w:val="002959B6"/>
    <w:rsid w:val="002B41F1"/>
    <w:rsid w:val="002C4122"/>
    <w:rsid w:val="002D2A88"/>
    <w:rsid w:val="002E46A9"/>
    <w:rsid w:val="0030024E"/>
    <w:rsid w:val="003019D9"/>
    <w:rsid w:val="00341606"/>
    <w:rsid w:val="00346387"/>
    <w:rsid w:val="0034700C"/>
    <w:rsid w:val="00350F80"/>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17C8B"/>
    <w:rsid w:val="00430B72"/>
    <w:rsid w:val="00437D88"/>
    <w:rsid w:val="004417DC"/>
    <w:rsid w:val="0044204D"/>
    <w:rsid w:val="00445520"/>
    <w:rsid w:val="00460979"/>
    <w:rsid w:val="00462595"/>
    <w:rsid w:val="004756B4"/>
    <w:rsid w:val="0049017F"/>
    <w:rsid w:val="00492FB3"/>
    <w:rsid w:val="004B1650"/>
    <w:rsid w:val="004C42ED"/>
    <w:rsid w:val="004C60BD"/>
    <w:rsid w:val="004D1E02"/>
    <w:rsid w:val="004E082A"/>
    <w:rsid w:val="004E34FD"/>
    <w:rsid w:val="004E592A"/>
    <w:rsid w:val="004E6E1A"/>
    <w:rsid w:val="004F1853"/>
    <w:rsid w:val="004F7D1D"/>
    <w:rsid w:val="00500B1D"/>
    <w:rsid w:val="00506DF4"/>
    <w:rsid w:val="00507823"/>
    <w:rsid w:val="005174B9"/>
    <w:rsid w:val="00536713"/>
    <w:rsid w:val="00543257"/>
    <w:rsid w:val="00572736"/>
    <w:rsid w:val="0058350C"/>
    <w:rsid w:val="00595C24"/>
    <w:rsid w:val="005A1227"/>
    <w:rsid w:val="005A4606"/>
    <w:rsid w:val="005A4AD7"/>
    <w:rsid w:val="005B0F11"/>
    <w:rsid w:val="005D120C"/>
    <w:rsid w:val="005E18A6"/>
    <w:rsid w:val="005F1960"/>
    <w:rsid w:val="006115F1"/>
    <w:rsid w:val="00620BCE"/>
    <w:rsid w:val="0066585E"/>
    <w:rsid w:val="006740EB"/>
    <w:rsid w:val="006809FA"/>
    <w:rsid w:val="006C01C3"/>
    <w:rsid w:val="006C24D3"/>
    <w:rsid w:val="006D0C33"/>
    <w:rsid w:val="006D1609"/>
    <w:rsid w:val="006E0BEC"/>
    <w:rsid w:val="006E455F"/>
    <w:rsid w:val="006F043E"/>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458DC"/>
    <w:rsid w:val="0085394A"/>
    <w:rsid w:val="008560C6"/>
    <w:rsid w:val="00876439"/>
    <w:rsid w:val="00880920"/>
    <w:rsid w:val="00893BF5"/>
    <w:rsid w:val="008A13B7"/>
    <w:rsid w:val="008A622D"/>
    <w:rsid w:val="008C395F"/>
    <w:rsid w:val="008D2570"/>
    <w:rsid w:val="008E3C27"/>
    <w:rsid w:val="008E5A19"/>
    <w:rsid w:val="008E7590"/>
    <w:rsid w:val="008F1CA6"/>
    <w:rsid w:val="008F599D"/>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4AD2"/>
    <w:rsid w:val="00A05F72"/>
    <w:rsid w:val="00A07288"/>
    <w:rsid w:val="00A15ABA"/>
    <w:rsid w:val="00A174AB"/>
    <w:rsid w:val="00A21DCD"/>
    <w:rsid w:val="00A33F5E"/>
    <w:rsid w:val="00A35F07"/>
    <w:rsid w:val="00A45A23"/>
    <w:rsid w:val="00A52D34"/>
    <w:rsid w:val="00A64A71"/>
    <w:rsid w:val="00A712EA"/>
    <w:rsid w:val="00A8020D"/>
    <w:rsid w:val="00A802E9"/>
    <w:rsid w:val="00A80B6C"/>
    <w:rsid w:val="00AA324B"/>
    <w:rsid w:val="00AB25DF"/>
    <w:rsid w:val="00AC6F85"/>
    <w:rsid w:val="00AE0A20"/>
    <w:rsid w:val="00AE4156"/>
    <w:rsid w:val="00B01225"/>
    <w:rsid w:val="00B1352B"/>
    <w:rsid w:val="00B24FA7"/>
    <w:rsid w:val="00B257E3"/>
    <w:rsid w:val="00B35384"/>
    <w:rsid w:val="00B54CE7"/>
    <w:rsid w:val="00B558CC"/>
    <w:rsid w:val="00B63DCF"/>
    <w:rsid w:val="00B65450"/>
    <w:rsid w:val="00B72347"/>
    <w:rsid w:val="00B86388"/>
    <w:rsid w:val="00B91A35"/>
    <w:rsid w:val="00BB3B39"/>
    <w:rsid w:val="00BC2C3D"/>
    <w:rsid w:val="00BD0BB9"/>
    <w:rsid w:val="00BD5FA5"/>
    <w:rsid w:val="00BE3479"/>
    <w:rsid w:val="00BE572E"/>
    <w:rsid w:val="00BE573E"/>
    <w:rsid w:val="00BF67E7"/>
    <w:rsid w:val="00C2696C"/>
    <w:rsid w:val="00C427D3"/>
    <w:rsid w:val="00C47446"/>
    <w:rsid w:val="00C5758E"/>
    <w:rsid w:val="00C601F9"/>
    <w:rsid w:val="00C7602D"/>
    <w:rsid w:val="00C827DC"/>
    <w:rsid w:val="00C95346"/>
    <w:rsid w:val="00C97F70"/>
    <w:rsid w:val="00CA4340"/>
    <w:rsid w:val="00CB0296"/>
    <w:rsid w:val="00CC4A96"/>
    <w:rsid w:val="00CD1C4A"/>
    <w:rsid w:val="00CD2B20"/>
    <w:rsid w:val="00CE1014"/>
    <w:rsid w:val="00CF42ED"/>
    <w:rsid w:val="00D0143D"/>
    <w:rsid w:val="00D10AB7"/>
    <w:rsid w:val="00D160DD"/>
    <w:rsid w:val="00D21CDE"/>
    <w:rsid w:val="00D40ADE"/>
    <w:rsid w:val="00D411DD"/>
    <w:rsid w:val="00D46486"/>
    <w:rsid w:val="00D4665A"/>
    <w:rsid w:val="00D64C2C"/>
    <w:rsid w:val="00D66063"/>
    <w:rsid w:val="00D77D37"/>
    <w:rsid w:val="00D80BC2"/>
    <w:rsid w:val="00D8620E"/>
    <w:rsid w:val="00DA4844"/>
    <w:rsid w:val="00DA7788"/>
    <w:rsid w:val="00DA7FE6"/>
    <w:rsid w:val="00DB0EC5"/>
    <w:rsid w:val="00DB4539"/>
    <w:rsid w:val="00DC45BF"/>
    <w:rsid w:val="00DE3685"/>
    <w:rsid w:val="00DE5805"/>
    <w:rsid w:val="00E00D68"/>
    <w:rsid w:val="00E01CEB"/>
    <w:rsid w:val="00E11FB2"/>
    <w:rsid w:val="00E275D0"/>
    <w:rsid w:val="00E405D0"/>
    <w:rsid w:val="00E40ED1"/>
    <w:rsid w:val="00E4747D"/>
    <w:rsid w:val="00E712B9"/>
    <w:rsid w:val="00E90FE1"/>
    <w:rsid w:val="00E96899"/>
    <w:rsid w:val="00EC09E7"/>
    <w:rsid w:val="00ED74F6"/>
    <w:rsid w:val="00EE21B6"/>
    <w:rsid w:val="00EF1B14"/>
    <w:rsid w:val="00EF782E"/>
    <w:rsid w:val="00EF7D6B"/>
    <w:rsid w:val="00F11A07"/>
    <w:rsid w:val="00F258CE"/>
    <w:rsid w:val="00F605C0"/>
    <w:rsid w:val="00F60C0F"/>
    <w:rsid w:val="00F66710"/>
    <w:rsid w:val="00F84112"/>
    <w:rsid w:val="00F86A3C"/>
    <w:rsid w:val="00F90464"/>
    <w:rsid w:val="00F9492F"/>
    <w:rsid w:val="00FB0F72"/>
    <w:rsid w:val="00FB23E6"/>
    <w:rsid w:val="00FC2169"/>
    <w:rsid w:val="00FC2267"/>
    <w:rsid w:val="00FE12C3"/>
    <w:rsid w:val="00FE28C5"/>
    <w:rsid w:val="03BE06E9"/>
    <w:rsid w:val="03C279D9"/>
    <w:rsid w:val="12C60834"/>
    <w:rsid w:val="136479B6"/>
    <w:rsid w:val="1729409D"/>
    <w:rsid w:val="18CC21E2"/>
    <w:rsid w:val="19D75DEA"/>
    <w:rsid w:val="1EE74E77"/>
    <w:rsid w:val="29067D05"/>
    <w:rsid w:val="358A68A2"/>
    <w:rsid w:val="3B4D2873"/>
    <w:rsid w:val="3BC5739B"/>
    <w:rsid w:val="421C7239"/>
    <w:rsid w:val="48310C7F"/>
    <w:rsid w:val="4B1735E2"/>
    <w:rsid w:val="4CDE4EB5"/>
    <w:rsid w:val="51281453"/>
    <w:rsid w:val="534E12E6"/>
    <w:rsid w:val="63477795"/>
    <w:rsid w:val="66796353"/>
    <w:rsid w:val="73AE7B06"/>
    <w:rsid w:val="7556416A"/>
    <w:rsid w:val="775A25F8"/>
    <w:rsid w:val="78B104FE"/>
    <w:rsid w:val="7ACB6B93"/>
    <w:rsid w:val="7BC6063D"/>
    <w:rsid w:val="7BC97BEE"/>
    <w:rsid w:val="7E4C2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脚 Char"/>
    <w:link w:val="3"/>
    <w:qFormat/>
    <w:uiPriority w:val="0"/>
    <w:rPr>
      <w:kern w:val="2"/>
      <w:sz w:val="18"/>
      <w:szCs w:val="18"/>
    </w:rPr>
  </w:style>
  <w:style w:type="character" w:customStyle="1" w:styleId="9">
    <w:name w:val="页眉 Char"/>
    <w:link w:val="4"/>
    <w:qFormat/>
    <w:uiPriority w:val="0"/>
    <w:rPr>
      <w:kern w:val="2"/>
      <w:sz w:val="18"/>
      <w:szCs w:val="18"/>
    </w:rPr>
  </w:style>
  <w:style w:type="character" w:customStyle="1" w:styleId="10">
    <w:name w:val="批注框文本 Char"/>
    <w:link w:val="2"/>
    <w:qFormat/>
    <w:uiPriority w:val="0"/>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243</Words>
  <Characters>1389</Characters>
  <Lines>11</Lines>
  <Paragraphs>3</Paragraphs>
  <TotalTime>3</TotalTime>
  <ScaleCrop>false</ScaleCrop>
  <LinksUpToDate>false</LinksUpToDate>
  <CharactersWithSpaces>1629</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RL</cp:lastModifiedBy>
  <cp:lastPrinted>2021-02-01T09:10:00Z</cp:lastPrinted>
  <dcterms:modified xsi:type="dcterms:W3CDTF">2024-03-11T02:39:23Z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ICV">
    <vt:lpwstr>C1082805ED604779A4D2DBF3A58016B2</vt:lpwstr>
  </property>
</Properties>
</file>