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重庆市綦江区打通镇人民政府（本级）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textAlignment w:val="auto"/>
        <w:rPr>
          <w:rFonts w:hint="eastAsia" w:ascii="方正黑体_GBK" w:hAnsi="方正黑体_GBK" w:eastAsia="方正黑体_GBK" w:cs="方正黑体_GBK"/>
          <w:sz w:val="32"/>
          <w:szCs w:val="32"/>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val="en-US"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jc w:val="both"/>
        <w:textAlignment w:val="auto"/>
        <w:rPr>
          <w:rFonts w:eastAsia="方正仿宋_GBK" w:cs="方正仿宋_GBK"/>
          <w:sz w:val="32"/>
          <w:szCs w:val="32"/>
        </w:rPr>
      </w:pPr>
      <w:r>
        <w:rPr>
          <w:rFonts w:hint="default" w:ascii="Times New Roman" w:hAnsi="Times New Roman" w:eastAsia="方正仿宋_GBK" w:cs="Times New Roman"/>
          <w:color w:val="auto"/>
          <w:sz w:val="32"/>
          <w:szCs w:val="32"/>
          <w:lang w:eastAsia="zh-CN"/>
        </w:rPr>
        <w:t>根据《中共重庆市綦江区委机构编制委员会关于印发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重庆市綦江区打通镇内设机构和事业单位机构编制方案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lang w:val="en-US" w:eastAsia="zh-CN"/>
        </w:rPr>
        <w:t>（綦委编〔2024〕54号）</w:t>
      </w:r>
      <w:r>
        <w:rPr>
          <w:rFonts w:hint="default" w:ascii="Times New Roman" w:hAnsi="Times New Roman" w:eastAsia="方正仿宋_GBK" w:cs="Times New Roman"/>
          <w:color w:val="auto"/>
          <w:sz w:val="32"/>
          <w:szCs w:val="32"/>
          <w:lang w:eastAsia="zh-CN"/>
        </w:rPr>
        <w:t>文件</w:t>
      </w:r>
      <w:r>
        <w:rPr>
          <w:rFonts w:hint="eastAsia" w:eastAsia="方正仿宋_GBK" w:cs="方正仿宋_GBK"/>
          <w:sz w:val="32"/>
          <w:szCs w:val="32"/>
        </w:rPr>
        <w:t>精神，我镇内设</w:t>
      </w:r>
      <w:r>
        <w:rPr>
          <w:rFonts w:hint="eastAsia" w:eastAsia="方正仿宋_GBK" w:cs="方正仿宋_GBK"/>
          <w:sz w:val="32"/>
          <w:szCs w:val="32"/>
          <w:lang w:val="en-US" w:eastAsia="zh-CN"/>
        </w:rPr>
        <w:t>“一中心四板块”</w:t>
      </w:r>
      <w:r>
        <w:rPr>
          <w:rFonts w:hint="eastAsia" w:eastAsia="方正仿宋_GBK" w:cs="方正仿宋_GBK"/>
          <w:sz w:val="32"/>
          <w:szCs w:val="32"/>
        </w:rPr>
        <w:t>，分别为：</w:t>
      </w:r>
    </w:p>
    <w:p>
      <w:pPr>
        <w:keepNext w:val="0"/>
        <w:keepLines w:val="0"/>
        <w:pageBreakBefore w:val="0"/>
        <w:kinsoku/>
        <w:wordWrap/>
        <w:overflowPunct/>
        <w:topLinePunct w:val="0"/>
        <w:autoSpaceDN/>
        <w:bidi w:val="0"/>
        <w:adjustRightInd/>
        <w:spacing w:line="576" w:lineRule="exact"/>
        <w:ind w:left="0" w:leftChars="0" w:right="0" w:rightChars="0" w:firstLine="640" w:firstLineChars="200"/>
        <w:textAlignment w:val="auto"/>
        <w:rPr>
          <w:rFonts w:hint="eastAsia" w:eastAsia="方正仿宋_GBK" w:cs="方正仿宋_GBK"/>
          <w:sz w:val="32"/>
          <w:szCs w:val="32"/>
        </w:rPr>
      </w:pPr>
      <w:r>
        <w:rPr>
          <w:rFonts w:hint="eastAsia" w:eastAsia="方正仿宋_GBK" w:cs="方正仿宋_GBK"/>
          <w:b/>
          <w:bCs/>
          <w:sz w:val="32"/>
          <w:szCs w:val="32"/>
          <w:lang w:val="en-US" w:eastAsia="zh-CN"/>
        </w:rPr>
        <w:t>1.</w:t>
      </w:r>
      <w:r>
        <w:rPr>
          <w:rFonts w:hint="eastAsia" w:eastAsia="方正仿宋_GBK" w:cs="方正仿宋_GBK"/>
          <w:b/>
          <w:bCs/>
          <w:sz w:val="32"/>
          <w:szCs w:val="32"/>
        </w:rPr>
        <w:t>基层治理指挥中心。</w:t>
      </w:r>
      <w:r>
        <w:rPr>
          <w:rFonts w:hint="eastAsia" w:eastAsia="方正仿宋_GBK" w:cs="方正仿宋_GBK"/>
          <w:sz w:val="32"/>
          <w:szCs w:val="32"/>
        </w:rPr>
        <w:t>主要负责承担基层治理指挥中心的日常运行和指挥调度相关工作。负责重要事项综合协调，承担政府信息公开、机要、保密、档案、公文、会务等工作；督促检查各项决议和领导指示的贯彻落实。负责一体化治理智治平台的日常维护、运行监测、分析研判、协同流转、应急指挥、督查考核等工作，做好同城市运行和治理中心及业务平台的对接，对村（社区）和网格员使用平台进行相关业务培训和答疑等工作。负责承担综合性事务、机关接待、后勤保障、党务政务值班值守、工会等工作。</w:t>
      </w:r>
    </w:p>
    <w:p>
      <w:pPr>
        <w:keepNext w:val="0"/>
        <w:keepLines w:val="0"/>
        <w:pageBreakBefore w:val="0"/>
        <w:kinsoku/>
        <w:wordWrap/>
        <w:overflowPunct/>
        <w:topLinePunct w:val="0"/>
        <w:autoSpaceDN/>
        <w:bidi w:val="0"/>
        <w:adjustRightInd/>
        <w:spacing w:line="576" w:lineRule="exact"/>
        <w:ind w:left="0" w:leftChars="0" w:right="0" w:rightChars="0" w:firstLine="640" w:firstLineChars="200"/>
        <w:textAlignment w:val="auto"/>
        <w:rPr>
          <w:rFonts w:eastAsia="方正仿宋_GBK" w:cs="方正仿宋_GBK"/>
          <w:sz w:val="32"/>
          <w:szCs w:val="32"/>
        </w:rPr>
      </w:pPr>
      <w:r>
        <w:rPr>
          <w:rFonts w:hint="eastAsia" w:eastAsia="方正仿宋_GBK" w:cs="方正仿宋_GBK"/>
          <w:b/>
          <w:bCs/>
          <w:sz w:val="32"/>
          <w:szCs w:val="32"/>
        </w:rPr>
        <w:t>2.党的建设</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基层党组织建设；指导开展党建工作，承担区党代会代表联络服务工作，党组织换届选举，党员发展、教育培训、管理和重大事项请示报告，驻镇驻村干部管理等工作。负责党建带群建，开展工会、团委、妇联等工作。负责村级干部队伍和网格员培养管理、招录考察、评价考核、日常监督等工作。负责党建引领基层治理，推进基层民主政治建设；负责推动“两企三新”党建工作，推动行业协会商会党建和群团组织工作；负责社会工作人才队伍建设，推动志愿服务项目的规划设计、组织实施等工作。负责机关、事业单位及其工作人员工作目标的制定、考核和奖惩工作；负责机关干部的教育、培养、考核和监督；负责机构编制、干部人事等工作。负责辖区内人大代表、政协委员联络服务工作，组织本辖区人大代表、政协委员开展各项活动，负责协助征求、收集、整理、答复人大代表建议和政委委员提案。负责纪检监察日常工作，处置权限范围内党组织、党员和干部有关党的纪律的宣传教育及违反党纪政纪、有关法律法规的信访举报和问题线索等，落实全面从严治党要求。负责承担意识形态、宣传、网格安全与信息化和新时代文明实践和精神文明建设事务性工作；负责统一战线工作，团结、组织党内外干部和群众，做好民主党派、党外知识分子、民族宗教、新的社会阶层人士、港澳台侨、商会服务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方正仿宋_GBK" w:cs="方正仿宋_GBK"/>
          <w:sz w:val="32"/>
          <w:szCs w:val="32"/>
        </w:rPr>
      </w:pPr>
      <w:r>
        <w:rPr>
          <w:rFonts w:hint="eastAsia" w:eastAsia="方正仿宋_GBK" w:cs="方正仿宋_GBK"/>
          <w:b/>
          <w:bCs/>
          <w:sz w:val="32"/>
          <w:szCs w:val="32"/>
        </w:rPr>
        <w:t>3.经济发展</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经济发展规划，宣传贯彻农业、工贸、农村经营管理及其法律法规；指导企业管理、生产、经营、技术改造和职工业务培训；承担科技推广与普及工作。负责各类经济社会发展指标统计，指导企业升规纳统，搜集、整理、分析、提供和管理基本统计资料，建立综合统计台账；牵头公平竞争环境建设，做好企业服务工作，做好防范和处置非法集资宣传教育、监测预警、大数据管理和节能监督管理工作；组织开展统计法制宣传和科普宣传；承担国民经济核算、城乡居民人均收入调查、国家各项大型普查、各类抽样调查。负责村镇规划建设，协助违建整治工作；承担建筑施工安全、房屋安全工作；服务辖区内重点项目建设；承担辖区内廉租住房的申报受理工作；承担辖区防空防灾一体化建设工作；负责公路建设、隐患治理、养护管理等工作。负责协调规划和自然资源管理有关工作，组织编制村镇规划和规划实施的监督检查；开展地灾防治，落实耕地保护目标任务，承担辖区内违法建筑的发现、制止、报告、处置、卫片图斑整改等工作。负责生态环境保护、城乡环境整治，承担生态文明、环境保护等相关法律法规宣传教育等工作。负责财政收支、预决算、总会计、惠农资金兑付、财政资金监督检查、绩效评价、村级财务及内部审计等工作。负责农村经营和农村集体资产管理，承担农机、农产品质量、农村清洁能源（沼气、太阳能）、渔业船舶、气象等方面的事务性工作；承担农村经营管理、重大技术推广、信息服务、资源环境保护、灾害防治等方面的事务性工作；承担农村土地承包管理、农村宅基地审批、农民负担监督等方面的事务性工作；协助开展惠农资金补贴工作；负责统筹乡村振兴、衔接资金项目、发展壮大农村集体经济工作；承担巩固脱贫攻坚成果与乡村振兴有效衔接等工作；负责农村人居环境整治工作。负责市政设施、市容环卫等方面管理服务相关工作；定期巡查背街小巷的清洁卫生情况；管理维护城市相关基础设施；协助市容市貌整治工作。负责河长制工作，水利政策法规宣传，河道巡查管理、河道违法图斑整改；负责防汛抗旱、山坪塘建设及安全管理，农村饮水，水资源节约和保护工作；负责水库移民后续扶持和工程项目管理等工作。负责林长制工作、森林资源管理与保护（林地违法日常巡查、林业违法图斑整改）、天然林管护、国地绿化、林业科技推广等工作，林木林地权属争议处理、林业用地、林木砍伐审批，林权制度改革相关工作；森林防火巡查、防火卡点管理，松材线虫除治等病虫害管理工作。负责畜牧发展、防疫检疫、动物疫病防控等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eastAsia="方正仿宋_GBK" w:cs="方正仿宋_GBK"/>
          <w:sz w:val="32"/>
          <w:szCs w:val="32"/>
        </w:rPr>
      </w:pPr>
      <w:r>
        <w:rPr>
          <w:rFonts w:hint="eastAsia" w:eastAsia="方正仿宋_GBK" w:cs="方正仿宋_GBK"/>
          <w:b/>
          <w:bCs/>
          <w:sz w:val="32"/>
          <w:szCs w:val="32"/>
        </w:rPr>
        <w:t>4.民生服务</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民政事务管理，宣传贯彻社会事务相关法律法规。负责低保申请、特困救助、高龄失能老人、临时救助、孤儿、事实无人抚养儿童、流浪乞讨人员、残疾人等群体的管理和服务。负责承担劳动就业服务和管理工作，宣传贯彻落实劳动就业等相关法律法规；承担农村劳务综合开发、管理工作；协助开展劳动监察执法、劳动争议调解等劳动权益保障服务工作；指导村（社区）开展劳动就业工作；负责公益性岗位招录和管理等。负责承担社会保障、城乡医保、退休人员社会化服务和管理等工作；宣传贯彻落实社会保障等相关法律法规；承担城乡医保、城乡养老保险和养老金增发等工作；指导村（社区）开展退休人员社会化管理服务工作。负责开展文化、体育、广播电视、旅游等方面服务工作；负责文化宣传、交流、文艺活动组织实施；承担农家书屋（图书室）及协助农体工程监督管理工作，协助监督管理辖区文化市场；指导辖区开展教育管理工作。负责爱国卫生、药具管理、医患信访调解、生育关怀、计生协会、老年人协会等工作。负责便民服务中心、政务服务中心窗口和平台建设以及内部统筹协调，承担退役军人相关管理服务工作。负责婚姻登记；公交卡年审、充值；林木采伐许可；指纹认证；优待证办理；社保卡办理、补换；创业担保贷款办理；残疾证办理；孤儿审核申报，完成领导交办的其他工作。</w:t>
      </w:r>
      <w:r>
        <w:rPr>
          <w:rFonts w:hint="eastAsia" w:eastAsia="方正仿宋_GBK" w:cs="方正仿宋_GBK"/>
          <w:sz w:val="32"/>
          <w:szCs w:val="32"/>
        </w:rPr>
        <w:br w:type="textWrapping"/>
      </w:r>
      <w:r>
        <w:rPr>
          <w:rFonts w:hint="eastAsia" w:eastAsia="方正仿宋_GBK" w:cs="方正仿宋_GBK"/>
          <w:b/>
          <w:bCs/>
          <w:sz w:val="32"/>
          <w:szCs w:val="32"/>
        </w:rPr>
        <w:t xml:space="preserve">    5.平安法治</w:t>
      </w:r>
      <w:r>
        <w:rPr>
          <w:rFonts w:hint="eastAsia" w:eastAsia="方正仿宋_GBK" w:cs="方正仿宋_GBK"/>
          <w:b/>
          <w:bCs/>
          <w:sz w:val="32"/>
          <w:szCs w:val="32"/>
          <w:lang w:val="en-US" w:eastAsia="zh-CN"/>
        </w:rPr>
        <w:t>板块</w:t>
      </w:r>
      <w:r>
        <w:rPr>
          <w:rFonts w:hint="eastAsia" w:eastAsia="方正仿宋_GBK" w:cs="方正仿宋_GBK"/>
          <w:b/>
          <w:bCs/>
          <w:sz w:val="32"/>
          <w:szCs w:val="32"/>
        </w:rPr>
        <w:t>。</w:t>
      </w:r>
      <w:r>
        <w:rPr>
          <w:rFonts w:hint="eastAsia" w:eastAsia="方正仿宋_GBK" w:cs="方正仿宋_GBK"/>
          <w:sz w:val="32"/>
          <w:szCs w:val="32"/>
        </w:rPr>
        <w:t>主要负责社会治安综合治理、防范和处理邪教等工作；宣传贯彻执行中央、市、区关于政法、社会治安综合治理、社会稳定、信访等方面的法律政策；承担矛盾纠纷排查及人民调解工作；承担重点地区整治、铁路护路、视频监控等工作；承担禁毒、禁种铲毒工作；承担扫黑除恶专项工作。负责收集、排查辖区内信访稳定因素；统筹接访劝返维稳、信访积案稳控化解和信访稳定事项调度工作。负责安全生产综合监管、应急管理、消防管理等工作；宣传贯彻执行安全生产方面的法律政策，落实安全生产各项措施；承担公共应急事件、救灾抢险等方面处置工作。负责集中行使依法授权或委托的城市管理、农林水利、规划建设、卫生健康、生态环境保护、文化旅游、交通、民政管理等领域的行政执法权；配合区级部门及派驻机构开展其他领域的联合执法。负责武装工作，做好民兵训练和应急队伍组建、培训、管理等。负责食药品安全监管、产品质量安全监管、特种设备安全监管、消费者权益保护、食品生产加工小作坊、食品摊贩、家庭集体宴席服务活动经营者的监督管理、食品安全隐患排查、信息报告和查处传销行为等。负责行政执法协调工作；指导监督行政复议应诉工作、政府法律顾问、普法宣传、法治文化建设，以及基层法律服务所，镇街和村居（社区）公共法律服务工作站（室）、村居（社区）法律顾问、社区法律之家工作；组织开展普法与依法治理工作；指导管理人民调解工作，参与调处重大疑难复杂纠纷；承担社区矫正相关工作；协调相关部门、镇街开展刑满释放人员安置帮教工作；统筹提供基层公共法律服务、法律咨询服务。负责公安行政管理活动、社会治安防范、交通秩序维护，预防、制止违法犯罪活动，接受、处理群众求助，依法化解矛盾纠纷等。</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jc w:val="both"/>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pPr>
        <w:pStyle w:val="20"/>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仿宋_GB2312"/>
          <w:sz w:val="32"/>
        </w:rPr>
      </w:pPr>
      <w:r>
        <w:rPr>
          <w:rFonts w:hint="eastAsia" w:ascii="Times New Roman" w:hAnsi="Times New Roman" w:eastAsia="方正仿宋_GBK" w:cs="方正仿宋_GBK"/>
          <w:sz w:val="32"/>
        </w:rPr>
        <w:t>重庆市綦江区打通镇人民政府</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lang w:val="en-US" w:eastAsia="zh-CN"/>
        </w:rPr>
        <w:t>本级</w:t>
      </w:r>
      <w:r>
        <w:rPr>
          <w:rFonts w:hint="eastAsia" w:ascii="Times New Roman" w:hAnsi="Times New Roman" w:eastAsia="方正仿宋_GBK" w:cs="方正仿宋_GBK"/>
          <w:sz w:val="32"/>
          <w:lang w:eastAsia="zh-CN"/>
        </w:rPr>
        <w:t>），</w:t>
      </w:r>
      <w:r>
        <w:rPr>
          <w:rFonts w:hint="eastAsia" w:ascii="Times New Roman" w:hAnsi="Times New Roman" w:eastAsia="方正仿宋_GBK"/>
          <w:sz w:val="32"/>
          <w:szCs w:val="32"/>
          <w:lang w:eastAsia="zh-CN"/>
        </w:rPr>
        <w:t>为</w:t>
      </w:r>
      <w:r>
        <w:rPr>
          <w:rFonts w:hint="eastAsia" w:ascii="Times New Roman" w:hAnsi="Times New Roman" w:eastAsia="方正仿宋_GBK" w:cs="仿宋_GB2312"/>
          <w:sz w:val="32"/>
        </w:rPr>
        <w:t>二级预算单位，</w:t>
      </w:r>
      <w:r>
        <w:rPr>
          <w:rFonts w:hint="eastAsia" w:ascii="Times New Roman" w:hAnsi="Times New Roman" w:eastAsia="仿宋_GB2312" w:cs="仿宋_GB2312"/>
          <w:sz w:val="32"/>
        </w:rPr>
        <w:t>为</w:t>
      </w:r>
      <w:r>
        <w:rPr>
          <w:rFonts w:hint="eastAsia" w:ascii="Times New Roman" w:hAnsi="Times New Roman" w:eastAsia="方正仿宋_GBK" w:cs="方正仿宋_GBK"/>
          <w:sz w:val="32"/>
        </w:rPr>
        <w:t>重庆市綦江区打通镇人民政府</w:t>
      </w:r>
      <w:r>
        <w:rPr>
          <w:rFonts w:hint="eastAsia" w:ascii="Times New Roman" w:hAnsi="Times New Roman" w:eastAsia="仿宋_GB2312" w:cs="仿宋_GB2312"/>
          <w:sz w:val="32"/>
        </w:rPr>
        <w:t>下属单位</w:t>
      </w:r>
      <w:r>
        <w:rPr>
          <w:rFonts w:hint="eastAsia" w:ascii="Times New Roman" w:hAnsi="Times New Roman" w:eastAsia="仿宋_GB2312" w:cs="仿宋_GB2312"/>
          <w:sz w:val="32"/>
          <w:lang w:val="en-US" w:eastAsia="zh-CN"/>
        </w:rPr>
        <w:t>。单位机构设置如下</w:t>
      </w:r>
      <w:r>
        <w:rPr>
          <w:rFonts w:hint="eastAsia" w:ascii="Times New Roman" w:hAnsi="Times New Roman" w:eastAsia="仿宋_GB2312" w:cs="仿宋_GB2312"/>
          <w:sz w:val="32"/>
        </w:rPr>
        <w:t>：</w:t>
      </w:r>
    </w:p>
    <w:p>
      <w:pPr>
        <w:pStyle w:val="20"/>
        <w:keepNext w:val="0"/>
        <w:keepLines w:val="0"/>
        <w:pageBreakBefore w:val="0"/>
        <w:widowControl w:val="0"/>
        <w:numPr>
          <w:ilvl w:val="0"/>
          <w:numId w:val="1"/>
        </w:numPr>
        <w:tabs>
          <w:tab w:val="center" w:pos="4153"/>
          <w:tab w:val="left" w:pos="7275"/>
        </w:tabs>
        <w:kinsoku/>
        <w:wordWrap/>
        <w:overflowPunct/>
        <w:topLinePunct w:val="0"/>
        <w:autoSpaceDN/>
        <w:bidi w:val="0"/>
        <w:adjustRightInd/>
        <w:spacing w:beforeAutospacing="0" w:afterAutospacing="0" w:line="576" w:lineRule="exact"/>
        <w:ind w:left="0" w:leftChars="0" w:right="0" w:rightChars="0" w:firstLine="640" w:firstLineChars="200"/>
        <w:jc w:val="both"/>
        <w:textAlignment w:val="auto"/>
        <w:rPr>
          <w:rFonts w:hint="eastAsia" w:ascii="Times New Roman" w:hAnsi="Times New Roman" w:eastAsia="方正仿宋_GBK"/>
          <w:sz w:val="32"/>
          <w:szCs w:val="32"/>
          <w:lang w:val="en-US" w:eastAsia="zh-CN"/>
        </w:rPr>
      </w:pPr>
      <w:r>
        <w:rPr>
          <w:rFonts w:ascii="Times New Roman" w:hAnsi="Times New Roman" w:eastAsia="方正楷体_GBK"/>
          <w:sz w:val="32"/>
          <w:szCs w:val="32"/>
        </w:rPr>
        <w:t>综合办事机构</w:t>
      </w:r>
      <w:r>
        <w:rPr>
          <w:rFonts w:hint="eastAsia" w:ascii="Times New Roman" w:hAnsi="Times New Roman" w:eastAsia="方正楷体_GBK"/>
          <w:sz w:val="32"/>
          <w:szCs w:val="32"/>
          <w:lang w:eastAsia="zh-CN"/>
        </w:rPr>
        <w:t>（</w:t>
      </w:r>
      <w:r>
        <w:rPr>
          <w:rFonts w:hint="eastAsia" w:ascii="Times New Roman" w:hAnsi="Times New Roman" w:eastAsia="方正仿宋_GBK" w:cs="方正仿宋_GBK"/>
          <w:sz w:val="32"/>
        </w:rPr>
        <w:t>重庆市綦江区打通镇人民政府机关</w:t>
      </w:r>
      <w:r>
        <w:rPr>
          <w:rFonts w:hint="eastAsia" w:ascii="Times New Roman" w:hAnsi="Times New Roman" w:eastAsia="方正仿宋_GBK" w:cs="方正仿宋_GBK"/>
          <w:sz w:val="32"/>
          <w:lang w:val="en-US" w:eastAsia="zh-CN"/>
        </w:rPr>
        <w:t>本级</w:t>
      </w:r>
      <w:r>
        <w:rPr>
          <w:rFonts w:hint="eastAsia" w:ascii="Times New Roman" w:hAnsi="Times New Roman" w:eastAsia="方正楷体_GBK"/>
          <w:sz w:val="32"/>
          <w:szCs w:val="32"/>
          <w:lang w:eastAsia="zh-CN"/>
        </w:rPr>
        <w:t>）</w:t>
      </w:r>
      <w:r>
        <w:rPr>
          <w:rFonts w:hint="eastAsia" w:ascii="Times New Roman" w:hAnsi="Times New Roman" w:eastAsia="方正楷体_GBK"/>
          <w:sz w:val="32"/>
          <w:szCs w:val="32"/>
        </w:rPr>
        <w:t>：</w:t>
      </w:r>
      <w:r>
        <w:rPr>
          <w:rFonts w:hint="eastAsia" w:ascii="Times New Roman" w:hAnsi="Times New Roman" w:eastAsia="方正仿宋_GBK"/>
          <w:sz w:val="32"/>
          <w:szCs w:val="32"/>
          <w:lang w:eastAsia="zh-CN"/>
        </w:rPr>
        <w:t>含</w:t>
      </w:r>
      <w:r>
        <w:rPr>
          <w:rFonts w:hint="eastAsia" w:ascii="Times New Roman" w:hAnsi="Times New Roman" w:eastAsia="方正仿宋_GBK"/>
          <w:sz w:val="32"/>
          <w:szCs w:val="32"/>
        </w:rPr>
        <w:t>基层治理指挥中心</w:t>
      </w:r>
      <w:r>
        <w:rPr>
          <w:rFonts w:ascii="Times New Roman" w:hAnsi="Times New Roman" w:eastAsia="方正仿宋_GBK"/>
          <w:sz w:val="32"/>
          <w:szCs w:val="32"/>
        </w:rPr>
        <w:t>、</w:t>
      </w:r>
      <w:r>
        <w:rPr>
          <w:rFonts w:hint="eastAsia" w:ascii="Times New Roman" w:hAnsi="Times New Roman" w:eastAsia="方正仿宋_GBK"/>
          <w:sz w:val="32"/>
          <w:szCs w:val="32"/>
        </w:rPr>
        <w:t>党的建设</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、经济发展</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、民生服务</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、平安法治</w:t>
      </w:r>
      <w:r>
        <w:rPr>
          <w:rFonts w:hint="eastAsia" w:ascii="Times New Roman" w:hAnsi="Times New Roman" w:eastAsia="方正仿宋_GBK"/>
          <w:sz w:val="32"/>
          <w:szCs w:val="32"/>
          <w:lang w:val="en-US" w:eastAsia="zh-CN"/>
        </w:rPr>
        <w:t>板块</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 xml:space="preserve">  </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sz w:val="32"/>
          <w:szCs w:val="32"/>
          <w:lang w:val="en-US" w:eastAsia="zh-CN"/>
        </w:rPr>
        <w:t>2、</w:t>
      </w:r>
      <w:r>
        <w:rPr>
          <w:rFonts w:ascii="Times New Roman" w:hAnsi="Times New Roman" w:eastAsia="方正楷体_GBK"/>
          <w:sz w:val="32"/>
          <w:szCs w:val="32"/>
        </w:rPr>
        <w:t>事业单位</w:t>
      </w:r>
      <w:r>
        <w:rPr>
          <w:rFonts w:hint="eastAsia" w:ascii="Times New Roman" w:hAnsi="Times New Roman" w:eastAsia="方正楷体_GBK"/>
          <w:sz w:val="32"/>
          <w:szCs w:val="32"/>
        </w:rPr>
        <w:t>：</w:t>
      </w:r>
      <w:r>
        <w:rPr>
          <w:rFonts w:hint="eastAsia" w:ascii="Times New Roman" w:hAnsi="Times New Roman" w:eastAsia="方正仿宋_GBK" w:cs="方正仿宋_GBK"/>
          <w:sz w:val="32"/>
        </w:rPr>
        <w:t>重庆市綦江区打通镇</w:t>
      </w:r>
      <w:r>
        <w:rPr>
          <w:rFonts w:hint="eastAsia" w:ascii="Times New Roman" w:hAnsi="Times New Roman" w:eastAsia="方正仿宋_GBK" w:cs="方正仿宋_GBK"/>
          <w:sz w:val="32"/>
          <w:lang w:val="en-US" w:eastAsia="zh-CN"/>
        </w:rPr>
        <w:t>产业</w:t>
      </w:r>
      <w:r>
        <w:rPr>
          <w:rFonts w:hint="eastAsia" w:ascii="Times New Roman" w:hAnsi="Times New Roman" w:eastAsia="方正仿宋_GBK" w:cs="方正仿宋_GBK"/>
          <w:sz w:val="32"/>
        </w:rPr>
        <w:t>服务中心、重庆市綦江区打通镇</w:t>
      </w:r>
      <w:r>
        <w:rPr>
          <w:rFonts w:hint="eastAsia" w:ascii="Times New Roman" w:hAnsi="Times New Roman" w:eastAsia="方正仿宋_GBK" w:cs="方正仿宋_GBK"/>
          <w:sz w:val="32"/>
          <w:lang w:val="en-US" w:eastAsia="zh-CN"/>
        </w:rPr>
        <w:t>新时代文明实践服务</w:t>
      </w:r>
      <w:r>
        <w:rPr>
          <w:rFonts w:hint="eastAsia" w:ascii="Times New Roman" w:hAnsi="Times New Roman" w:eastAsia="方正仿宋_GBK" w:cs="方正仿宋_GBK"/>
          <w:sz w:val="32"/>
        </w:rPr>
        <w:t>中心、重庆市綦江区打通镇便民服务中心（退役军人服务站）、重庆市綦江区打通镇综合行政执法大队</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rPr>
        <w:t>重庆市綦江区打通镇</w:t>
      </w:r>
      <w:r>
        <w:rPr>
          <w:rFonts w:hint="eastAsia" w:ascii="Times New Roman" w:hAnsi="Times New Roman" w:eastAsia="方正仿宋_GBK" w:cs="方正仿宋_GBK"/>
          <w:sz w:val="32"/>
          <w:lang w:val="en-US" w:eastAsia="zh-CN"/>
        </w:rPr>
        <w:t>村镇建设</w:t>
      </w:r>
      <w:r>
        <w:rPr>
          <w:rFonts w:hint="eastAsia" w:ascii="Times New Roman" w:hAnsi="Times New Roman" w:eastAsia="方正仿宋_GBK" w:cs="方正仿宋_GBK"/>
          <w:sz w:val="32"/>
        </w:rPr>
        <w:t>服务中心。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4294.03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收、支与2023年度相比，增加821.65万元，增长23.7%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是</w:t>
      </w:r>
      <w:r>
        <w:rPr>
          <w:rFonts w:hint="eastAsia" w:ascii="仿宋_GB2312" w:hAnsi="仿宋" w:eastAsia="仿宋_GB2312"/>
          <w:sz w:val="32"/>
          <w:szCs w:val="32"/>
        </w:rPr>
        <w:t>一般公共预算财政拨款较上年增加</w:t>
      </w:r>
      <w:r>
        <w:rPr>
          <w:rFonts w:hint="eastAsia" w:ascii="仿宋_GB2312" w:hAnsi="仿宋" w:eastAsia="仿宋_GB2312"/>
          <w:sz w:val="32"/>
          <w:szCs w:val="32"/>
          <w:lang w:eastAsia="zh-CN"/>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4238.26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与2023年度相比，增加767.34万元，增长22.1%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收入</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4238.26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55.77</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4294.03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与2023年度相比，增加821.65万元，增长23.7%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收入</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1053.72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3240.31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4294.03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财政拨款收、支总计各增加821.65万元，增长23.7%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项目增多，</w:t>
      </w:r>
      <w:r>
        <w:rPr>
          <w:rFonts w:hint="eastAsia" w:ascii="仿宋_GB2312" w:hAnsi="仿宋" w:eastAsia="仿宋_GB2312"/>
          <w:sz w:val="32"/>
          <w:szCs w:val="32"/>
        </w:rPr>
        <w:t>一般公共预算财政拨款</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4097.30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与2023年度相比，增加703.66万元，增长20.7%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一般公共预算收入</w:t>
      </w:r>
      <w:r>
        <w:rPr>
          <w:rFonts w:hint="eastAsia" w:ascii="Times New Roman" w:hAnsi="Times New Roman" w:eastAsia="方正仿宋_GBK" w:cs="方正仿宋_GBK"/>
          <w:sz w:val="32"/>
          <w:szCs w:val="32"/>
          <w:shd w:val="clear" w:color="auto" w:fill="FFFFFF"/>
          <w:lang w:val="en-US" w:eastAsia="zh-CN"/>
        </w:rPr>
        <w:t>较去年增加</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较年初预算数增加637.40万元，增长18.4%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一般公共预算收入</w:t>
      </w:r>
      <w:r>
        <w:rPr>
          <w:rFonts w:hint="eastAsia" w:ascii="Times New Roman" w:hAnsi="Times New Roman" w:eastAsia="方正仿宋_GBK" w:cs="方正仿宋_GBK"/>
          <w:sz w:val="32"/>
          <w:szCs w:val="32"/>
          <w:shd w:val="clear" w:color="auto" w:fill="FFFFFF"/>
          <w:lang w:val="en-US" w:eastAsia="zh-CN"/>
        </w:rPr>
        <w:t>调剂增加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55.77</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4153.07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与2023年度相比，增加757.97万元，增长22.3%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收入</w:t>
      </w:r>
      <w:r>
        <w:rPr>
          <w:rFonts w:hint="eastAsia" w:ascii="Times New Roman" w:hAnsi="Times New Roman" w:eastAsia="方正仿宋_GBK" w:cs="方正仿宋_GBK"/>
          <w:sz w:val="32"/>
          <w:szCs w:val="32"/>
          <w:shd w:val="clear" w:color="auto" w:fill="FFFFFF"/>
          <w:lang w:val="en-US" w:eastAsia="zh-CN"/>
        </w:rPr>
        <w:t>增加，项目支出增加</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较年初预算数增加693.17万元，增长20.0%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一般公共预算收入</w:t>
      </w:r>
      <w:r>
        <w:rPr>
          <w:rFonts w:hint="eastAsia" w:ascii="Times New Roman" w:hAnsi="Times New Roman" w:eastAsia="方正仿宋_GBK" w:cs="方正仿宋_GBK"/>
          <w:sz w:val="32"/>
          <w:szCs w:val="32"/>
          <w:shd w:val="clear" w:color="auto" w:fill="FFFFFF"/>
          <w:lang w:val="en-US" w:eastAsia="zh-CN"/>
        </w:rPr>
        <w:t>调剂增加。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1054.24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较年初预算数增加53.47万元，增长5.3%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olor w:val="000000" w:themeColor="text1"/>
          <w:sz w:val="32"/>
          <w:szCs w:val="32"/>
          <w:lang w:val="en-US" w:eastAsia="zh-CN"/>
        </w:rPr>
        <w:t>人员经费和公用经费的增加</w:t>
      </w:r>
      <w:r>
        <w:rPr>
          <w:rFonts w:hint="eastAsia" w:ascii="Times New Roman" w:hAnsi="Times New Roman" w:eastAsia="方正仿宋_GBK"/>
          <w:color w:val="000000" w:themeColor="text1"/>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45.96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较年初预算数增加17.36万元，增长60.7%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2024年开展</w:t>
      </w:r>
      <w:r>
        <w:rPr>
          <w:rFonts w:hint="eastAsia" w:ascii="Times New Roman" w:hAnsi="Times New Roman" w:eastAsia="方正仿宋_GBK" w:cs="方正仿宋_GBK"/>
          <w:sz w:val="32"/>
          <w:szCs w:val="32"/>
          <w:shd w:val="clear" w:color="auto" w:fill="FFFFFF"/>
        </w:rPr>
        <w:t>普法宣传</w:t>
      </w:r>
      <w:r>
        <w:rPr>
          <w:rFonts w:hint="eastAsia" w:ascii="Times New Roman" w:hAnsi="Times New Roman" w:eastAsia="方正仿宋_GBK" w:cs="方正仿宋_GBK"/>
          <w:sz w:val="32"/>
          <w:szCs w:val="32"/>
          <w:shd w:val="clear" w:color="auto" w:fill="FFFFFF"/>
          <w:lang w:val="en-US" w:eastAsia="zh-CN"/>
        </w:rPr>
        <w:t>工作，项目调剂指标</w:t>
      </w:r>
      <w:r>
        <w:rPr>
          <w:rFonts w:ascii="Times New Roman" w:hAnsi="Times New Roman" w:eastAsia="方正仿宋_GBK" w:cs="方正仿宋_GBK"/>
          <w:sz w:val="32"/>
          <w:szCs w:val="32"/>
          <w:shd w:val="clear" w:color="auto" w:fill="FFFFFF"/>
        </w:rPr>
        <w:t>资金</w:t>
      </w:r>
      <w:r>
        <w:rPr>
          <w:rFonts w:hint="eastAsia" w:ascii="Times New Roman" w:hAnsi="Times New Roman" w:eastAsia="方正仿宋_GBK" w:cs="方正仿宋_GBK"/>
          <w:sz w:val="32"/>
          <w:szCs w:val="32"/>
          <w:shd w:val="clear" w:color="auto" w:fill="FFFFFF"/>
          <w:lang w:val="en-US" w:eastAsia="zh-CN"/>
        </w:rPr>
        <w:t>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50.00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较年初预算数增加45.50万元，增长1011.1%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打通镇20</w:t>
      </w:r>
      <w:r>
        <w:rPr>
          <w:rFonts w:ascii="Times New Roman" w:hAnsi="Times New Roman" w:eastAsia="方正仿宋_GBK" w:cs="方正仿宋_GBK"/>
          <w:sz w:val="32"/>
          <w:szCs w:val="32"/>
          <w:shd w:val="clear" w:color="auto" w:fill="FFFFFF"/>
        </w:rPr>
        <w:t>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举办</w:t>
      </w:r>
      <w:r>
        <w:rPr>
          <w:rFonts w:hint="eastAsia" w:ascii="Times New Roman" w:hAnsi="Times New Roman" w:eastAsia="方正仿宋_GBK" w:cs="方正仿宋_GBK"/>
          <w:sz w:val="32"/>
          <w:szCs w:val="32"/>
          <w:shd w:val="clear" w:color="auto" w:fill="FFFFFF"/>
        </w:rPr>
        <w:t>群众文化</w:t>
      </w:r>
      <w:r>
        <w:rPr>
          <w:rFonts w:hint="eastAsia" w:ascii="Times New Roman" w:hAnsi="Times New Roman" w:eastAsia="方正仿宋_GBK" w:cs="方正仿宋_GBK"/>
          <w:sz w:val="32"/>
          <w:szCs w:val="32"/>
          <w:shd w:val="clear" w:color="auto" w:fill="FFFFFF"/>
          <w:lang w:val="en-US" w:eastAsia="zh-CN"/>
        </w:rPr>
        <w:t>活动等</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活动相关费用增加。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274.07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较年初预算数增加23.23万元，增长9.3%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社会保障与就业</w:t>
      </w:r>
      <w:r>
        <w:rPr>
          <w:rFonts w:hint="eastAsia" w:ascii="Times New Roman" w:hAnsi="Times New Roman" w:eastAsia="方正仿宋_GBK"/>
          <w:sz w:val="32"/>
          <w:szCs w:val="32"/>
          <w:lang w:val="en-US" w:eastAsia="zh-CN"/>
        </w:rPr>
        <w:t>等工作支出增加</w:t>
      </w:r>
      <w:r>
        <w:rPr>
          <w:rFonts w:hint="eastAsia" w:ascii="Times New Roman" w:hAnsi="Times New Roman" w:eastAsia="方正仿宋_GBK"/>
          <w:color w:val="000000" w:themeColor="text1"/>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54.69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较年初预算数减少0.90万元，下降1.6%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压缩</w:t>
      </w:r>
      <w:r>
        <w:rPr>
          <w:rFonts w:ascii="方正仿宋_GBK" w:hAnsi="方正仿宋_GBK" w:eastAsia="方正仿宋_GBK" w:cs="方正仿宋_GBK"/>
          <w:sz w:val="32"/>
          <w:szCs w:val="32"/>
          <w:shd w:val="clear" w:color="auto" w:fill="FFFFFF"/>
        </w:rPr>
        <w:t>卫生健康</w:t>
      </w:r>
      <w:r>
        <w:rPr>
          <w:rFonts w:hint="eastAsia" w:ascii="Times New Roman" w:hAnsi="Times New Roman" w:eastAsia="方正仿宋_GBK" w:cs="方正仿宋_GBK"/>
          <w:sz w:val="32"/>
          <w:szCs w:val="32"/>
          <w:shd w:val="clear" w:color="auto" w:fill="FFFFFF"/>
        </w:rPr>
        <w:t>开支</w:t>
      </w:r>
      <w:r>
        <w:rPr>
          <w:rFonts w:hint="eastAsia" w:ascii="Times New Roman" w:hAnsi="Times New Roman" w:eastAsia="方正仿宋_GBK"/>
          <w:color w:val="000000" w:themeColor="text1"/>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89.64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较年初预算数增加89.64万元，增长100.0%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用于支付</w:t>
      </w:r>
      <w:r>
        <w:rPr>
          <w:rFonts w:ascii="Times New Roman" w:hAnsi="Times New Roman" w:eastAsia="方正仿宋_GBK" w:cs="方正仿宋_GBK"/>
          <w:sz w:val="32"/>
          <w:szCs w:val="32"/>
          <w:shd w:val="clear" w:color="auto" w:fill="FFFFFF"/>
        </w:rPr>
        <w:t>去产能公益性岗位人员工资</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331.50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用于支付</w:t>
      </w:r>
      <w:r>
        <w:rPr>
          <w:rFonts w:hint="eastAsia" w:ascii="Times New Roman" w:hAnsi="Times New Roman" w:eastAsia="方正仿宋_GBK"/>
          <w:sz w:val="32"/>
          <w:szCs w:val="32"/>
        </w:rPr>
        <w:t>市政场镇环卫支出。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1338.02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较年初预算数增加296.20万元，增长28.4%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乡村振兴支出的</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129.62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较年初预算数减少543.75万元，下降80.8%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olor w:val="auto"/>
          <w:sz w:val="32"/>
          <w:szCs w:val="32"/>
        </w:rPr>
        <w:t>压减项目支出</w:t>
      </w:r>
      <w:r>
        <w:rPr>
          <w:rFonts w:hint="eastAsia" w:ascii="Times New Roman" w:hAnsi="Times New Roman" w:eastAsia="方正仿宋_GBK"/>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8.61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较年初预算数增加8.61万元，增长100.0%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该支出8.61万元为</w:t>
      </w:r>
      <w:r>
        <w:rPr>
          <w:rFonts w:hint="eastAsia" w:ascii="Times New Roman" w:hAnsi="Times New Roman" w:eastAsia="方正仿宋_GBK" w:cs="方正仿宋_GBK"/>
          <w:sz w:val="32"/>
          <w:szCs w:val="32"/>
          <w:shd w:val="clear" w:color="auto" w:fill="FFFFFF"/>
        </w:rPr>
        <w:t>年初结转和结余</w:t>
      </w:r>
      <w:r>
        <w:rPr>
          <w:rFonts w:hint="eastAsia" w:ascii="Times New Roman" w:hAnsi="Times New Roman" w:eastAsia="方正仿宋_GBK" w:cs="方正仿宋_GBK"/>
          <w:sz w:val="32"/>
          <w:szCs w:val="32"/>
          <w:shd w:val="clear" w:color="auto" w:fill="FFFFFF"/>
          <w:lang w:eastAsia="zh-CN"/>
        </w:rPr>
        <w:t>。</w:t>
      </w:r>
    </w:p>
    <w:p>
      <w:pPr>
        <w:keepNext w:val="0"/>
        <w:keepLines w:val="0"/>
        <w:pageBreakBefore w:val="0"/>
        <w:kinsoku/>
        <w:wordWrap/>
        <w:overflowPunct/>
        <w:topLinePunct w:val="0"/>
        <w:autoSpaceDN/>
        <w:bidi w:val="0"/>
        <w:adjustRightInd/>
        <w:spacing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684.81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较年初预算数增加618.89万元，增长938.9%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农村危旧房改造支出的</w:t>
      </w:r>
      <w:r>
        <w:rPr>
          <w:rFonts w:hint="eastAsia" w:ascii="Times New Roman" w:hAnsi="Times New Roman" w:eastAsia="方正仿宋_GBK"/>
          <w:sz w:val="32"/>
          <w:szCs w:val="32"/>
          <w:lang w:val="en-US" w:eastAsia="zh-CN"/>
        </w:rPr>
        <w:t>增加等</w:t>
      </w:r>
      <w:r>
        <w:rPr>
          <w:rFonts w:hint="eastAsia" w:ascii="Times New Roman" w:hAnsi="Times New Roman" w:eastAsia="方正仿宋_GBK"/>
          <w:sz w:val="32"/>
          <w:szCs w:val="32"/>
        </w:rPr>
        <w:t>。</w:t>
      </w:r>
    </w:p>
    <w:p>
      <w:pPr>
        <w:keepNext w:val="0"/>
        <w:keepLines w:val="0"/>
        <w:pageBreakBefore w:val="0"/>
        <w:kinsoku/>
        <w:wordWrap/>
        <w:overflowPunct/>
        <w:topLinePunct w:val="0"/>
        <w:autoSpaceDN/>
        <w:bidi w:val="0"/>
        <w:adjustRightInd/>
        <w:spacing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61.89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较年初预算数增加54.91万元，增长786.7%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用于支付购买水罐消防车费用</w:t>
      </w:r>
      <w:r>
        <w:rPr>
          <w:rFonts w:hint="eastAsia" w:ascii="Times New Roman" w:hAnsi="Times New Roman" w:eastAsia="方正仿宋_GBK" w:cs="方正仿宋_GBK"/>
          <w:sz w:val="32"/>
          <w:szCs w:val="32"/>
          <w:shd w:val="clear" w:color="auto" w:fill="FFFFFF"/>
          <w:lang w:eastAsia="zh-CN"/>
        </w:rPr>
        <w:t>。</w:t>
      </w:r>
    </w:p>
    <w:p>
      <w:pPr>
        <w:keepNext w:val="0"/>
        <w:keepLines w:val="0"/>
        <w:pageBreakBefore w:val="0"/>
        <w:kinsoku/>
        <w:wordWrap/>
        <w:overflowPunct/>
        <w:topLinePunct w:val="0"/>
        <w:autoSpaceDN/>
        <w:bidi w:val="0"/>
        <w:adjustRightInd/>
        <w:spacing w:line="576"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30.00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较年初预算数增加30.00万元，增长100.0%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2024年重点地区转型发展专项（资源型地区转型发展方向）中央基建投资预算-綦江区采煤沉陷区打通镇隐患安全排危改造工程支出的</w:t>
      </w:r>
      <w:r>
        <w:rPr>
          <w:rFonts w:hint="eastAsia" w:ascii="Times New Roman" w:hAnsi="Times New Roman" w:eastAsia="方正仿宋_GBK"/>
          <w:sz w:val="32"/>
          <w:szCs w:val="32"/>
          <w:lang w:val="en-US" w:eastAsia="zh-CN"/>
        </w:rPr>
        <w:t>增加等</w:t>
      </w:r>
      <w:r>
        <w:rPr>
          <w:rFonts w:hint="eastAsia" w:ascii="Times New Roman" w:hAnsi="Times New Roman" w:eastAsia="方正仿宋_GBK"/>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1053.72</w:t>
      </w:r>
      <w:r>
        <w:rPr>
          <w:rFonts w:ascii="方正仿宋_GBK" w:hAnsi="方正仿宋_GBK" w:eastAsia="方正仿宋_GBK" w:cs="方正仿宋_GBK"/>
          <w:sz w:val="32"/>
          <w:szCs w:val="32"/>
          <w:shd w:val="clear" w:color="auto" w:fill="FFFFFF"/>
        </w:rPr>
        <w:t>万元。其中：</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879.04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与2023年度相比，减少0.28万元，下降0.0%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人员变动、经费标准等变动产生。</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sz w:val="32"/>
          <w:szCs w:val="32"/>
        </w:rPr>
        <w:t>职工工资、社保、住房公积金等支出。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174.68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与2023年度相比，减少18.28万元，下降9.5%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减少日常运行经费，</w:t>
      </w:r>
      <w:r>
        <w:rPr>
          <w:rFonts w:hint="eastAsia" w:ascii="Times New Roman" w:hAnsi="Times New Roman" w:eastAsia="方正仿宋_GBK"/>
          <w:sz w:val="32"/>
          <w:szCs w:val="32"/>
        </w:rPr>
        <w:t>缩减开支，过“紧日子”。</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sz w:val="32"/>
          <w:szCs w:val="32"/>
        </w:rPr>
        <w:t>办公费、水费、电费、差旅费、公务接待费、会议费等支出。</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140.96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与2023年度相比，增加63.69万元，增长82.4%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政府性基金预算财政拨款收入调剂增加，202</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年共</w:t>
      </w:r>
      <w:r>
        <w:rPr>
          <w:rFonts w:hint="eastAsia" w:ascii="Times New Roman" w:hAnsi="Times New Roman" w:eastAsia="方正仿宋_GBK" w:cs="方正仿宋_GBK"/>
          <w:sz w:val="32"/>
          <w:szCs w:val="32"/>
          <w:shd w:val="clear" w:color="auto" w:fill="FFFFFF"/>
          <w:lang w:val="en-US" w:eastAsia="zh-CN"/>
        </w:rPr>
        <w:t>1409641.07</w:t>
      </w:r>
      <w:r>
        <w:rPr>
          <w:rFonts w:hint="eastAsia" w:ascii="Times New Roman" w:hAnsi="Times New Roman" w:eastAsia="方正仿宋_GBK" w:cs="方正仿宋_GBK"/>
          <w:sz w:val="32"/>
          <w:szCs w:val="32"/>
          <w:shd w:val="clear" w:color="auto" w:fill="FFFFFF"/>
        </w:rPr>
        <w:t>元。（2023年结转指标</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綦江财发〔2023〕1号（渝财建〔2022〕260号）：600000元，配套费返还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綦江财发〔2024〕33号：</w:t>
      </w:r>
      <w:r>
        <w:rPr>
          <w:rFonts w:hint="eastAsia" w:ascii="Times New Roman" w:hAnsi="Times New Roman" w:eastAsia="方正仿宋_GBK" w:cs="方正仿宋_GBK"/>
          <w:sz w:val="32"/>
          <w:szCs w:val="32"/>
          <w:shd w:val="clear" w:color="auto" w:fill="FFFFFF"/>
          <w:lang w:val="en-US" w:eastAsia="zh-CN"/>
        </w:rPr>
        <w:t>723900</w:t>
      </w:r>
      <w:r>
        <w:rPr>
          <w:rFonts w:hint="eastAsia" w:ascii="Times New Roman" w:hAnsi="Times New Roman" w:eastAsia="方正仿宋_GBK" w:cs="方正仿宋_GBK"/>
          <w:sz w:val="32"/>
          <w:szCs w:val="32"/>
          <w:shd w:val="clear" w:color="auto" w:fill="FFFFFF"/>
        </w:rPr>
        <w:t>元，交通局调剂第一季度养护经费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綦江财发〔2024〕1号：68941.07元，规资局调剂</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綦江财发〔2024〕1号：8400元，规资局调剂</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綦江财发〔2024〕225号（渝财建〔2024〕139号）：8400元。）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140.96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与2023年度相比，增加63.69万元，增长82.4%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本年项目支出增加。</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本部门202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45.02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较年初预算数增加33.40万元，增长287.4%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2024年购入公务用车1辆，因此“三公”经费支出增加</w:t>
      </w:r>
      <w:r>
        <w:rPr>
          <w:rFonts w:hint="eastAsia" w:ascii="Times New Roman" w:hAnsi="Times New Roman" w:eastAsia="方正仿宋_GBK"/>
          <w:sz w:val="32"/>
          <w:szCs w:val="32"/>
        </w:rPr>
        <w:t>。</w:t>
      </w:r>
      <w:r>
        <w:rPr>
          <w:rFonts w:hint="default" w:ascii="Times New Roman" w:hAnsi="Times New Roman" w:eastAsia="方正仿宋_GBK"/>
          <w:sz w:val="32"/>
          <w:szCs w:val="32"/>
          <w:shd w:val="clear" w:color="auto" w:fill="FFFFFF"/>
        </w:rPr>
        <w:t>较上年支出数增加35.32万元，增长364.1%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2024年购入公务用车1辆，因此“三公”经费支出增加</w:t>
      </w:r>
      <w:r>
        <w:rPr>
          <w:rFonts w:hint="eastAsia" w:ascii="Times New Roman" w:hAnsi="Times New Roman" w:eastAsia="方正仿宋_GBK"/>
          <w:sz w:val="32"/>
          <w:szCs w:val="32"/>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年度本部门因公出国（境）费用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费用支出较年初预算数无增减。较上年支出数无增减，主要原因是</w:t>
      </w:r>
      <w:r>
        <w:rPr>
          <w:rFonts w:hint="eastAsia" w:ascii="Times New Roman" w:hAnsi="Times New Roman" w:eastAsia="方正仿宋_GBK" w:cs="方正仿宋_GBK"/>
          <w:sz w:val="32"/>
          <w:szCs w:val="32"/>
          <w:shd w:val="clear" w:color="auto" w:fill="FFFFFF"/>
          <w:lang w:val="en-US" w:eastAsia="zh-CN"/>
        </w:rPr>
        <w:t>本单位无应公出国（境）事由</w:t>
      </w:r>
      <w:r>
        <w:rPr>
          <w:rFonts w:ascii="Times New Roman" w:hAnsi="Times New Roman"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34.98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2024年购入公务用车1辆。</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较年初预算数增加34.98万元，增长100.0%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2024年购入公务用车1辆，因此2024年公务用车购置费增加。（綦车管办函〔2023〕13号）</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较上年支出数增加34.98万元，增长100.0%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2024年购入公务用车1辆，因此2024年公务用车购置费增加。（綦车管办函〔2023〕13号）</w:t>
      </w:r>
      <w:r>
        <w:rPr>
          <w:rFonts w:ascii="Times New Roman" w:hAnsi="Times New Roman"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8.94</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rPr>
        <w:t>公务用车加油、维修、道路通行、购买车辆保险、洗停车费。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较年初预算数减少0.06万元，下降0.7%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加强管理，严控公务用车运行支出。</w:t>
      </w:r>
      <w:r>
        <w:rPr>
          <w:rFonts w:hint="default" w:ascii="Times New Roman" w:hAnsi="Times New Roman" w:eastAsia="方正仿宋_GBK"/>
          <w:sz w:val="32"/>
          <w:szCs w:val="32"/>
          <w:shd w:val="clear" w:color="auto" w:fill="FFFFFF"/>
        </w:rPr>
        <w:t>较上年支出数减少0.01万元，下降0.1%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加强管理，严控公务用车运行支出。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cs="方正仿宋_GBK"/>
          <w:sz w:val="32"/>
          <w:szCs w:val="32"/>
          <w:shd w:val="clear" w:color="auto" w:fill="FFFFFF"/>
        </w:rPr>
        <w:t>接待</w:t>
      </w:r>
      <w:r>
        <w:rPr>
          <w:rFonts w:hint="eastAsia" w:ascii="Times New Roman" w:hAnsi="Times New Roman" w:eastAsia="方正仿宋_GBK"/>
          <w:sz w:val="32"/>
          <w:szCs w:val="32"/>
        </w:rPr>
        <w:t>其他外来单位到我镇调研、考察等。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较年初预算数减少1.52万元，下降58.0%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厉行节约、严控支出。</w:t>
      </w:r>
      <w:r>
        <w:rPr>
          <w:rFonts w:hint="default" w:ascii="Times New Roman" w:hAnsi="Times New Roman" w:eastAsia="方正仿宋_GBK"/>
          <w:sz w:val="32"/>
          <w:szCs w:val="32"/>
          <w:shd w:val="clear" w:color="auto" w:fill="FFFFFF"/>
        </w:rPr>
        <w:t>较上年支出数增加0.35万元，增长46.7%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下属事业单位合属办公，2024年公务接待费统一在本级支出，因此本级公务接待费支出较上年增加，部门实际公务接待费较上年</w:t>
      </w:r>
      <w:r>
        <w:rPr>
          <w:rFonts w:hint="default" w:ascii="Times New Roman" w:hAnsi="Times New Roman" w:eastAsia="方正仿宋_GBK"/>
          <w:sz w:val="32"/>
          <w:szCs w:val="32"/>
          <w:shd w:val="clear" w:color="auto" w:fill="FFFFFF"/>
        </w:rPr>
        <w:t>下降0.9%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rPr>
        <w:t>厉行节约、严控支出。</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145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75.86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34.98</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8.94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rPr>
          <w:rFonts w:hint="default"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4.25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与2023年度相比，增加4.18万元，增长5971.4%</w:t>
      </w:r>
      <w:r>
        <w:rPr>
          <w:rFonts w:ascii="方正仿宋_GBK" w:hAnsi="方正仿宋_GBK" w:eastAsia="方正仿宋_GBK" w:cs="方正仿宋_GBK"/>
          <w:sz w:val="32"/>
          <w:szCs w:val="32"/>
          <w:shd w:val="clear" w:color="auto" w:fill="FFFFFF"/>
        </w:rPr>
        <w:t>，主要原因是是</w:t>
      </w:r>
      <w:r>
        <w:rPr>
          <w:rFonts w:hint="eastAsia" w:ascii="Times New Roman" w:hAnsi="Times New Roman" w:eastAsia="方正仿宋_GBK" w:cs="方正仿宋_GBK"/>
          <w:sz w:val="32"/>
          <w:szCs w:val="32"/>
          <w:shd w:val="clear" w:color="auto" w:fill="FFFFFF"/>
        </w:rPr>
        <w:t>会议费开支</w:t>
      </w:r>
      <w:r>
        <w:rPr>
          <w:rFonts w:hint="eastAsia" w:ascii="Times New Roman" w:hAnsi="Times New Roman" w:eastAsia="方正仿宋_GBK" w:cs="方正仿宋_GBK"/>
          <w:sz w:val="32"/>
          <w:szCs w:val="32"/>
          <w:shd w:val="clear" w:color="auto" w:fill="FFFFFF"/>
          <w:lang w:val="en-US" w:eastAsia="zh-CN"/>
        </w:rPr>
        <w:t>增加</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与2023年度相比，减少2.87万元，下降59.2%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职工参加培训</w:t>
      </w:r>
      <w:r>
        <w:rPr>
          <w:rFonts w:hint="eastAsia" w:ascii="Times New Roman" w:hAnsi="Times New Roman" w:eastAsia="方正仿宋_GBK" w:cs="方正仿宋_GBK"/>
          <w:sz w:val="32"/>
          <w:szCs w:val="32"/>
          <w:shd w:val="clear" w:color="auto" w:fill="FFFFFF"/>
          <w:lang w:val="en-US" w:eastAsia="zh-CN"/>
        </w:rPr>
        <w:t>减少</w:t>
      </w:r>
      <w:r>
        <w:rPr>
          <w:rFonts w:hint="eastAsia" w:ascii="Times New Roman" w:hAnsi="Times New Roman" w:eastAsia="方正仿宋_GBK" w:cs="方正仿宋_GBK"/>
          <w:sz w:val="32"/>
          <w:szCs w:val="32"/>
          <w:shd w:val="clear" w:color="auto" w:fill="FFFFFF"/>
        </w:rPr>
        <w:t>，培训费</w:t>
      </w:r>
      <w:r>
        <w:rPr>
          <w:rFonts w:hint="eastAsia" w:ascii="Times New Roman" w:hAnsi="Times New Roman" w:eastAsia="方正仿宋_GBK" w:cs="方正仿宋_GBK"/>
          <w:sz w:val="32"/>
          <w:szCs w:val="32"/>
          <w:shd w:val="clear" w:color="auto" w:fill="FFFFFF"/>
          <w:lang w:val="en-US" w:eastAsia="zh-CN"/>
        </w:rPr>
        <w:t>下降</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与2023年度相比，增加0.52万元，增长67.5%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职工</w:t>
      </w:r>
      <w:r>
        <w:rPr>
          <w:rFonts w:ascii="方正仿宋_GBK" w:hAnsi="方正仿宋_GBK" w:eastAsia="方正仿宋_GBK" w:cs="方正仿宋_GBK"/>
          <w:sz w:val="32"/>
          <w:szCs w:val="32"/>
          <w:shd w:val="clear" w:color="auto" w:fill="FFFFFF"/>
        </w:rPr>
        <w:t>差旅费支出</w:t>
      </w:r>
      <w:r>
        <w:rPr>
          <w:rFonts w:hint="eastAsia" w:ascii="方正仿宋_GBK" w:hAnsi="方正仿宋_GBK" w:eastAsia="方正仿宋_GBK" w:cs="方正仿宋_GBK"/>
          <w:sz w:val="32"/>
          <w:szCs w:val="32"/>
          <w:shd w:val="clear" w:color="auto" w:fill="FFFFFF"/>
          <w:lang w:val="en-US" w:eastAsia="zh-CN"/>
        </w:rPr>
        <w:t>增加。</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174.68</w:t>
      </w:r>
      <w:r>
        <w:rPr>
          <w:rFonts w:ascii="方正仿宋_GBK" w:hAnsi="方正仿宋_GBK" w:eastAsia="方正仿宋_GBK" w:cs="方正仿宋_GBK"/>
          <w:sz w:val="32"/>
          <w:szCs w:val="32"/>
          <w:shd w:val="clear" w:color="auto" w:fill="FFFFFF"/>
        </w:rPr>
        <w:t>万元，机关运行经费主要用于开支开支</w:t>
      </w:r>
      <w:r>
        <w:rPr>
          <w:rFonts w:hint="eastAsia" w:ascii="Times New Roman" w:hAnsi="Times New Roman" w:eastAsia="方正仿宋_GBK"/>
          <w:sz w:val="32"/>
          <w:szCs w:val="32"/>
        </w:rPr>
        <w:t>水电费、网络通信费、办公设备维修、办公用品采购、劳务费支出等。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较上年支出数减少18.28万元，下降9.5%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减少日常运行经费，</w:t>
      </w:r>
      <w:r>
        <w:rPr>
          <w:rFonts w:hint="eastAsia" w:ascii="Times New Roman" w:hAnsi="Times New Roman" w:eastAsia="方正仿宋_GBK"/>
          <w:sz w:val="32"/>
          <w:szCs w:val="32"/>
        </w:rPr>
        <w:t>缩减开支，过“紧日子”。</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1908.55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1052.99</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855.56</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1908.55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1052.99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55.2 %</w:t>
      </w:r>
      <w:r>
        <w:rPr>
          <w:rFonts w:ascii="方正仿宋_GBK" w:hAnsi="方正仿宋_GBK" w:eastAsia="方正仿宋_GBK" w:cs="方正仿宋_GBK"/>
          <w:sz w:val="32"/>
          <w:szCs w:val="32"/>
          <w:shd w:val="clear" w:color="auto" w:fill="FFFFFF"/>
        </w:rPr>
        <w:t>。主要用于采购</w:t>
      </w:r>
      <w:r>
        <w:rPr>
          <w:rFonts w:hint="eastAsia" w:ascii="Times New Roman" w:hAnsi="Times New Roman" w:eastAsia="方正仿宋_GBK"/>
          <w:sz w:val="32"/>
          <w:szCs w:val="32"/>
        </w:rPr>
        <w:t>办公设备、办公家具</w:t>
      </w:r>
      <w:r>
        <w:rPr>
          <w:rFonts w:hint="eastAsia" w:ascii="Times New Roman" w:hAnsi="Times New Roman" w:eastAsia="方正仿宋_GBK"/>
          <w:sz w:val="32"/>
          <w:szCs w:val="32"/>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64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根据预算绩效管理要求，我部门对</w:t>
      </w:r>
      <w:r>
        <w:rPr>
          <w:rFonts w:hint="eastAsia" w:ascii="方正仿宋_GBK" w:hAnsi="方正仿宋_GBK" w:eastAsia="方正仿宋_GBK" w:cs="方正仿宋_GBK"/>
          <w:kern w:val="0"/>
          <w:sz w:val="32"/>
          <w:szCs w:val="32"/>
          <w:shd w:val="clear" w:fill="FFFFFF"/>
          <w:lang w:val="en-US" w:eastAsia="zh-CN"/>
        </w:rPr>
        <w:t>91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3240.31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bCs/>
          <w:sz w:val="32"/>
        </w:rPr>
        <w:t>从评价情况来看，202</w:t>
      </w:r>
      <w:r>
        <w:rPr>
          <w:rFonts w:hint="eastAsia" w:ascii="Times New Roman" w:hAnsi="Times New Roman" w:eastAsia="方正仿宋_GBK"/>
          <w:bCs/>
          <w:sz w:val="32"/>
          <w:lang w:val="en-US" w:eastAsia="zh-CN"/>
        </w:rPr>
        <w:t>4</w:t>
      </w:r>
      <w:r>
        <w:rPr>
          <w:rFonts w:hint="eastAsia" w:ascii="Times New Roman" w:hAnsi="Times New Roman" w:eastAsia="方正仿宋_GBK"/>
          <w:bCs/>
          <w:sz w:val="32"/>
        </w:rPr>
        <w:t>年我单位牢固树立预算绩效管理意识，</w:t>
      </w:r>
      <w:r>
        <w:rPr>
          <w:rFonts w:hint="eastAsia" w:ascii="Times New Roman" w:hAnsi="Times New Roman" w:eastAsia="方正仿宋_GBK"/>
          <w:bCs/>
          <w:sz w:val="32"/>
          <w:lang w:val="en-US" w:eastAsia="zh-CN"/>
        </w:rPr>
        <w:t>91</w:t>
      </w:r>
      <w:r>
        <w:rPr>
          <w:rFonts w:hint="eastAsia" w:ascii="Times New Roman" w:hAnsi="Times New Roman" w:eastAsia="方正仿宋_GBK"/>
          <w:bCs/>
          <w:sz w:val="32"/>
        </w:rPr>
        <w:t>个项目绩效评价结果均较好</w:t>
      </w:r>
      <w:r>
        <w:rPr>
          <w:rFonts w:hint="eastAsia" w:ascii="Times New Roman" w:hAnsi="Times New Roman" w:eastAsia="方正仿宋_GBK"/>
          <w:bCs/>
          <w:sz w:val="32"/>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绩效目标自评表-一般性项目</w:t>
      </w:r>
    </w:p>
    <w:tbl>
      <w:tblPr>
        <w:tblStyle w:val="12"/>
        <w:tblW w:w="9070" w:type="dxa"/>
        <w:tblInd w:w="0" w:type="dxa"/>
        <w:tblLayout w:type="fixed"/>
        <w:tblCellMar>
          <w:top w:w="0" w:type="dxa"/>
          <w:left w:w="108" w:type="dxa"/>
          <w:bottom w:w="0" w:type="dxa"/>
          <w:right w:w="108" w:type="dxa"/>
        </w:tblCellMar>
      </w:tblPr>
      <w:tblGrid>
        <w:gridCol w:w="1295"/>
        <w:gridCol w:w="518"/>
        <w:gridCol w:w="777"/>
        <w:gridCol w:w="433"/>
        <w:gridCol w:w="604"/>
        <w:gridCol w:w="258"/>
        <w:gridCol w:w="649"/>
        <w:gridCol w:w="646"/>
        <w:gridCol w:w="260"/>
        <w:gridCol w:w="607"/>
        <w:gridCol w:w="428"/>
        <w:gridCol w:w="778"/>
        <w:gridCol w:w="517"/>
        <w:gridCol w:w="1300"/>
      </w:tblGrid>
      <w:tr>
        <w:tblPrEx>
          <w:tblLayout w:type="fixed"/>
          <w:tblCellMar>
            <w:top w:w="0" w:type="dxa"/>
            <w:left w:w="108" w:type="dxa"/>
            <w:bottom w:w="0" w:type="dxa"/>
            <w:right w:w="108" w:type="dxa"/>
          </w:tblCellMar>
        </w:tblPrEx>
        <w:trPr>
          <w:trHeight w:val="936" w:hRule="atLeast"/>
        </w:trPr>
        <w:tc>
          <w:tcPr>
            <w:tcW w:w="30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color w:val="000000"/>
                <w:sz w:val="20"/>
                <w:szCs w:val="20"/>
              </w:rPr>
            </w:pPr>
            <w:r>
              <w:rPr>
                <w:rFonts w:hint="eastAsia"/>
                <w:color w:val="000000"/>
                <w:sz w:val="20"/>
                <w:szCs w:val="20"/>
              </w:rPr>
              <w:t>提前下达2021年城市棚户区改造补助资金（直达资金）（结转）-打通镇棚户区改造项目</w:t>
            </w:r>
          </w:p>
        </w:tc>
        <w:tc>
          <w:tcPr>
            <w:tcW w:w="3024" w:type="dxa"/>
            <w:gridSpan w:val="6"/>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自评总分</w:t>
            </w:r>
            <w:r>
              <w:rPr>
                <w:rFonts w:hint="eastAsia"/>
                <w:color w:val="000000"/>
                <w:sz w:val="20"/>
                <w:szCs w:val="20"/>
              </w:rPr>
              <w:br w:type="textWrapping"/>
            </w:r>
            <w:r>
              <w:rPr>
                <w:rFonts w:hint="eastAsia"/>
                <w:color w:val="000000"/>
                <w:sz w:val="20"/>
                <w:szCs w:val="20"/>
              </w:rPr>
              <w:t>（分)</w:t>
            </w:r>
          </w:p>
        </w:tc>
        <w:tc>
          <w:tcPr>
            <w:tcW w:w="3023" w:type="dxa"/>
            <w:gridSpan w:val="4"/>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99.94</w:t>
            </w:r>
          </w:p>
        </w:tc>
      </w:tr>
      <w:tr>
        <w:tblPrEx>
          <w:tblLayout w:type="fixed"/>
          <w:tblCellMar>
            <w:top w:w="0" w:type="dxa"/>
            <w:left w:w="108" w:type="dxa"/>
            <w:bottom w:w="0" w:type="dxa"/>
            <w:right w:w="108" w:type="dxa"/>
          </w:tblCellMar>
        </w:tblPrEx>
        <w:trPr>
          <w:trHeight w:val="936" w:hRule="atLeast"/>
        </w:trPr>
        <w:tc>
          <w:tcPr>
            <w:tcW w:w="30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重庆市綦江区打通镇人民政府</w:t>
            </w:r>
          </w:p>
        </w:tc>
        <w:tc>
          <w:tcPr>
            <w:tcW w:w="3024" w:type="dxa"/>
            <w:gridSpan w:val="6"/>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联系人</w:t>
            </w:r>
            <w:r>
              <w:rPr>
                <w:rFonts w:hint="eastAsia"/>
                <w:color w:val="000000"/>
                <w:sz w:val="20"/>
                <w:szCs w:val="20"/>
              </w:rPr>
              <w:br w:type="textWrapping"/>
            </w:r>
            <w:r>
              <w:rPr>
                <w:rFonts w:hint="eastAsia"/>
                <w:color w:val="000000"/>
                <w:sz w:val="20"/>
                <w:szCs w:val="20"/>
              </w:rPr>
              <w:t>及电话</w:t>
            </w:r>
          </w:p>
        </w:tc>
        <w:tc>
          <w:tcPr>
            <w:tcW w:w="302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left"/>
              <w:textAlignment w:val="center"/>
              <w:rPr>
                <w:color w:val="000000"/>
                <w:sz w:val="20"/>
                <w:szCs w:val="20"/>
              </w:rPr>
            </w:pPr>
            <w:r>
              <w:rPr>
                <w:rFonts w:hint="eastAsia" w:ascii="宋体" w:hAnsi="宋体" w:eastAsia="宋体" w:cs="宋体"/>
                <w:i w:val="0"/>
                <w:color w:val="000000"/>
                <w:kern w:val="0"/>
                <w:sz w:val="20"/>
                <w:szCs w:val="20"/>
                <w:u w:val="none"/>
                <w:lang w:val="en-US" w:eastAsia="zh-CN" w:bidi="ar"/>
              </w:rPr>
              <w:t>48700125</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nil"/>
            </w:tcBorders>
            <w:shd w:val="clear" w:color="auto" w:fill="auto"/>
            <w:vAlign w:val="center"/>
          </w:tcPr>
          <w:p>
            <w:pPr>
              <w:widowControl w:val="0"/>
              <w:rPr>
                <w:color w:val="000000"/>
                <w:sz w:val="20"/>
                <w:szCs w:val="20"/>
              </w:rPr>
            </w:pPr>
            <w:r>
              <w:rPr>
                <w:rFonts w:hint="eastAsia"/>
                <w:color w:val="000000"/>
                <w:sz w:val="20"/>
                <w:szCs w:val="20"/>
              </w:rPr>
              <w:t>　</w:t>
            </w:r>
          </w:p>
        </w:tc>
        <w:tc>
          <w:tcPr>
            <w:tcW w:w="1814" w:type="dxa"/>
            <w:gridSpan w:val="3"/>
            <w:tcBorders>
              <w:top w:val="single" w:color="auto" w:sz="4" w:space="0"/>
              <w:left w:val="single" w:color="auto" w:sz="4" w:space="0"/>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全年预算数（A）</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全年执行数（B）</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执行率%（B/A）</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执行率得分（分）</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rPr>
                <w:color w:val="000000"/>
                <w:sz w:val="20"/>
                <w:szCs w:val="20"/>
              </w:rPr>
            </w:pPr>
            <w:r>
              <w:rPr>
                <w:rFonts w:hint="eastAsia"/>
                <w:color w:val="000000"/>
                <w:sz w:val="20"/>
                <w:szCs w:val="20"/>
              </w:rPr>
              <w:t>年度资金总额</w:t>
            </w:r>
            <w:r>
              <w:rPr>
                <w:rFonts w:hint="eastAsia"/>
                <w:color w:val="000000"/>
                <w:sz w:val="20"/>
                <w:szCs w:val="20"/>
                <w:lang w:eastAsia="zh-CN"/>
              </w:rPr>
              <w:t>（</w:t>
            </w:r>
            <w:r>
              <w:rPr>
                <w:rFonts w:hint="eastAsia"/>
                <w:color w:val="000000"/>
                <w:sz w:val="20"/>
                <w:szCs w:val="20"/>
                <w:lang w:val="en-US" w:eastAsia="zh-CN"/>
              </w:rPr>
              <w:t>元</w:t>
            </w:r>
            <w:r>
              <w:rPr>
                <w:rFonts w:hint="eastAsia"/>
                <w:color w:val="000000"/>
                <w:sz w:val="20"/>
                <w:szCs w:val="20"/>
                <w:lang w:eastAsia="zh-CN"/>
              </w:rPr>
              <w:t>）</w:t>
            </w:r>
            <w:r>
              <w:rPr>
                <w:rFonts w:hint="eastAsia"/>
                <w:color w:val="000000"/>
                <w:sz w:val="20"/>
                <w:szCs w:val="20"/>
              </w:rPr>
              <w:t>：</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1973020.25</w:t>
            </w:r>
            <w:r>
              <w:rPr>
                <w:rFonts w:hint="eastAsia"/>
                <w:color w:val="000000"/>
                <w:sz w:val="20"/>
                <w:szCs w:val="20"/>
                <w:lang w:val="en-US" w:eastAsia="zh-CN"/>
              </w:rPr>
              <w:t xml:space="preserve">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1960970.25</w:t>
            </w:r>
            <w:r>
              <w:rPr>
                <w:rFonts w:hint="eastAsia"/>
                <w:color w:val="000000"/>
                <w:sz w:val="20"/>
                <w:szCs w:val="20"/>
                <w:lang w:val="en-US" w:eastAsia="zh-CN"/>
              </w:rPr>
              <w:t xml:space="preserve">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99.39%</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xml:space="preserve">9.94 </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其中：中央补助</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xml:space="preserve">     市级补助</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xml:space="preserve">     区级资金</w:t>
            </w:r>
          </w:p>
        </w:tc>
        <w:tc>
          <w:tcPr>
            <w:tcW w:w="1814" w:type="dxa"/>
            <w:gridSpan w:val="3"/>
            <w:tcBorders>
              <w:top w:val="single" w:color="auto" w:sz="4" w:space="0"/>
              <w:left w:val="nil"/>
              <w:bottom w:val="single" w:color="auto" w:sz="4" w:space="0"/>
              <w:right w:val="nil"/>
            </w:tcBorders>
            <w:shd w:val="clear" w:color="auto" w:fill="auto"/>
            <w:vAlign w:val="center"/>
          </w:tcPr>
          <w:p>
            <w:pPr>
              <w:keepNext w:val="0"/>
              <w:keepLines w:val="0"/>
              <w:widowControl/>
              <w:suppressLineNumbers w:val="0"/>
              <w:ind w:firstLine="240" w:firstLineChars="100"/>
              <w:jc w:val="center"/>
              <w:textAlignment w:val="center"/>
              <w:rPr>
                <w:color w:val="000000"/>
                <w:sz w:val="20"/>
                <w:szCs w:val="20"/>
              </w:rPr>
            </w:pPr>
            <w:r>
              <w:rPr>
                <w:rFonts w:hint="eastAsia" w:ascii="宋体" w:hAnsi="宋体" w:eastAsia="宋体" w:cs="宋体"/>
                <w:sz w:val="24"/>
                <w:szCs w:val="24"/>
              </w:rPr>
              <w:t>1973020.25</w:t>
            </w:r>
          </w:p>
        </w:tc>
        <w:tc>
          <w:tcPr>
            <w:tcW w:w="1813"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color w:val="000000"/>
                <w:sz w:val="20"/>
                <w:szCs w:val="20"/>
              </w:rPr>
            </w:pPr>
            <w:r>
              <w:rPr>
                <w:rFonts w:hint="eastAsia" w:ascii="宋体" w:hAnsi="宋体" w:eastAsia="宋体" w:cs="宋体"/>
                <w:sz w:val="24"/>
                <w:szCs w:val="24"/>
              </w:rPr>
              <w:t>1960970.25</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99.39%</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1813" w:type="dxa"/>
            <w:gridSpan w:val="2"/>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xml:space="preserve">     其他资金</w:t>
            </w:r>
          </w:p>
        </w:tc>
        <w:tc>
          <w:tcPr>
            <w:tcW w:w="1814" w:type="dxa"/>
            <w:gridSpan w:val="3"/>
            <w:tcBorders>
              <w:top w:val="single" w:color="auto" w:sz="4" w:space="0"/>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4"/>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3"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w:t>
            </w:r>
          </w:p>
        </w:tc>
      </w:tr>
      <w:tr>
        <w:tblPrEx>
          <w:tblLayout w:type="fixed"/>
          <w:tblCellMar>
            <w:top w:w="0" w:type="dxa"/>
            <w:left w:w="108" w:type="dxa"/>
            <w:bottom w:w="0" w:type="dxa"/>
            <w:right w:w="108" w:type="dxa"/>
          </w:tblCellMar>
        </w:tblPrEx>
        <w:trPr>
          <w:trHeight w:val="936" w:hRule="atLeast"/>
        </w:trPr>
        <w:tc>
          <w:tcPr>
            <w:tcW w:w="45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年初设定目标</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全年目标实际完成情况</w:t>
            </w:r>
          </w:p>
        </w:tc>
      </w:tr>
      <w:tr>
        <w:tblPrEx>
          <w:tblLayout w:type="fixed"/>
          <w:tblCellMar>
            <w:top w:w="0" w:type="dxa"/>
            <w:left w:w="108" w:type="dxa"/>
            <w:bottom w:w="0" w:type="dxa"/>
            <w:right w:w="108" w:type="dxa"/>
          </w:tblCellMar>
        </w:tblPrEx>
        <w:trPr>
          <w:trHeight w:val="936" w:hRule="atLeast"/>
        </w:trPr>
        <w:tc>
          <w:tcPr>
            <w:tcW w:w="45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color w:val="000000"/>
                <w:sz w:val="20"/>
                <w:szCs w:val="20"/>
              </w:rPr>
            </w:pPr>
            <w:r>
              <w:rPr>
                <w:rFonts w:hint="eastAsia" w:ascii="宋体" w:hAnsi="宋体" w:eastAsia="宋体" w:cs="宋体"/>
                <w:sz w:val="24"/>
                <w:szCs w:val="24"/>
              </w:rPr>
              <w:t>实施完成打通镇棚户区改造项目</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ascii="宋体" w:hAnsi="宋体" w:eastAsia="宋体" w:cs="宋体"/>
                <w:sz w:val="24"/>
                <w:szCs w:val="24"/>
              </w:rPr>
              <w:t>实施完成打通镇棚户区改造项目</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指标名称</w:t>
            </w:r>
            <w:r>
              <w:rPr>
                <w:rFonts w:hint="eastAsia"/>
                <w:color w:val="000000"/>
                <w:sz w:val="20"/>
                <w:szCs w:val="20"/>
              </w:rPr>
              <w:br w:type="textWrapping"/>
            </w:r>
            <w:r>
              <w:rPr>
                <w:rFonts w:hint="eastAsia"/>
                <w:color w:val="000000"/>
                <w:sz w:val="20"/>
                <w:szCs w:val="20"/>
              </w:rPr>
              <w:t>（三级指标）</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计量单位</w:t>
            </w:r>
          </w:p>
        </w:tc>
        <w:tc>
          <w:tcPr>
            <w:tcW w:w="1295" w:type="dxa"/>
            <w:gridSpan w:val="3"/>
            <w:tcBorders>
              <w:top w:val="nil"/>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rPr>
              <w:t>指标权重</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指标值</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全年完成值</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得分系数（%）</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指标得分</w:t>
            </w:r>
            <w:r>
              <w:rPr>
                <w:rFonts w:hint="eastAsia"/>
                <w:color w:val="000000"/>
                <w:sz w:val="20"/>
                <w:szCs w:val="20"/>
              </w:rPr>
              <w:br w:type="textWrapping"/>
            </w:r>
            <w:r>
              <w:rPr>
                <w:rFonts w:hint="eastAsia"/>
                <w:color w:val="000000"/>
                <w:sz w:val="20"/>
                <w:szCs w:val="20"/>
              </w:rPr>
              <w:t>（分)</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240" w:firstLineChars="100"/>
              <w:jc w:val="left"/>
              <w:textAlignment w:val="center"/>
              <w:rPr>
                <w:color w:val="000000"/>
                <w:sz w:val="20"/>
                <w:szCs w:val="20"/>
              </w:rPr>
            </w:pPr>
            <w:r>
              <w:rPr>
                <w:rFonts w:hint="eastAsia" w:ascii="宋体" w:hAnsi="宋体" w:eastAsia="宋体" w:cs="宋体"/>
                <w:sz w:val="24"/>
                <w:szCs w:val="24"/>
              </w:rPr>
              <w:t>棚户区改造涉及楼栋数</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eastAsia" w:ascii="宋体" w:hAnsi="宋体" w:eastAsia="宋体" w:cs="宋体"/>
                <w:sz w:val="24"/>
                <w:szCs w:val="24"/>
              </w:rPr>
              <w:t>座</w:t>
            </w:r>
          </w:p>
        </w:tc>
        <w:tc>
          <w:tcPr>
            <w:tcW w:w="1295" w:type="dxa"/>
            <w:gridSpan w:val="3"/>
            <w:tcBorders>
              <w:top w:val="nil"/>
              <w:left w:val="nil"/>
              <w:bottom w:val="single" w:color="auto" w:sz="4" w:space="0"/>
              <w:right w:val="nil"/>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20</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w:t>
            </w:r>
          </w:p>
        </w:tc>
        <w:tc>
          <w:tcPr>
            <w:tcW w:w="12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20</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240" w:firstLineChars="100"/>
              <w:jc w:val="left"/>
              <w:textAlignment w:val="center"/>
              <w:rPr>
                <w:color w:val="000000"/>
                <w:sz w:val="20"/>
                <w:szCs w:val="20"/>
              </w:rPr>
            </w:pPr>
            <w:r>
              <w:rPr>
                <w:rFonts w:hint="eastAsia" w:ascii="宋体" w:hAnsi="宋体" w:eastAsia="宋体" w:cs="宋体"/>
                <w:sz w:val="24"/>
                <w:szCs w:val="24"/>
              </w:rPr>
              <w:t>棚户区改造涉及群众户数</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0"/>
                <w:szCs w:val="20"/>
              </w:rPr>
            </w:pPr>
            <w:r>
              <w:rPr>
                <w:rFonts w:hint="eastAsia" w:ascii="宋体" w:hAnsi="宋体" w:eastAsia="宋体" w:cs="宋体"/>
                <w:sz w:val="24"/>
                <w:szCs w:val="24"/>
              </w:rPr>
              <w:t>户</w:t>
            </w:r>
          </w:p>
        </w:tc>
        <w:tc>
          <w:tcPr>
            <w:tcW w:w="1295" w:type="dxa"/>
            <w:gridSpan w:val="3"/>
            <w:tcBorders>
              <w:top w:val="nil"/>
              <w:left w:val="nil"/>
              <w:bottom w:val="single" w:color="auto" w:sz="4" w:space="0"/>
              <w:right w:val="nil"/>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20</w:t>
            </w:r>
          </w:p>
        </w:tc>
        <w:tc>
          <w:tcPr>
            <w:tcW w:w="129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70</w:t>
            </w:r>
          </w:p>
        </w:tc>
        <w:tc>
          <w:tcPr>
            <w:tcW w:w="129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rFonts w:hint="eastAsia" w:eastAsia="宋体"/>
                <w:color w:val="000000"/>
                <w:sz w:val="20"/>
                <w:szCs w:val="20"/>
                <w:lang w:val="en-US" w:eastAsia="zh-CN"/>
              </w:rPr>
            </w:pPr>
            <w:r>
              <w:rPr>
                <w:rFonts w:hint="eastAsia"/>
                <w:color w:val="000000"/>
                <w:sz w:val="20"/>
                <w:szCs w:val="20"/>
                <w:lang w:val="en-US" w:eastAsia="zh-CN"/>
              </w:rPr>
              <w:t>70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200" w:firstLineChars="100"/>
              <w:jc w:val="center"/>
              <w:textAlignment w:val="center"/>
              <w:rPr>
                <w:color w:val="000000"/>
                <w:sz w:val="20"/>
                <w:szCs w:val="20"/>
              </w:rPr>
            </w:pPr>
            <w:r>
              <w:rPr>
                <w:rFonts w:hint="eastAsia"/>
                <w:color w:val="000000"/>
                <w:sz w:val="20"/>
                <w:szCs w:val="20"/>
                <w:lang w:val="en-US" w:eastAsia="zh-CN"/>
              </w:rPr>
              <w:t>20</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　</w:t>
            </w:r>
            <w:r>
              <w:rPr>
                <w:rFonts w:hint="eastAsia" w:ascii="宋体" w:hAnsi="宋体" w:eastAsia="宋体" w:cs="宋体"/>
                <w:sz w:val="24"/>
                <w:szCs w:val="24"/>
              </w:rPr>
              <w:t>施工期间安全事故发生数</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案件数</w:t>
            </w:r>
          </w:p>
        </w:tc>
        <w:tc>
          <w:tcPr>
            <w:tcW w:w="1295" w:type="dxa"/>
            <w:gridSpan w:val="3"/>
            <w:tcBorders>
              <w:top w:val="nil"/>
              <w:left w:val="nil"/>
              <w:bottom w:val="single" w:color="auto" w:sz="4" w:space="0"/>
              <w:right w:val="nil"/>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20</w:t>
            </w:r>
            <w:r>
              <w:rPr>
                <w:rFonts w:hint="eastAsia"/>
                <w:color w:val="000000"/>
                <w:sz w:val="20"/>
                <w:szCs w:val="20"/>
              </w:rPr>
              <w:t>　</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0</w:t>
            </w:r>
            <w:r>
              <w:rPr>
                <w:rFonts w:hint="eastAsia"/>
                <w:color w:val="000000"/>
                <w:sz w:val="20"/>
                <w:szCs w:val="20"/>
              </w:rPr>
              <w:t>　</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0</w:t>
            </w:r>
            <w:r>
              <w:rPr>
                <w:rFonts w:hint="eastAsia"/>
                <w:color w:val="000000"/>
                <w:sz w:val="20"/>
                <w:szCs w:val="20"/>
              </w:rPr>
              <w:t>　</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rPr>
              <w:t>100%　</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color w:val="000000"/>
                <w:sz w:val="20"/>
                <w:szCs w:val="20"/>
              </w:rPr>
            </w:pPr>
            <w:r>
              <w:rPr>
                <w:rFonts w:hint="eastAsia"/>
                <w:color w:val="000000"/>
                <w:sz w:val="20"/>
                <w:szCs w:val="20"/>
                <w:lang w:val="en-US" w:eastAsia="zh-CN"/>
              </w:rPr>
              <w:t>20</w:t>
            </w:r>
            <w:r>
              <w:rPr>
                <w:rFonts w:hint="eastAsia"/>
                <w:color w:val="000000"/>
                <w:sz w:val="20"/>
                <w:szCs w:val="20"/>
              </w:rPr>
              <w:t>　</w:t>
            </w:r>
          </w:p>
        </w:tc>
      </w:tr>
      <w:tr>
        <w:tblPrEx>
          <w:tblLayout w:type="fixed"/>
          <w:tblCellMar>
            <w:top w:w="0" w:type="dxa"/>
            <w:left w:w="108" w:type="dxa"/>
            <w:bottom w:w="0" w:type="dxa"/>
            <w:right w:w="108" w:type="dxa"/>
          </w:tblCellMar>
        </w:tblPrEx>
        <w:trPr>
          <w:trHeight w:val="936" w:hRule="atLeast"/>
        </w:trPr>
        <w:tc>
          <w:tcPr>
            <w:tcW w:w="1295"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可持续惠及居民数量</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ascii="宋体" w:hAnsi="宋体" w:eastAsia="宋体" w:cs="宋体"/>
                <w:sz w:val="24"/>
                <w:szCs w:val="24"/>
              </w:rPr>
              <w:t>人</w:t>
            </w:r>
          </w:p>
        </w:tc>
        <w:tc>
          <w:tcPr>
            <w:tcW w:w="1295" w:type="dxa"/>
            <w:gridSpan w:val="3"/>
            <w:tcBorders>
              <w:top w:val="nil"/>
              <w:left w:val="nil"/>
              <w:bottom w:val="single" w:color="auto" w:sz="4" w:space="0"/>
              <w:right w:val="nil"/>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200</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200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lang w:val="en-US" w:eastAsia="zh-CN"/>
              </w:rPr>
              <w:t>20</w:t>
            </w:r>
          </w:p>
        </w:tc>
      </w:tr>
      <w:tr>
        <w:tblPrEx>
          <w:tblLayout w:type="fixed"/>
          <w:tblCellMar>
            <w:top w:w="0" w:type="dxa"/>
            <w:left w:w="108" w:type="dxa"/>
            <w:bottom w:w="0" w:type="dxa"/>
            <w:right w:w="108" w:type="dxa"/>
          </w:tblCellMar>
        </w:tblPrEx>
        <w:trPr>
          <w:trHeight w:val="936" w:hRule="atLeast"/>
        </w:trPr>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eastAsia="宋体"/>
                <w:color w:val="000000"/>
                <w:sz w:val="20"/>
                <w:szCs w:val="20"/>
                <w:lang w:val="en-US" w:eastAsia="zh-CN"/>
              </w:rPr>
            </w:pPr>
            <w:r>
              <w:rPr>
                <w:rFonts w:hint="eastAsia" w:ascii="宋体" w:hAnsi="宋体" w:eastAsia="宋体" w:cs="宋体"/>
                <w:sz w:val="24"/>
                <w:szCs w:val="24"/>
              </w:rPr>
              <w:t>　</w:t>
            </w:r>
            <w:r>
              <w:rPr>
                <w:rFonts w:hint="eastAsia" w:ascii="宋体" w:hAnsi="宋体" w:eastAsia="宋体" w:cs="宋体"/>
                <w:sz w:val="24"/>
                <w:szCs w:val="24"/>
                <w:lang w:val="en-US" w:eastAsia="zh-CN"/>
              </w:rPr>
              <w:t>改造总成本</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rPr>
              <w:t>元</w:t>
            </w:r>
          </w:p>
        </w:tc>
        <w:tc>
          <w:tcPr>
            <w:tcW w:w="1295" w:type="dxa"/>
            <w:gridSpan w:val="3"/>
            <w:tcBorders>
              <w:top w:val="nil"/>
              <w:left w:val="nil"/>
              <w:bottom w:val="single" w:color="auto" w:sz="4" w:space="0"/>
              <w:right w:val="nil"/>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10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2100000</w:t>
            </w:r>
          </w:p>
        </w:tc>
        <w:tc>
          <w:tcPr>
            <w:tcW w:w="1295" w:type="dxa"/>
            <w:gridSpan w:val="3"/>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2100000</w:t>
            </w:r>
          </w:p>
        </w:tc>
        <w:tc>
          <w:tcPr>
            <w:tcW w:w="1295" w:type="dxa"/>
            <w:gridSpan w:val="2"/>
            <w:tcBorders>
              <w:top w:val="nil"/>
              <w:left w:val="nil"/>
              <w:bottom w:val="single" w:color="auto" w:sz="4" w:space="0"/>
              <w:right w:val="single" w:color="auto" w:sz="4" w:space="0"/>
            </w:tcBorders>
            <w:shd w:val="clear" w:color="auto" w:fill="auto"/>
            <w:vAlign w:val="center"/>
          </w:tcPr>
          <w:p>
            <w:pPr>
              <w:widowControl w:val="0"/>
              <w:jc w:val="center"/>
              <w:rPr>
                <w:rFonts w:hint="eastAsia"/>
                <w:color w:val="000000"/>
                <w:sz w:val="20"/>
                <w:szCs w:val="20"/>
              </w:rPr>
            </w:pPr>
            <w:r>
              <w:rPr>
                <w:rFonts w:hint="eastAsia"/>
                <w:color w:val="000000"/>
                <w:sz w:val="20"/>
                <w:szCs w:val="20"/>
              </w:rPr>
              <w:t>100%</w:t>
            </w:r>
          </w:p>
        </w:tc>
        <w:tc>
          <w:tcPr>
            <w:tcW w:w="1300" w:type="dxa"/>
            <w:tcBorders>
              <w:top w:val="nil"/>
              <w:left w:val="nil"/>
              <w:bottom w:val="single" w:color="auto" w:sz="4" w:space="0"/>
              <w:right w:val="single" w:color="auto" w:sz="4" w:space="0"/>
            </w:tcBorders>
            <w:shd w:val="clear" w:color="auto" w:fill="auto"/>
            <w:vAlign w:val="center"/>
          </w:tcPr>
          <w:p>
            <w:pPr>
              <w:widowControl w:val="0"/>
              <w:jc w:val="center"/>
              <w:rPr>
                <w:rFonts w:hint="eastAsia" w:eastAsia="宋体"/>
                <w:color w:val="000000"/>
                <w:sz w:val="20"/>
                <w:szCs w:val="20"/>
                <w:lang w:val="en-US" w:eastAsia="zh-CN"/>
              </w:rPr>
            </w:pPr>
            <w:r>
              <w:rPr>
                <w:rFonts w:hint="eastAsia"/>
                <w:color w:val="000000"/>
                <w:sz w:val="20"/>
                <w:szCs w:val="20"/>
                <w:lang w:val="en-US" w:eastAsia="zh-CN"/>
              </w:rPr>
              <w:t>10</w:t>
            </w:r>
          </w:p>
        </w:tc>
      </w:tr>
      <w:tr>
        <w:tblPrEx>
          <w:tblLayout w:type="fixed"/>
          <w:tblCellMar>
            <w:top w:w="0" w:type="dxa"/>
            <w:left w:w="108" w:type="dxa"/>
            <w:bottom w:w="0" w:type="dxa"/>
            <w:right w:w="108" w:type="dxa"/>
          </w:tblCellMar>
        </w:tblPrEx>
        <w:trPr>
          <w:trHeight w:val="936" w:hRule="atLeast"/>
        </w:trPr>
        <w:tc>
          <w:tcPr>
            <w:tcW w:w="907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color w:val="000000"/>
                <w:sz w:val="20"/>
                <w:szCs w:val="20"/>
              </w:rPr>
            </w:pPr>
          </w:p>
        </w:tc>
      </w:tr>
    </w:tbl>
    <w:p>
      <w:pPr>
        <w:pStyle w:val="14"/>
        <w:keepNext w:val="0"/>
        <w:keepLines w:val="0"/>
        <w:pageBreakBefore w:val="0"/>
        <w:widowControl w:val="0"/>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方正仿宋_GBK"/>
          <w:sz w:val="32"/>
          <w:szCs w:val="32"/>
          <w:shd w:val="clear" w:color="auto" w:fill="FFFFFF"/>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w:t>
      </w: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9"/>
        <w:keepNext w:val="0"/>
        <w:keepLines w:val="0"/>
        <w:pageBreakBefore w:val="0"/>
        <w:widowControl w:val="0"/>
        <w:tabs>
          <w:tab w:val="center" w:pos="4153"/>
          <w:tab w:val="left" w:pos="7275"/>
        </w:tabs>
        <w:kinsoku/>
        <w:wordWrap/>
        <w:overflowPunct/>
        <w:topLinePunct w:val="0"/>
        <w:autoSpaceDN/>
        <w:bidi w:val="0"/>
        <w:adjustRightInd/>
        <w:snapToGrid/>
        <w:spacing w:before="0" w:beforeAutospacing="0" w:after="0" w:afterAutospacing="0" w:line="576"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联系方式：打通镇经济发展办公室            </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right="0" w:rightChars="0" w:firstLine="64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bookmarkStart w:id="0" w:name="_GoBack"/>
      <w:bookmarkEnd w:id="0"/>
      <w:r>
        <w:rPr>
          <w:rFonts w:hint="eastAsia" w:ascii="Times New Roman" w:hAnsi="Times New Roman" w:eastAsia="方正仿宋_GBK" w:cs="方正仿宋_GBK"/>
          <w:kern w:val="0"/>
          <w:sz w:val="32"/>
          <w:szCs w:val="32"/>
          <w:shd w:val="clear" w:color="auto" w:fill="FFFFFF"/>
          <w:lang w:val="en-US" w:eastAsia="zh-CN" w:bidi="ar-SA"/>
        </w:rPr>
        <w:t>电话48700125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重庆市綦江区打通镇人民政府（本级）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4,097.30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1,054.24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4,294.03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重庆市綦江区打通镇人民政府（本级）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4,238.26</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4,238.26</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969.39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969.39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1,287.92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684.81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684.81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重庆市綦江区打通镇人民政府（本级）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4,294.03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1,053.72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3,240.31</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1,054.24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322.27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969.39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731.97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237.41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237.41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204.16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218.86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204.16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472.46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1,338.02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154.37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1,065.47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740.27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农村综合改革示范试点补助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684.81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579.42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62.90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4,097.30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1,054.24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4,238.26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4,294.03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140.96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4,153.07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1,053.72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3,099.34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1,054.24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322.27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237.41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731.97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其他就业补助支出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水利工程运行与维护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154.37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314.20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农村综合改革示范试点补助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621.91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廉租住房</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62.90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2299999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重庆市綦江区打通镇人民政府（本级）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879.04</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140.96</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68.57</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7.73</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72.39</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重庆市綦江区打通镇人民政府（本级）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43.92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1,908.55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1,052.99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855.56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1,908.55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1,052.99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tim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enQuanYi Micro Hei">
    <w:altName w:val="宋体"/>
    <w:panose1 w:val="020B0606030804020204"/>
    <w:charset w:val="00"/>
    <w:family w:val="auto"/>
    <w:pitch w:val="default"/>
    <w:sig w:usb0="00000000" w:usb1="00000000" w:usb2="00800036" w:usb3="00000000" w:csb0="603E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7B28D"/>
    <w:multiLevelType w:val="singleLevel"/>
    <w:tmpl w:val="65F7B2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140919"/>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9C7998"/>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DC12B76"/>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3E729F"/>
    <w:rsid w:val="7D7406BB"/>
    <w:rsid w:val="7DE94331"/>
    <w:rsid w:val="7EB23FA3"/>
    <w:rsid w:val="7F446A19"/>
    <w:rsid w:val="7F7452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2025-10-16T07:14:23Z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BB46EABDBB2749749395447164B066B3_12</vt:lpwstr>
  </property>
</Properties>
</file>