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重庆市綦江区永城镇人民政府2020年度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部门决算情况说明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一、</w:t>
      </w:r>
      <w:r>
        <w:rPr>
          <w:rStyle w:val="7"/>
          <w:rFonts w:hint="eastAsia" w:ascii="方正黑体_GBK" w:hAnsi="方正黑体_GBK" w:eastAsia="方正黑体_GBK" w:cs="方正黑体_GBK"/>
          <w:b w:val="0"/>
          <w:bCs w:val="0"/>
          <w:sz w:val="32"/>
          <w:szCs w:val="32"/>
          <w:lang w:eastAsia="zh-CN"/>
        </w:rPr>
        <w:t>单位</w:t>
      </w:r>
      <w:r>
        <w:rPr>
          <w:rStyle w:val="7"/>
          <w:rFonts w:hint="eastAsia" w:ascii="方正黑体_GBK" w:hAnsi="方正黑体_GBK" w:eastAsia="方正黑体_GBK" w:cs="方正黑体_GBK"/>
          <w:b w:val="0"/>
          <w:bCs w:val="0"/>
          <w:sz w:val="32"/>
          <w:szCs w:val="32"/>
        </w:rPr>
        <w:t>基本情况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 xml:space="preserve">  </w:t>
      </w:r>
      <w:r>
        <w:rPr>
          <w:rStyle w:val="7"/>
          <w:rFonts w:hint="eastAsia" w:ascii="方正楷体_GBK" w:hAnsi="方正楷体_GBK" w:eastAsia="方正楷体_GBK" w:cs="方正楷体_GBK"/>
          <w:b w:val="0"/>
          <w:bCs w:val="0"/>
          <w:sz w:val="32"/>
          <w:szCs w:val="32"/>
        </w:rPr>
        <w:t>（一）职能职责</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依法行政，发挥经济管理职能，落实国家政策，加强政策引导，制定发展规划，积极组织税收，发展镇村经济、文化和社会事业，服务市场主体和营造发展环境，搞好市场监管、安全生产综合监管、应急管理等各项工作，大力促进社会事业发展，做好农业、林业、水利、畜牧兽医等工作，承担劳动就业、社会保障、困难帮扶等工作，提供公共服务，维护社会稳定，构建社会主义和谐社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 xml:space="preserve">  </w:t>
      </w:r>
      <w:r>
        <w:rPr>
          <w:rStyle w:val="7"/>
          <w:rFonts w:hint="eastAsia" w:ascii="方正楷体_GBK" w:hAnsi="方正楷体_GBK" w:eastAsia="方正楷体_GBK" w:cs="方正楷体_GBK"/>
          <w:b w:val="0"/>
          <w:bCs w:val="0"/>
          <w:sz w:val="32"/>
          <w:szCs w:val="32"/>
        </w:rPr>
        <w:t>（二）机构设置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sz w:val="32"/>
          <w:szCs w:val="32"/>
        </w:rPr>
        <w:t>本单位独立编制机构数共8个，其中行政单位1个，事业单位7个。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 xml:space="preserve">  </w:t>
      </w:r>
      <w:r>
        <w:rPr>
          <w:rStyle w:val="7"/>
          <w:rFonts w:hint="eastAsia" w:ascii="方正楷体_GBK" w:hAnsi="方正楷体_GBK" w:eastAsia="方正楷体_GBK" w:cs="方正楷体_GBK"/>
          <w:b w:val="0"/>
          <w:bCs w:val="0"/>
          <w:sz w:val="32"/>
          <w:szCs w:val="32"/>
        </w:rPr>
        <w:t>（三）单位构成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从预算单位构成看，纳入本单位2020年度决算编制的二级预算单位主要包括：党政办公室、党群工作办公室、人大办公室、经济发展办公室（统计办公室、农村经营管理办公室）、民政和社会事务办公室（卫生健康办公室）、平安建设办公室、规划建设管理环保办公室、财政办公室、应急管理办公室、综合行政执法办公室。</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事业单位：农业服务中心、文化服务中心、劳动就业和社会保障服务所、退役军人服务站、综合行政执法大队、建设环保服务中心、</w:t>
      </w:r>
      <w:r>
        <w:rPr>
          <w:rFonts w:hint="eastAsia" w:ascii="方正仿宋_GBK" w:hAnsi="方正仿宋_GBK" w:eastAsia="方正仿宋_GBK" w:cs="方正仿宋_GBK"/>
          <w:sz w:val="32"/>
          <w:szCs w:val="32"/>
          <w:lang w:eastAsia="zh-CN"/>
        </w:rPr>
        <w:t>旅游</w:t>
      </w:r>
      <w:r>
        <w:rPr>
          <w:rFonts w:hint="eastAsia" w:ascii="方正仿宋_GBK" w:hAnsi="方正仿宋_GBK" w:eastAsia="方正仿宋_GBK" w:cs="方正仿宋_GBK"/>
          <w:sz w:val="32"/>
          <w:szCs w:val="32"/>
        </w:rPr>
        <w:t>服务中心。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（一）收入支出决算总体情况说明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。2020年度收入总计3,892.86万元，支出总计3,892.86万元。收支较上年决算数减少1,758.06万元、 下降</w:t>
      </w:r>
      <w:r>
        <w:rPr>
          <w:rFonts w:hint="eastAsia" w:ascii="方正仿宋_GBK" w:hAnsi="方正仿宋_GBK" w:eastAsia="方正仿宋_GBK" w:cs="方正仿宋_GBK"/>
          <w:vanish/>
          <w:sz w:val="32"/>
          <w:szCs w:val="32"/>
        </w:rPr>
        <w:t xml:space="preserve"> </w:t>
      </w:r>
      <w:r>
        <w:rPr>
          <w:rFonts w:hint="eastAsia" w:ascii="方正仿宋_GBK" w:hAnsi="方正仿宋_GBK" w:eastAsia="方正仿宋_GBK" w:cs="方正仿宋_GBK"/>
          <w:sz w:val="32"/>
          <w:szCs w:val="32"/>
        </w:rPr>
        <w:t>31.1%，主要原因是乡村振兴资金、凤马路工程款、各项垃圾清运费及农业发展项目资金减少。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color w:val="FF0000"/>
          <w:sz w:val="32"/>
          <w:szCs w:val="32"/>
          <w:shd w:val="clear" w:color="auto" w:fill="FFFF00"/>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2020年度收入合计3,577.68万元，较上年决算数减少1,769.24万元，下降33.1%，主要原因是乡村振兴资金和农业发展项目资金减少。其中：财政拨款收入3,577.68万元，占100%；事业收入0.00万元，占0%；经营收入0.00万元，占0%；其他收入0.00万元，占0%。此外，使用非财政拨款结余0.00万元，年初结转和结余315.18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color w:val="FF0000"/>
          <w:sz w:val="32"/>
          <w:szCs w:val="32"/>
          <w:shd w:val="clear" w:color="auto" w:fill="FFFF00"/>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2020年度支出合计3,881.68万元，较上年决算数减少1,465.24万元，下降27.4%，主要原因是乡村振兴资金、凤马路工程款及各项垃圾清运费减少。其中：基本支出 1,626.41万元，占41.9%；项目支出2,255.27万元，占58.1%；经营支出0.00万元，占0%。此外，结余分配0.00万元。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2020年度年末结转和结余11.18万元，较上年决算数减少292.82万元，下降96.3%，主要原因是乡村振兴资金及农业发展项目资金支出增加。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（二）财政拨款收入支出决算总体情况说明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2020年度财政拨款收、支总计3,892.86万元。与2019年相比，财政拨款收、支总计各减少1,758.06万 元，下降31.1%。主要原因是乡村振兴资金、凤马路工程款、各项垃圾清运费及农业发展项目资金减少。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（三）一般公共预算财政拨款支出决算情况说明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2020年度一般公共预算财政拨款收入3,416.55万元，较上年决算数减少1,902.27万元，下降35.8%。主要原因是乡村振兴资金、凤马路工程款、各项垃圾清运费及农业发展项目资金减少。较年初预算数增加36.55万元，增长1.1%。主要原因是乡村振兴项目资金增加。此外，年初财政拨款结转和结余264.67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2020年度一般公共预算财政拨款支出3,680.55万元，较上年决算数减少1,638.27万元，下降30.8%。主要原因是乡村振兴资金、凤马路工程款、各项垃圾清运费及农业发展项目资金减少。较年初预算数 增加35.88万元，增长1%。主要原因是乡村振兴项目资金增加。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2020年度年末一般公共预算财政拨款结转和结余0.67万元，较上年决算数减少263.33万元，下降99.7%，主要原因是乡村振兴资金及农业发展项目资金支出增加。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 xml:space="preserve">。本部门2020年度一般公共预算财政拨款支出主要用于以下几个方面：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（1）一般公共服务支出1,227.40万元，占33.3%，较年初预算数减少2.60万元，下降0.2%，主要原因是公共服务支出减少。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（2）文化旅游体育与传媒支出308.09万元，占8.4%，较年初预算数增加0.09万元，增长0%，主要原因是文化旅游体育与传媒支出增加。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（3）社会保障与就业支出974.06万元，占26.5%，较年初预算数增加0.06万元，增长0%，主要原因是社会保障与就业支出增加。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（4）卫生健康支出96.78万元，占2.6%，较年初预算数减少0.22万 元，下降0.2%，主要原因是卫生健康支出减少。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（5）城乡社区支出336.00万元，占9.1%，较年初预算数增加0.00万 元，增长0%，与年初预算数一致。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（6）农林水支出619.47万元，占16.8%，较年初预算数减少0.53万 元，下降0.1%，主要原因是农林水支出减少。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（7）住房保障支出83.17万元，占2.3%，较年初预算数增加3.50万 元，增长4.4%，主要原因是住房保障支出增加。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（8）灾害防治及应急管理支出35.57万元，占1%，较年初预算数增加35.57万元，增长%，主要原因是灾害防治及应急管理支出增加。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（四）一般公共预算财政拨款基本支出决算情况说明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2020年度一般公共财政拨款基本支出1,626.41万元。其中：人员经费1,179.18万元，较上年决算数增加390.50万 元，增长49.5%，主要原因是2020年度机关及下属事业单位新招录、调离人员品叠后较去年年末增加5人。人员经费用途主要包括. 工资福利支出和商品服务支出。公用经费447.23万元，较上年决算数增加65.78万元，增长17.2%，主要原因是办公费增加64.35万元。公用经费用途主要包括办公费及对个人和家庭的补助。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（五）政府性基金预算收支决算情况说明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2020年度政府性基金预算财政拨款年初结转结余50.51万元，年末结转结余10.51万元。本年收入161.13万元，较上年决算数增加133.03万元，增长473.4%，主要原因是抗疫特别国债安排的支出的增加。本年支出201.13万元，较上年决算数增加173.03万元，增长615.8%，主要原因是抗疫特别国债安排的支出的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（六）国有资本经营预算财政拨款支决算情况说明</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本单位2020年度无国有资本经营预算财政拨款支出。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（一）“三公”经费支出总体情况说明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2020年度“三公”经费支出共计15.13万元，较年初预算数减少4.87万元，下降24.4%，主要原因是我镇严格执行财经制度要求，压缩公用经费开支。 较上年支出数减少11.35万 元，下降42.9%，主要原因是我镇严格执行财经制度要求，压缩公用经费开支。</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（二）“三公”经费分项支出情况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1.本单位2020年度未发生因公出国（境）费用支出</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2.本单位2020年度未发生公务车购置费用支出</w:t>
      </w:r>
      <w:r>
        <w:rPr>
          <w:rFonts w:hint="eastAsia" w:ascii="方正仿宋_GBK" w:hAnsi="方正仿宋_GBK" w:eastAsia="方正仿宋_GBK" w:cs="方正仿宋_GBK"/>
          <w:sz w:val="32"/>
          <w:szCs w:val="32"/>
          <w:lang w:val="en-US"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公务车运行维护费8.29万元，主要</w:t>
      </w:r>
      <w:r>
        <w:rPr>
          <w:rFonts w:hint="eastAsia" w:ascii="方正仿宋_GBK" w:hAnsi="方正仿宋_GBK" w:eastAsia="方正仿宋_GBK" w:cs="方正仿宋_GBK"/>
          <w:sz w:val="32"/>
          <w:szCs w:val="32"/>
          <w:lang w:eastAsia="zh-CN"/>
        </w:rPr>
        <w:t>原因是</w:t>
      </w:r>
      <w:r>
        <w:rPr>
          <w:rFonts w:hint="eastAsia" w:ascii="方正仿宋_GBK" w:hAnsi="方正仿宋_GBK" w:eastAsia="方正仿宋_GBK" w:cs="方正仿宋_GBK"/>
          <w:sz w:val="32"/>
          <w:szCs w:val="32"/>
        </w:rPr>
        <w:t>用于公务车运行及维护。费用支出较年初预算数减少1.71万元，下降17.1%，主要原因是严格落实中央八项规定，牢固树立过“紧日子”思想，多措并举，厉行节约，从严控制公务用车。较上年支出数减少5.17万元，下降38.4%，主要原因是严格落实中央八项规定，牢固树立过“紧日子”思想，多措并举，厉行节约，从严控制公务用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bookmarkStart w:id="0" w:name="_GoBack"/>
      <w:bookmarkEnd w:id="0"/>
      <w:r>
        <w:rPr>
          <w:rFonts w:hint="eastAsia" w:ascii="方正仿宋_GBK" w:hAnsi="方正仿宋_GBK" w:eastAsia="方正仿宋_GBK" w:cs="方正仿宋_GBK"/>
          <w:sz w:val="32"/>
          <w:szCs w:val="32"/>
        </w:rPr>
        <w:t>公务接待费6.84万元，主要用于接待接待上级部门指导工作及本单位会议召开会议餐费等。费用支出较年初预算数减少3.16万元，下降31.6%，主要原因是严格落实中央八项规定，牢固树立过“紧日子”思想，多措并举，厉行节约，从严控制公务接待费。较上年支出数减少6.18万元，下降47.5%，主要原因是严格落实中央八项规定，牢固树立过“紧日子”思想，多措并举，厉行节约，从严控制公务接待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（三）“三公”经费实物量情况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2020年度本部门因公出国（境）共计0个团组，0人；公务用车购置0辆，公务车保有量为4辆；国内公务接待120批次980人，其中：国内外 事接待0批次，0人；国（境）外公务接待0批次，0人。2020年本部门人均接待费69.77元，车均购置费0.00万元，车均维护费2.07万元。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四、其他需要说明的事项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（一）机关运行经费情况说明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2020年度本部门机关运行经费支出447.00万元，机关运行经费主要用于开支机关办公费、电费、水费、邮电费、会议费、差旅费、公务接待费、劳务费、委托业务费、印刷费、工会经费、公务车运行及维护费用等。 机关运行经费较上年决算数增加65.55万元，增长17.2%，主要原因是办公费增加。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本年度会议费支出8.34万元，较上年决算数减少12.60万元，下降60.2%，主要原因是严格落实中央八项规定，牢固树立过“紧日子”思想，多措并举，厉行节约，从严控制会议费支出。本年度培训费支出 0.50万元，较上年决算数减少1.04万元，下降67.5%，主要原因是严格落实中央八项规定，牢固树立过“紧日子”思想，多措并举，厉行节约，从严控制培训费支出。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（二）国有资产占用情况说明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截至2020年12月31日，本部门共有车辆6辆，其中，机要通信用车1辆、应急保障用车3辆，特种专业技术用车2辆。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（三）政府采购支出情况说明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2020年度本部门政府采购支出总额4.40万元，其中：政府采购货物支出4.40万元。授予中小企业合同金额4.40万元，占政府采购支出总额的100%，其中：授予小微企业合同金额 4.40万元，占政府采购支出总额的100%。主要用于采购各项办公设备采购等。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五、预算绩效管理情况说明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Style w:val="7"/>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（一）预算绩效管理范围将基础设施建设、民生资金等项目列入绩效评价范围，不断提高项目资金的使用效益。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Style w:val="7"/>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（二）加强绩效评价管理与财政资金监管，财政监督检查工作的相互融合，绩效评价在预算分配、预算执行、结果应用的全过程管理机制不断完善。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Style w:val="7"/>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三）不断加强学习，建立预算绩效管理理念。对资金投入、资金使用方向、项目实施产生的效益总体把握，在年度预算资金分配中掌握主动权，预算绩效目标的申报与批复，也在一定程度上促进了预算编制的科学合理性。</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六、专业名词解释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（一）财政拨款收入</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（二）事业收入</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（三）经营收入</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（四）其他收入</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（五）使用非财政拨款结余</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（六）年初结转和结余</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（七）结余分配</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指单位按照国家有关规定，</w:t>
      </w:r>
      <w:r>
        <w:rPr>
          <w:rFonts w:hint="eastAsia" w:ascii="方正仿宋_GBK" w:hAnsi="方正仿宋_GBK" w:eastAsia="方正仿宋_GBK" w:cs="方正仿宋_GBK"/>
          <w:sz w:val="32"/>
          <w:szCs w:val="32"/>
          <w:lang w:eastAsia="zh-CN"/>
        </w:rPr>
        <w:t>交纳</w:t>
      </w:r>
      <w:r>
        <w:rPr>
          <w:rFonts w:hint="eastAsia" w:ascii="方正仿宋_GBK" w:hAnsi="方正仿宋_GBK" w:eastAsia="方正仿宋_GBK" w:cs="方正仿宋_GBK"/>
          <w:sz w:val="32"/>
          <w:szCs w:val="32"/>
        </w:rPr>
        <w:t>所得税、提取专用基金、转入非财政拨款结余等当年结余的分配情况。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（八）年末结转和结余</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（九）基本支出</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（十）项目支出</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（十一）经营支出</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（十二）“三公”经费</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（十三）机关运行经费</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（十四）工资福利支出（支出经济分类科目类级）</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w:t>
      </w:r>
      <w:r>
        <w:rPr>
          <w:rFonts w:hint="eastAsia" w:ascii="方正仿宋_GBK" w:hAnsi="方正仿宋_GBK" w:eastAsia="方正仿宋_GBK" w:cs="方正仿宋_GBK"/>
          <w:sz w:val="32"/>
          <w:szCs w:val="32"/>
          <w:lang w:eastAsia="zh-CN"/>
        </w:rPr>
        <w:t>交纳</w:t>
      </w:r>
      <w:r>
        <w:rPr>
          <w:rFonts w:hint="eastAsia" w:ascii="方正仿宋_GBK" w:hAnsi="方正仿宋_GBK" w:eastAsia="方正仿宋_GBK" w:cs="方正仿宋_GBK"/>
          <w:sz w:val="32"/>
          <w:szCs w:val="32"/>
        </w:rPr>
        <w:t>的各项社会保险费等。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（十五）商品和服务支出（支出经济分类科目类级）</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（十六）对个人和家庭的补助（支出经济分类科目类级）</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（十七）其他资本性支出（支出经济分类科目类级）</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七、决算公开联系方式及信息反馈渠道</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本单位决算公开信息反馈和联系方式：023-48489098</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仿宋_GBK" w:hAnsi="方正仿宋_GBK" w:eastAsia="方正仿宋_GBK" w:cs="方正仿宋_GBK"/>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jg0OTk2NjJmNTIyZjRmMGQ1NjVkMjQyZDIxODk3NzkifQ=="/>
  </w:docVars>
  <w:rsids>
    <w:rsidRoot w:val="00F95E2C"/>
    <w:rsid w:val="0001495E"/>
    <w:rsid w:val="0006468C"/>
    <w:rsid w:val="000C389E"/>
    <w:rsid w:val="000E7447"/>
    <w:rsid w:val="0011032D"/>
    <w:rsid w:val="001160FE"/>
    <w:rsid w:val="001276CC"/>
    <w:rsid w:val="001600BE"/>
    <w:rsid w:val="001A6452"/>
    <w:rsid w:val="001E724D"/>
    <w:rsid w:val="00253AB2"/>
    <w:rsid w:val="002F47E1"/>
    <w:rsid w:val="00352B59"/>
    <w:rsid w:val="00354A95"/>
    <w:rsid w:val="003C1933"/>
    <w:rsid w:val="00404FD7"/>
    <w:rsid w:val="00427613"/>
    <w:rsid w:val="00447040"/>
    <w:rsid w:val="004E049B"/>
    <w:rsid w:val="00503ADC"/>
    <w:rsid w:val="00526DDA"/>
    <w:rsid w:val="00546FA0"/>
    <w:rsid w:val="005B2E50"/>
    <w:rsid w:val="0062555E"/>
    <w:rsid w:val="006535C5"/>
    <w:rsid w:val="006A29C0"/>
    <w:rsid w:val="00745EDE"/>
    <w:rsid w:val="007649E5"/>
    <w:rsid w:val="007C22A2"/>
    <w:rsid w:val="00823838"/>
    <w:rsid w:val="0085542D"/>
    <w:rsid w:val="00895436"/>
    <w:rsid w:val="008B2014"/>
    <w:rsid w:val="009209A0"/>
    <w:rsid w:val="009225A3"/>
    <w:rsid w:val="00936CE3"/>
    <w:rsid w:val="00A207B7"/>
    <w:rsid w:val="00A24F45"/>
    <w:rsid w:val="00A52F15"/>
    <w:rsid w:val="00A84363"/>
    <w:rsid w:val="00A91B25"/>
    <w:rsid w:val="00B360FD"/>
    <w:rsid w:val="00BA355E"/>
    <w:rsid w:val="00BF1AD2"/>
    <w:rsid w:val="00C05576"/>
    <w:rsid w:val="00C71954"/>
    <w:rsid w:val="00D16195"/>
    <w:rsid w:val="00D2309D"/>
    <w:rsid w:val="00DC6775"/>
    <w:rsid w:val="00E77EB9"/>
    <w:rsid w:val="00E81623"/>
    <w:rsid w:val="00EE00A0"/>
    <w:rsid w:val="00EF62CC"/>
    <w:rsid w:val="00F03489"/>
    <w:rsid w:val="00F55174"/>
    <w:rsid w:val="00F95E2C"/>
    <w:rsid w:val="00F96F72"/>
    <w:rsid w:val="2D2B45A9"/>
    <w:rsid w:val="3C1B7F09"/>
    <w:rsid w:val="5CDC5705"/>
    <w:rsid w:val="5F670B6B"/>
    <w:rsid w:val="61DC46A2"/>
    <w:rsid w:val="6DF6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 w:type="paragraph" w:styleId="10">
    <w:name w:val="List Paragraph"/>
    <w:basedOn w:val="1"/>
    <w:qFormat/>
    <w:uiPriority w:val="34"/>
    <w:pPr>
      <w:widowControl w:val="0"/>
      <w:ind w:firstLine="420" w:firstLineChars="200"/>
      <w:jc w:val="both"/>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11</Pages>
  <Words>4902</Words>
  <Characters>5506</Characters>
  <Lines>43</Lines>
  <Paragraphs>12</Paragraphs>
  <TotalTime>88</TotalTime>
  <ScaleCrop>false</ScaleCrop>
  <LinksUpToDate>false</LinksUpToDate>
  <CharactersWithSpaces>5540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2022-08-25T06:57:00Z</dcterms:created>
  <dc:creator>Micorosoft</dc:creator>
  <cp:lastModifiedBy>Administrator</cp:lastModifiedBy>
  <dcterms:modified xsi:type="dcterms:W3CDTF">2022-08-30T08:22:12Z</dcterms:modified>
  <dc:title>公开报告模板</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A21FE88854A4497C81E137B605A8BDCA</vt:lpwstr>
  </property>
</Properties>
</file>