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Times New Roman" w:hAnsi="Times New Roman" w:eastAsia="方正小标宋_GBK" w:cs="Times New Roman"/>
          <w:b w:val="0"/>
          <w:bCs w:val="0"/>
          <w:kern w:val="2"/>
          <w:sz w:val="44"/>
          <w:szCs w:val="44"/>
          <w:lang w:val="en-US" w:eastAsia="zh-CN"/>
        </w:rPr>
      </w:pPr>
      <w:r>
        <w:rPr>
          <w:rFonts w:hint="eastAsia" w:ascii="Times New Roman" w:hAnsi="Times New Roman" w:eastAsia="方正小标宋_GBK" w:cs="Times New Roman"/>
          <w:b w:val="0"/>
          <w:bCs w:val="0"/>
          <w:kern w:val="2"/>
          <w:sz w:val="44"/>
          <w:szCs w:val="44"/>
          <w:lang w:val="en-US" w:eastAsia="zh-CN"/>
        </w:rPr>
        <w:t>重庆市綦江区数据资源管理和应用推广中心</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default" w:ascii="Times New Roman" w:hAnsi="Times New Roman" w:eastAsia="方正小标宋_GBK" w:cs="Times New Roman"/>
          <w:b w:val="0"/>
          <w:bCs w:val="0"/>
          <w:kern w:val="2"/>
          <w:sz w:val="44"/>
          <w:szCs w:val="44"/>
          <w:lang w:val="en-US" w:eastAsia="zh-CN"/>
        </w:rPr>
      </w:pPr>
      <w:r>
        <w:rPr>
          <w:rFonts w:hint="eastAsia" w:ascii="Times New Roman" w:hAnsi="Times New Roman" w:eastAsia="方正小标宋_GBK" w:cs="Times New Roman"/>
          <w:b w:val="0"/>
          <w:bCs w:val="0"/>
          <w:kern w:val="2"/>
          <w:sz w:val="44"/>
          <w:szCs w:val="44"/>
          <w:lang w:val="en-US" w:eastAsia="zh-CN"/>
        </w:rPr>
        <w:t>2024年度决算公开说明</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方正楷体_GBK" w:cs="方正楷体_GBK"/>
          <w:b w:val="0"/>
          <w:bCs w:val="0"/>
          <w:sz w:val="32"/>
          <w:szCs w:val="32"/>
          <w:shd w:val="clear" w:color="auto" w:fill="FFFFFF"/>
          <w:lang w:val="en-US" w:eastAsia="zh-CN"/>
        </w:rPr>
      </w:pPr>
      <w:r>
        <w:rPr>
          <w:rFonts w:hint="eastAsia" w:ascii="Times New Roman" w:hAnsi="Times New Roman" w:eastAsia="方正楷体_GBK" w:cs="方正楷体_GBK"/>
          <w:b w:val="0"/>
          <w:bCs w:val="0"/>
          <w:sz w:val="32"/>
          <w:szCs w:val="32"/>
          <w:shd w:val="clear" w:color="auto" w:fill="FFFFFF"/>
          <w:lang w:val="en-US" w:eastAsia="zh-CN"/>
        </w:rPr>
        <w:t>（一）职能职责</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方正仿宋_GBK"/>
          <w:b w:val="0"/>
          <w:bCs w:val="0"/>
          <w:sz w:val="32"/>
          <w:szCs w:val="32"/>
          <w:shd w:val="clear" w:color="auto" w:fill="FFFFFF"/>
          <w:lang w:val="en-US" w:eastAsia="zh-CN"/>
        </w:rPr>
      </w:pPr>
      <w:r>
        <w:rPr>
          <w:rFonts w:hint="default" w:ascii="Times New Roman" w:hAnsi="Times New Roman" w:eastAsia="方正仿宋_GBK" w:cs="方正仿宋_GBK"/>
          <w:b w:val="0"/>
          <w:bCs w:val="0"/>
          <w:sz w:val="32"/>
          <w:szCs w:val="32"/>
          <w:shd w:val="clear" w:color="auto" w:fill="FFFFFF"/>
          <w:lang w:val="en-US" w:eastAsia="zh-CN"/>
        </w:rPr>
        <w:t>1.负责数据资源建设、管理，促进大数据政用、民用、商用，推动社会数据汇聚整合、互联互通、资源共享。</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方正仿宋_GBK"/>
          <w:b w:val="0"/>
          <w:bCs w:val="0"/>
          <w:sz w:val="32"/>
          <w:szCs w:val="32"/>
          <w:shd w:val="clear" w:color="auto" w:fill="FFFFFF"/>
          <w:lang w:val="en-US" w:eastAsia="zh-CN"/>
        </w:rPr>
      </w:pPr>
      <w:r>
        <w:rPr>
          <w:rFonts w:hint="default" w:ascii="Times New Roman" w:hAnsi="Times New Roman" w:eastAsia="方正仿宋_GBK" w:cs="方正仿宋_GBK"/>
          <w:b w:val="0"/>
          <w:bCs w:val="0"/>
          <w:sz w:val="32"/>
          <w:szCs w:val="32"/>
          <w:shd w:val="clear" w:color="auto" w:fill="FFFFFF"/>
          <w:lang w:val="en-US" w:eastAsia="zh-CN"/>
        </w:rPr>
        <w:t>2.负责推动大数据、人工智能、信息化领域对外交流合作。组织参与国内外重大交流合作活动，指导开展区域合作、国际化经营，承办相关活动。</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方正仿宋_GBK"/>
          <w:b w:val="0"/>
          <w:bCs w:val="0"/>
          <w:sz w:val="32"/>
          <w:szCs w:val="32"/>
          <w:shd w:val="clear" w:color="auto" w:fill="FFFFFF"/>
          <w:lang w:val="en-US" w:eastAsia="zh-CN"/>
        </w:rPr>
      </w:pPr>
      <w:r>
        <w:rPr>
          <w:rFonts w:hint="default" w:ascii="Times New Roman" w:hAnsi="Times New Roman" w:eastAsia="方正仿宋_GBK" w:cs="方正仿宋_GBK"/>
          <w:b w:val="0"/>
          <w:bCs w:val="0"/>
          <w:sz w:val="32"/>
          <w:szCs w:val="32"/>
          <w:shd w:val="clear" w:color="auto" w:fill="FFFFFF"/>
          <w:lang w:val="en-US" w:eastAsia="zh-CN"/>
        </w:rPr>
        <w:t>3.指导大数据、人工智能、信息化人才队伍建设工作。指导相关行业协会、学会、联盟机构工作。</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方正仿宋_GBK"/>
          <w:b w:val="0"/>
          <w:bCs w:val="0"/>
          <w:sz w:val="32"/>
          <w:szCs w:val="32"/>
          <w:shd w:val="clear" w:color="auto" w:fill="FFFFFF"/>
          <w:lang w:val="en-US" w:eastAsia="zh-CN"/>
        </w:rPr>
      </w:pPr>
      <w:r>
        <w:rPr>
          <w:rFonts w:hint="default" w:ascii="Times New Roman" w:hAnsi="Times New Roman" w:eastAsia="方正仿宋_GBK" w:cs="方正仿宋_GBK"/>
          <w:b w:val="0"/>
          <w:bCs w:val="0"/>
          <w:sz w:val="32"/>
          <w:szCs w:val="32"/>
          <w:shd w:val="clear" w:color="auto" w:fill="FFFFFF"/>
          <w:lang w:val="en-US" w:eastAsia="zh-CN"/>
        </w:rPr>
        <w:t>4.完成区大数据发展局交办的其他工作。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楷体_GBK" w:cs="方正楷体_GBK"/>
          <w:b w:val="0"/>
          <w:bCs w:val="0"/>
          <w:sz w:val="32"/>
          <w:szCs w:val="32"/>
          <w:shd w:val="clear" w:color="auto" w:fill="FFFFFF"/>
          <w:lang w:val="en-US" w:eastAsia="zh-CN"/>
        </w:rPr>
      </w:pPr>
      <w:r>
        <w:rPr>
          <w:rFonts w:hint="default" w:ascii="Times New Roman" w:hAnsi="Times New Roman" w:eastAsia="方正楷体_GBK" w:cs="方正楷体_GBK"/>
          <w:b w:val="0"/>
          <w:bCs w:val="0"/>
          <w:sz w:val="32"/>
          <w:szCs w:val="32"/>
          <w:shd w:val="clear" w:color="auto" w:fill="FFFFFF"/>
          <w:lang w:val="en-US" w:eastAsia="zh-CN"/>
        </w:rPr>
        <w:t>（二）机构设置</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rPr>
      </w:pPr>
      <w:r>
        <w:rPr>
          <w:rFonts w:hint="default" w:ascii="Times New Roman" w:hAnsi="Times New Roman" w:eastAsia="方正仿宋_GBK" w:cs="方正仿宋_GBK"/>
          <w:b w:val="0"/>
          <w:bCs w:val="0"/>
          <w:sz w:val="32"/>
          <w:szCs w:val="32"/>
          <w:shd w:val="clear" w:color="auto" w:fill="FFFFFF"/>
          <w:lang w:val="en-US" w:eastAsia="zh-CN"/>
        </w:rPr>
        <w:t>重庆市綦江区数据资源管理和应用推广中心属公益一类事业单位，内设科室1个。核定事业编制5人，</w:t>
      </w:r>
      <w:r>
        <w:rPr>
          <w:rFonts w:hint="eastAsia" w:ascii="Times New Roman" w:hAnsi="Times New Roman" w:eastAsia="方正仿宋_GBK" w:cs="方正仿宋_GBK"/>
          <w:b w:val="0"/>
          <w:bCs w:val="0"/>
          <w:sz w:val="32"/>
          <w:szCs w:val="32"/>
          <w:shd w:val="clear" w:color="auto" w:fill="FFFFFF"/>
          <w:lang w:val="en-US" w:eastAsia="zh-CN"/>
        </w:rPr>
        <w:t>截至</w:t>
      </w:r>
      <w:r>
        <w:rPr>
          <w:rFonts w:hint="default" w:ascii="Times New Roman" w:hAnsi="Times New Roman" w:eastAsia="方正仿宋_GBK" w:cs="方正仿宋_GBK"/>
          <w:b w:val="0"/>
          <w:bCs w:val="0"/>
          <w:sz w:val="32"/>
          <w:szCs w:val="32"/>
          <w:shd w:val="clear" w:color="auto" w:fill="FFFFFF"/>
          <w:lang w:val="en-US" w:eastAsia="zh-CN"/>
        </w:rPr>
        <w:t>202</w:t>
      </w:r>
      <w:r>
        <w:rPr>
          <w:rFonts w:hint="eastAsia" w:ascii="Times New Roman" w:hAnsi="Times New Roman" w:eastAsia="方正仿宋_GBK" w:cs="方正仿宋_GBK"/>
          <w:b w:val="0"/>
          <w:bCs w:val="0"/>
          <w:sz w:val="32"/>
          <w:szCs w:val="32"/>
          <w:shd w:val="clear" w:color="auto" w:fill="FFFFFF"/>
          <w:lang w:val="en-US" w:eastAsia="zh-CN"/>
        </w:rPr>
        <w:t>4</w:t>
      </w:r>
      <w:r>
        <w:rPr>
          <w:rFonts w:hint="default" w:ascii="Times New Roman" w:hAnsi="Times New Roman" w:eastAsia="方正仿宋_GBK" w:cs="方正仿宋_GBK"/>
          <w:b w:val="0"/>
          <w:bCs w:val="0"/>
          <w:sz w:val="32"/>
          <w:szCs w:val="32"/>
          <w:shd w:val="clear" w:color="auto" w:fill="FFFFFF"/>
          <w:lang w:val="en-US" w:eastAsia="zh-CN"/>
        </w:rPr>
        <w:t>年12月，有在职事业人员</w:t>
      </w:r>
      <w:r>
        <w:rPr>
          <w:rFonts w:hint="eastAsia" w:ascii="Times New Roman" w:hAnsi="Times New Roman" w:eastAsia="方正仿宋_GBK" w:cs="方正仿宋_GBK"/>
          <w:b w:val="0"/>
          <w:bCs w:val="0"/>
          <w:sz w:val="32"/>
          <w:szCs w:val="32"/>
          <w:shd w:val="clear" w:color="auto" w:fill="FFFFFF"/>
          <w:lang w:val="en-US" w:eastAsia="zh-CN"/>
        </w:rPr>
        <w:t>4</w:t>
      </w:r>
      <w:r>
        <w:rPr>
          <w:rFonts w:hint="default" w:ascii="Times New Roman" w:hAnsi="Times New Roman" w:eastAsia="方正仿宋_GBK" w:cs="方正仿宋_GBK"/>
          <w:b w:val="0"/>
          <w:bCs w:val="0"/>
          <w:sz w:val="32"/>
          <w:szCs w:val="32"/>
          <w:shd w:val="clear" w:color="auto" w:fill="FFFFFF"/>
          <w:lang w:val="en-US" w:eastAsia="zh-CN"/>
        </w:rPr>
        <w:t>人</w:t>
      </w:r>
      <w:r>
        <w:rPr>
          <w:rFonts w:hint="eastAsia" w:ascii="Times New Roman" w:hAnsi="Times New Roman" w:eastAsia="方正仿宋_GBK" w:cs="方正仿宋_GBK"/>
          <w:b w:val="0"/>
          <w:bCs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rPr>
      </w:pPr>
      <w:r>
        <w:rPr>
          <w:rFonts w:hint="eastAsia" w:ascii="Times New Roman" w:hAnsi="Times New Roman" w:eastAsia="方正仿宋_GBK" w:cs="方正仿宋_GBK"/>
          <w:b w:val="0"/>
          <w:bCs w:val="0"/>
          <w:sz w:val="32"/>
          <w:szCs w:val="32"/>
          <w:shd w:val="clear" w:color="auto" w:fill="FFFFFF"/>
          <w:lang w:val="en-US" w:eastAsia="zh-CN"/>
        </w:rPr>
        <w:t>当年人员变动情况</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8月</w:t>
      </w:r>
      <w:r>
        <w:rPr>
          <w:rFonts w:hint="eastAsia" w:ascii="Times New Roman" w:hAnsi="Times New Roman" w:eastAsia="方正仿宋_GBK" w:cs="Times New Roman"/>
          <w:color w:val="auto"/>
          <w:kern w:val="2"/>
          <w:sz w:val="32"/>
          <w:szCs w:val="32"/>
          <w:lang w:val="en-US" w:eastAsia="zh-CN" w:bidi="ar-SA"/>
        </w:rPr>
        <w:t>调出1人，全年</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录用见习生5人，目前仍在岗2人。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楷体_GBK" w:cs="方正楷体_GBK"/>
          <w:b w:val="0"/>
          <w:bCs w:val="0"/>
          <w:sz w:val="32"/>
          <w:szCs w:val="32"/>
          <w:shd w:val="clear" w:color="auto" w:fill="FFFFFF"/>
          <w:lang w:val="en-US" w:eastAsia="zh-CN"/>
        </w:rPr>
      </w:pPr>
      <w:r>
        <w:rPr>
          <w:rFonts w:hint="eastAsia" w:ascii="Times New Roman" w:hAnsi="Times New Roman" w:eastAsia="方正楷体_GBK" w:cs="方正楷体_GBK"/>
          <w:b w:val="0"/>
          <w:bCs w:val="0"/>
          <w:sz w:val="32"/>
          <w:szCs w:val="32"/>
          <w:shd w:val="clear" w:color="auto" w:fill="FFFFFF"/>
          <w:lang w:val="en-US" w:eastAsia="zh-CN"/>
        </w:rPr>
        <w:t>（三）</w:t>
      </w:r>
      <w:r>
        <w:rPr>
          <w:rFonts w:hint="default" w:ascii="Times New Roman" w:hAnsi="Times New Roman" w:eastAsia="方正楷体_GBK" w:cs="方正楷体_GBK"/>
          <w:b w:val="0"/>
          <w:bCs w:val="0"/>
          <w:sz w:val="32"/>
          <w:szCs w:val="32"/>
          <w:shd w:val="clear" w:color="auto" w:fill="FFFFFF"/>
          <w:lang w:val="en-US" w:eastAsia="zh-CN"/>
        </w:rPr>
        <w:t>单位构成</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方正仿宋_GBK"/>
          <w:b w:val="0"/>
          <w:bCs w:val="0"/>
          <w:spacing w:val="-11"/>
          <w:sz w:val="32"/>
          <w:szCs w:val="32"/>
          <w:shd w:val="clear" w:color="auto" w:fill="FFFFFF"/>
          <w:lang w:val="en-US" w:eastAsia="zh-CN"/>
        </w:rPr>
      </w:pPr>
      <w:r>
        <w:rPr>
          <w:rFonts w:hint="default" w:ascii="Times New Roman" w:hAnsi="Times New Roman" w:eastAsia="方正仿宋_GBK" w:cs="方正仿宋_GBK"/>
          <w:b w:val="0"/>
          <w:bCs w:val="0"/>
          <w:sz w:val="32"/>
          <w:szCs w:val="32"/>
          <w:shd w:val="clear" w:color="auto" w:fill="FFFFFF"/>
          <w:lang w:val="en-US" w:eastAsia="zh-CN"/>
        </w:rPr>
        <w:t>从预算单位构成看，纳入本部门202</w:t>
      </w:r>
      <w:r>
        <w:rPr>
          <w:rFonts w:hint="eastAsia" w:ascii="Times New Roman" w:hAnsi="Times New Roman" w:eastAsia="方正仿宋_GBK" w:cs="方正仿宋_GBK"/>
          <w:b w:val="0"/>
          <w:bCs w:val="0"/>
          <w:sz w:val="32"/>
          <w:szCs w:val="32"/>
          <w:shd w:val="clear" w:color="auto" w:fill="FFFFFF"/>
          <w:lang w:val="en-US" w:eastAsia="zh-CN"/>
        </w:rPr>
        <w:t>4</w:t>
      </w:r>
      <w:r>
        <w:rPr>
          <w:rFonts w:hint="default" w:ascii="Times New Roman" w:hAnsi="Times New Roman" w:eastAsia="方正仿宋_GBK" w:cs="方正仿宋_GBK"/>
          <w:b w:val="0"/>
          <w:bCs w:val="0"/>
          <w:sz w:val="32"/>
          <w:szCs w:val="32"/>
          <w:shd w:val="clear" w:color="auto" w:fill="FFFFFF"/>
          <w:lang w:val="en-US" w:eastAsia="zh-CN"/>
        </w:rPr>
        <w:t>年度决算编制的二级预算单位主要包括：</w:t>
      </w:r>
      <w:r>
        <w:rPr>
          <w:rFonts w:hint="default" w:ascii="Times New Roman" w:hAnsi="Times New Roman" w:eastAsia="方正仿宋_GBK" w:cs="方正仿宋_GBK"/>
          <w:b w:val="0"/>
          <w:bCs w:val="0"/>
          <w:spacing w:val="-11"/>
          <w:sz w:val="32"/>
          <w:szCs w:val="32"/>
          <w:shd w:val="clear" w:color="auto" w:fill="FFFFFF"/>
          <w:lang w:val="en-US" w:eastAsia="zh-CN"/>
        </w:rPr>
        <w:t>重庆市綦江区数据资源管理和应用推广中心。</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二、单位决算情况说明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方正楷体_GBK" w:cs="方正楷体_GBK"/>
          <w:b w:val="0"/>
          <w:bCs w:val="0"/>
          <w:sz w:val="32"/>
          <w:szCs w:val="32"/>
          <w:shd w:val="clear" w:color="auto" w:fill="FFFFFF"/>
          <w:lang w:val="en-US" w:eastAsia="zh-CN"/>
        </w:rPr>
      </w:pPr>
      <w:r>
        <w:rPr>
          <w:rFonts w:hint="eastAsia" w:ascii="Times New Roman" w:hAnsi="Times New Roman" w:eastAsia="方正楷体_GBK" w:cs="方正楷体_GBK"/>
          <w:b w:val="0"/>
          <w:bCs w:val="0"/>
          <w:sz w:val="32"/>
          <w:szCs w:val="32"/>
          <w:shd w:val="clear" w:color="auto" w:fill="FFFFFF"/>
          <w:lang w:val="en-US" w:eastAsia="zh-CN"/>
        </w:rPr>
        <w:t>（一）收入支出决算总体情况说明</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方正仿宋_GBK"/>
          <w:b w:val="0"/>
          <w:bCs w:val="0"/>
          <w:sz w:val="32"/>
          <w:szCs w:val="32"/>
          <w:shd w:val="clear" w:color="auto" w:fill="FFFFFF"/>
          <w:lang w:val="en-US" w:eastAsia="zh-CN"/>
        </w:rPr>
      </w:pPr>
      <w:r>
        <w:rPr>
          <w:rFonts w:hint="default" w:ascii="Times New Roman" w:hAnsi="Times New Roman" w:eastAsia="方正仿宋_GBK" w:cs="方正仿宋_GBK"/>
          <w:b w:val="0"/>
          <w:bCs w:val="0"/>
          <w:sz w:val="32"/>
          <w:szCs w:val="32"/>
          <w:shd w:val="clear" w:color="auto" w:fill="FFFFFF"/>
          <w:lang w:val="en-US" w:eastAsia="zh-CN"/>
        </w:rPr>
        <w:t>2024年度收</w:t>
      </w:r>
      <w:r>
        <w:rPr>
          <w:rFonts w:hint="eastAsia" w:ascii="Times New Roman" w:hAnsi="Times New Roman" w:eastAsia="方正仿宋_GBK" w:cs="方正仿宋_GBK"/>
          <w:b w:val="0"/>
          <w:bCs w:val="0"/>
          <w:sz w:val="32"/>
          <w:szCs w:val="32"/>
          <w:shd w:val="clear" w:color="auto" w:fill="FFFFFF"/>
          <w:lang w:val="en-US" w:eastAsia="zh-CN"/>
        </w:rPr>
        <w:t>、支</w:t>
      </w:r>
      <w:r>
        <w:rPr>
          <w:rFonts w:hint="default" w:ascii="Times New Roman" w:hAnsi="Times New Roman" w:eastAsia="方正仿宋_GBK" w:cs="方正仿宋_GBK"/>
          <w:b w:val="0"/>
          <w:bCs w:val="0"/>
          <w:sz w:val="32"/>
          <w:szCs w:val="32"/>
          <w:shd w:val="clear" w:color="auto" w:fill="FFFFFF"/>
          <w:lang w:val="en-US" w:eastAsia="zh-CN"/>
        </w:rPr>
        <w:t>总计</w:t>
      </w:r>
      <w:r>
        <w:rPr>
          <w:rFonts w:hint="eastAsia" w:ascii="Times New Roman" w:hAnsi="Times New Roman" w:eastAsia="方正仿宋_GBK" w:cs="方正仿宋_GBK"/>
          <w:b w:val="0"/>
          <w:bCs w:val="0"/>
          <w:sz w:val="32"/>
          <w:szCs w:val="32"/>
          <w:shd w:val="clear" w:color="auto" w:fill="FFFFFF"/>
          <w:lang w:val="en-US" w:eastAsia="zh-CN"/>
        </w:rPr>
        <w:t>均为</w:t>
      </w:r>
      <w:r>
        <w:rPr>
          <w:rFonts w:hint="default" w:ascii="Times New Roman" w:hAnsi="Times New Roman" w:eastAsia="方正仿宋_GBK" w:cs="方正仿宋_GBK"/>
          <w:b w:val="0"/>
          <w:bCs w:val="0"/>
          <w:sz w:val="32"/>
          <w:szCs w:val="32"/>
          <w:shd w:val="clear" w:color="auto" w:fill="FFFFFF"/>
          <w:lang w:val="en-US" w:eastAsia="zh-CN"/>
        </w:rPr>
        <w:t>104.52万元。收、支与2023年度相比，增加5.80万元，增长5.9%，主要原因是</w:t>
      </w:r>
      <w:r>
        <w:rPr>
          <w:rFonts w:hint="eastAsia" w:ascii="Times New Roman" w:hAnsi="Times New Roman" w:eastAsia="方正仿宋_GBK" w:cs="方正仿宋_GBK"/>
          <w:b w:val="0"/>
          <w:bCs w:val="0"/>
          <w:sz w:val="32"/>
          <w:szCs w:val="32"/>
          <w:shd w:val="clear" w:color="auto" w:fill="FFFFFF"/>
          <w:lang w:val="en-US" w:eastAsia="zh-CN"/>
        </w:rPr>
        <w:t>人员工资晋升，使得人员经费收支增加。</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Style w:val="12"/>
          <w:rFonts w:hint="eastAsia" w:ascii="Times New Roman" w:hAnsi="Times New Roman" w:eastAsia="方正仿宋_GBK"/>
          <w:sz w:val="32"/>
          <w:szCs w:val="32"/>
          <w:shd w:val="clear" w:color="auto" w:fill="FFFFFF"/>
          <w:lang w:val="en-US" w:eastAsia="zh-CN"/>
        </w:rPr>
        <w:t>1</w:t>
      </w:r>
      <w:r>
        <w:rPr>
          <w:rStyle w:val="12"/>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cs="方正仿宋_GBK"/>
          <w:b w:val="0"/>
          <w:bCs w:val="0"/>
          <w:sz w:val="32"/>
          <w:szCs w:val="32"/>
          <w:shd w:val="clear" w:color="auto" w:fill="FFFFFF"/>
          <w:lang w:val="en-US" w:eastAsia="zh-CN" w:bidi="ar-SA"/>
        </w:rPr>
        <w:t>2024年度收入合计104.52万元，与2023年度相比，增加5.80万元，增长5.9%，主要原因是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人员工资晋升使得人员经费收入增加。</w:t>
      </w:r>
      <w:r>
        <w:rPr>
          <w:rFonts w:hint="default" w:ascii="Times New Roman" w:hAnsi="Times New Roman" w:eastAsia="方正仿宋_GBK" w:cs="方正仿宋_GBK"/>
          <w:b w:val="0"/>
          <w:bCs w:val="0"/>
          <w:sz w:val="32"/>
          <w:szCs w:val="32"/>
          <w:shd w:val="clear" w:color="auto" w:fill="FFFFFF"/>
          <w:lang w:val="en-US" w:eastAsia="zh-CN" w:bidi="ar-SA"/>
        </w:rPr>
        <w:t>其中：财政拨款收入104.52万元，占100.0%；事业收入0.00万元，占0.0%；经营收入0.00万元，占0.0%；其他收入0.00万元，占0.0%。此外，</w:t>
      </w:r>
      <w:r>
        <w:rPr>
          <w:rFonts w:hint="eastAsia" w:ascii="Times New Roman" w:hAnsi="Times New Roman" w:eastAsia="方正仿宋_GBK" w:cs="方正仿宋_GBK"/>
          <w:b w:val="0"/>
          <w:bCs w:val="0"/>
          <w:sz w:val="32"/>
          <w:szCs w:val="32"/>
          <w:shd w:val="clear" w:color="auto" w:fill="FFFFFF"/>
          <w:lang w:val="en-US" w:eastAsia="zh-CN" w:bidi="ar-SA"/>
        </w:rPr>
        <w:t>使用非财政拨款结余（含专用结余）</w:t>
      </w:r>
      <w:r>
        <w:rPr>
          <w:rFonts w:hint="default" w:ascii="Times New Roman" w:hAnsi="Times New Roman" w:eastAsia="方正仿宋_GBK" w:cs="方正仿宋_GBK"/>
          <w:b w:val="0"/>
          <w:bCs w:val="0"/>
          <w:sz w:val="32"/>
          <w:szCs w:val="32"/>
          <w:shd w:val="clear" w:color="auto" w:fill="FFFFFF"/>
          <w:lang w:val="en-US" w:eastAsia="zh-CN" w:bidi="ar-SA"/>
        </w:rPr>
        <w:t>0.00万元，年初结转和结余0.00万元。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Style w:val="12"/>
          <w:rFonts w:hint="eastAsia" w:ascii="Times New Roman" w:hAnsi="Times New Roman" w:eastAsia="方正仿宋_GBK"/>
          <w:sz w:val="32"/>
          <w:szCs w:val="32"/>
          <w:shd w:val="clear" w:color="auto" w:fill="FFFFFF"/>
          <w:lang w:val="en-US" w:eastAsia="zh-CN"/>
        </w:rPr>
        <w:t>2</w:t>
      </w:r>
      <w:r>
        <w:rPr>
          <w:rStyle w:val="12"/>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cs="方正仿宋_GBK"/>
          <w:b w:val="0"/>
          <w:bCs w:val="0"/>
          <w:sz w:val="32"/>
          <w:szCs w:val="32"/>
          <w:shd w:val="clear" w:color="auto" w:fill="FFFFFF"/>
          <w:lang w:val="en-US" w:eastAsia="zh-CN" w:bidi="ar-SA"/>
        </w:rPr>
        <w:t>2024年度支出合计104.52万元，与2023年度相比，增加5.80万元，增长5.9%，主要原因是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人员工资晋升使得人员经费支出增加。</w:t>
      </w:r>
      <w:r>
        <w:rPr>
          <w:rFonts w:hint="default" w:ascii="Times New Roman" w:hAnsi="Times New Roman" w:eastAsia="方正仿宋_GBK" w:cs="方正仿宋_GBK"/>
          <w:b w:val="0"/>
          <w:bCs w:val="0"/>
          <w:sz w:val="32"/>
          <w:szCs w:val="32"/>
          <w:shd w:val="clear" w:color="auto" w:fill="FFFFFF"/>
          <w:lang w:val="en-US" w:eastAsia="zh-CN" w:bidi="ar-SA"/>
        </w:rPr>
        <w:t>其中：基本支出104.52万元，占100.0%；项目支出0.00万元，占0.0%；经营支出0.00万元，占0.0%。此外，结余分配0.00万元</w:t>
      </w:r>
      <w:r>
        <w:rPr>
          <w:rFonts w:hint="eastAsia" w:ascii="Times New Roman" w:hAnsi="Times New Roman" w:eastAsia="方正仿宋_GBK" w:cs="方正仿宋_GBK"/>
          <w:b w:val="0"/>
          <w:bCs w:val="0"/>
          <w:sz w:val="32"/>
          <w:szCs w:val="32"/>
          <w:shd w:val="clear" w:color="auto" w:fill="FFFFFF"/>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2" w:firstLineChars="200"/>
        <w:jc w:val="both"/>
        <w:textAlignment w:val="auto"/>
        <w:rPr>
          <w:rFonts w:hint="eastAsia" w:ascii="Times New Roman" w:hAnsi="Times New Roman" w:eastAsia="方正仿宋_GBK" w:cs="方正仿宋_GBK"/>
          <w:sz w:val="32"/>
          <w:szCs w:val="32"/>
          <w:lang w:eastAsia="zh-CN"/>
        </w:rPr>
      </w:pPr>
      <w:r>
        <w:rPr>
          <w:rStyle w:val="12"/>
          <w:rFonts w:hint="eastAsia" w:ascii="Times New Roman" w:hAnsi="Times New Roman" w:eastAsia="方正仿宋_GBK" w:cs="Times New Roman"/>
          <w:sz w:val="32"/>
          <w:szCs w:val="32"/>
          <w:shd w:val="clear" w:color="auto" w:fill="FFFFFF"/>
          <w:lang w:val="en-US" w:eastAsia="zh-CN"/>
        </w:rPr>
        <w:t>3.结转结余情况。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cs="方正仿宋_GBK"/>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jc w:val="both"/>
        <w:textAlignment w:val="auto"/>
        <w:rPr>
          <w:rFonts w:hint="eastAsia" w:ascii="Times New Roman" w:hAnsi="Times New Roman" w:eastAsia="楷体" w:cs="楷体"/>
          <w:b/>
          <w:bCs/>
          <w:sz w:val="32"/>
          <w:szCs w:val="32"/>
          <w:shd w:val="clear" w:color="auto" w:fill="FFFFFF"/>
          <w:lang w:val="en-US" w:eastAsia="zh-CN"/>
        </w:rPr>
      </w:pPr>
      <w:r>
        <w:rPr>
          <w:rFonts w:hint="eastAsia" w:ascii="Times New Roman" w:hAnsi="Times New Roman" w:eastAsia="楷体" w:cs="楷体"/>
          <w:b/>
          <w:bCs/>
          <w:sz w:val="32"/>
          <w:szCs w:val="32"/>
          <w:shd w:val="clear" w:color="auto" w:fill="FFFFFF"/>
          <w:lang w:val="en-US" w:eastAsia="zh-CN"/>
        </w:rPr>
        <w:t>（二）财政拨款收入支出决算总体情况说明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2024年度财政拨款收、支总计均为104.52万元。与2023年</w:t>
      </w:r>
      <w:r>
        <w:rPr>
          <w:rFonts w:hint="eastAsia" w:ascii="Times New Roman" w:hAnsi="Times New Roman" w:eastAsia="方正仿宋_GBK" w:cs="方正仿宋_GBK"/>
          <w:b w:val="0"/>
          <w:bCs w:val="0"/>
          <w:sz w:val="32"/>
          <w:szCs w:val="32"/>
          <w:shd w:val="clear" w:color="auto" w:fill="FFFFFF"/>
          <w:lang w:val="en-US" w:eastAsia="zh-CN" w:bidi="ar-SA"/>
        </w:rPr>
        <w:t>度</w:t>
      </w:r>
      <w:r>
        <w:rPr>
          <w:rFonts w:hint="default" w:ascii="Times New Roman" w:hAnsi="Times New Roman" w:eastAsia="方正仿宋_GBK" w:cs="方正仿宋_GBK"/>
          <w:b w:val="0"/>
          <w:bCs w:val="0"/>
          <w:sz w:val="32"/>
          <w:szCs w:val="32"/>
          <w:shd w:val="clear" w:color="auto" w:fill="FFFFFF"/>
          <w:lang w:val="en-US" w:eastAsia="zh-CN" w:bidi="ar-SA"/>
        </w:rPr>
        <w:t>相比，财政拨款收、支总计各增加5.80万元，增长5.9%。主要原因是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人员工资晋升，使得人员经费收支增加。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楷体" w:cs="楷体"/>
          <w:b/>
          <w:bCs/>
          <w:sz w:val="32"/>
          <w:szCs w:val="32"/>
          <w:shd w:val="clear" w:color="auto" w:fill="FFFFFF"/>
          <w:lang w:val="en-US" w:eastAsia="zh-CN"/>
        </w:rPr>
      </w:pPr>
      <w:r>
        <w:rPr>
          <w:rFonts w:hint="eastAsia" w:ascii="Times New Roman" w:hAnsi="Times New Roman" w:eastAsia="方正楷体_GBK" w:cs="方正楷体_GBK"/>
          <w:b w:val="0"/>
          <w:bCs w:val="0"/>
          <w:sz w:val="32"/>
          <w:szCs w:val="32"/>
          <w:shd w:val="clear" w:color="auto" w:fill="FFFFFF"/>
          <w:lang w:val="en-US" w:eastAsia="zh-CN"/>
        </w:rPr>
        <w:t>（</w:t>
      </w:r>
      <w:r>
        <w:rPr>
          <w:rFonts w:hint="eastAsia" w:ascii="Times New Roman" w:hAnsi="Times New Roman" w:eastAsia="方正楷体_GBK" w:cs="方正楷体_GBK"/>
          <w:b w:val="0"/>
          <w:bCs w:val="0"/>
          <w:sz w:val="32"/>
          <w:szCs w:val="32"/>
          <w:shd w:val="clear" w:color="auto" w:fill="FFFFFF"/>
          <w:lang w:val="en-US" w:eastAsia="zh-CN"/>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0" w:lineRule="exact"/>
        <w:ind w:firstLine="642" w:firstLineChars="200"/>
        <w:jc w:val="both"/>
        <w:textAlignment w:val="auto"/>
        <w:rPr>
          <w:rFonts w:hint="default" w:ascii="Times New Roman" w:hAnsi="Times New Roman" w:eastAsia="方正仿宋_GBK" w:cs="方正仿宋_GBK"/>
          <w:sz w:val="32"/>
          <w:szCs w:val="32"/>
        </w:rPr>
      </w:pPr>
      <w:r>
        <w:rPr>
          <w:rStyle w:val="12"/>
          <w:rFonts w:hint="default" w:ascii="Times New Roman" w:hAnsi="Times New Roman" w:eastAsia="方正仿宋_GBK"/>
          <w:sz w:val="32"/>
          <w:szCs w:val="32"/>
          <w:shd w:val="clear" w:color="auto" w:fill="FFFFFF"/>
        </w:rPr>
        <w:t>1</w:t>
      </w:r>
      <w:r>
        <w:rPr>
          <w:rStyle w:val="12"/>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cs="方正仿宋_GBK"/>
          <w:b w:val="0"/>
          <w:bCs w:val="0"/>
          <w:sz w:val="32"/>
          <w:szCs w:val="32"/>
          <w:shd w:val="clear" w:color="auto" w:fill="FFFFFF"/>
          <w:lang w:val="en-US" w:eastAsia="zh-CN" w:bidi="ar-SA"/>
        </w:rPr>
        <w:t>2024年度一般公共预算财政拨款收入104.52万元，与2023年度相比，增加5.80万元，增长5.9%。主要原因是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人员工资晋升使得人员经费收入增加。</w:t>
      </w:r>
      <w:r>
        <w:rPr>
          <w:rFonts w:hint="default" w:ascii="Times New Roman" w:hAnsi="Times New Roman" w:eastAsia="方正仿宋_GBK" w:cs="方正仿宋_GBK"/>
          <w:b w:val="0"/>
          <w:bCs w:val="0"/>
          <w:sz w:val="32"/>
          <w:szCs w:val="32"/>
          <w:shd w:val="clear" w:color="auto" w:fill="FFFFFF"/>
          <w:lang w:val="en-US" w:eastAsia="zh-CN" w:bidi="ar-SA"/>
        </w:rPr>
        <w:t>较年初预算数增加4.41万元，增长4.4%。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人员工资晋升使得人员经费收入增加。</w:t>
      </w:r>
      <w:r>
        <w:rPr>
          <w:rFonts w:ascii="Times New Roman" w:hAnsi="Times New Roman"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70" w:lineRule="exact"/>
        <w:ind w:firstLine="642" w:firstLineChars="200"/>
        <w:jc w:val="both"/>
        <w:textAlignment w:val="auto"/>
        <w:rPr>
          <w:rFonts w:ascii="Times New Roman" w:hAnsi="Times New Roman"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2</w:t>
      </w:r>
      <w:r>
        <w:rPr>
          <w:rStyle w:val="12"/>
          <w:rFonts w:ascii="Times New Roman" w:hAnsi="Times New Roman" w:eastAsia="方正仿宋_GBK" w:cs="方正仿宋_GBK"/>
          <w:sz w:val="32"/>
          <w:szCs w:val="32"/>
          <w:shd w:val="clear" w:color="auto" w:fill="FFFFFF"/>
        </w:rPr>
        <w:t>.支出情况</w:t>
      </w:r>
      <w:r>
        <w:rPr>
          <w:rFonts w:hint="eastAsia" w:ascii="Times New Roman" w:hAnsi="Times New Roman" w:eastAsia="方正仿宋_GBK" w:cs="方正仿宋_GBK"/>
          <w:b w:val="0"/>
          <w:bCs w:val="0"/>
          <w:sz w:val="32"/>
          <w:szCs w:val="32"/>
          <w:shd w:val="clear" w:color="auto" w:fill="FFFFFF"/>
          <w:lang w:val="en-US" w:eastAsia="zh-CN" w:bidi="ar-SA"/>
        </w:rPr>
        <w:t>。</w:t>
      </w:r>
      <w:r>
        <w:rPr>
          <w:rFonts w:hint="default" w:ascii="Times New Roman" w:hAnsi="Times New Roman" w:eastAsia="方正仿宋_GBK" w:cs="方正仿宋_GBK"/>
          <w:b w:val="0"/>
          <w:bCs w:val="0"/>
          <w:sz w:val="32"/>
          <w:szCs w:val="32"/>
          <w:shd w:val="clear" w:color="auto" w:fill="FFFFFF"/>
          <w:lang w:val="en-US" w:eastAsia="zh-CN" w:bidi="ar-SA"/>
        </w:rPr>
        <w:t>2024</w:t>
      </w:r>
      <w:r>
        <w:rPr>
          <w:rFonts w:hint="eastAsia" w:ascii="Times New Roman" w:hAnsi="Times New Roman" w:eastAsia="方正仿宋_GBK" w:cs="方正仿宋_GBK"/>
          <w:b w:val="0"/>
          <w:bCs w:val="0"/>
          <w:sz w:val="32"/>
          <w:szCs w:val="32"/>
          <w:shd w:val="clear" w:color="auto" w:fill="FFFFFF"/>
          <w:lang w:val="en-US" w:eastAsia="zh-CN" w:bidi="ar-SA"/>
        </w:rPr>
        <w:t>年度一般公共预算财政拨款支出</w:t>
      </w:r>
      <w:r>
        <w:rPr>
          <w:rFonts w:hint="default" w:ascii="Times New Roman" w:hAnsi="Times New Roman" w:eastAsia="方正仿宋_GBK" w:cs="方正仿宋_GBK"/>
          <w:b w:val="0"/>
          <w:bCs w:val="0"/>
          <w:sz w:val="32"/>
          <w:szCs w:val="32"/>
          <w:shd w:val="clear" w:color="auto" w:fill="FFFFFF"/>
          <w:lang w:val="en-US" w:eastAsia="zh-CN" w:bidi="ar-SA"/>
        </w:rPr>
        <w:t>104.52</w:t>
      </w:r>
      <w:r>
        <w:rPr>
          <w:rFonts w:hint="eastAsia" w:ascii="Times New Roman" w:hAnsi="Times New Roman" w:eastAsia="方正仿宋_GBK" w:cs="方正仿宋_GBK"/>
          <w:b w:val="0"/>
          <w:bCs w:val="0"/>
          <w:sz w:val="32"/>
          <w:szCs w:val="32"/>
          <w:shd w:val="clear" w:color="auto" w:fill="FFFFFF"/>
          <w:lang w:val="en-US" w:eastAsia="zh-CN" w:bidi="ar-SA"/>
        </w:rPr>
        <w:t>万元，</w:t>
      </w:r>
      <w:r>
        <w:rPr>
          <w:rFonts w:hint="default" w:ascii="Times New Roman" w:hAnsi="Times New Roman" w:eastAsia="方正仿宋_GBK" w:cs="方正仿宋_GBK"/>
          <w:b w:val="0"/>
          <w:bCs w:val="0"/>
          <w:sz w:val="32"/>
          <w:szCs w:val="32"/>
          <w:shd w:val="clear" w:color="auto" w:fill="FFFFFF"/>
          <w:lang w:val="en-US" w:eastAsia="zh-CN" w:bidi="ar-SA"/>
        </w:rPr>
        <w:t>与2023年度相比，增加5.80万元，增长5.9%</w:t>
      </w:r>
      <w:r>
        <w:rPr>
          <w:rFonts w:hint="eastAsia" w:ascii="Times New Roman" w:hAnsi="Times New Roman" w:eastAsia="方正仿宋_GBK" w:cs="方正仿宋_GBK"/>
          <w:b w:val="0"/>
          <w:bCs w:val="0"/>
          <w:sz w:val="32"/>
          <w:szCs w:val="32"/>
          <w:shd w:val="clear" w:color="auto" w:fill="FFFFFF"/>
          <w:lang w:val="en-US" w:eastAsia="zh-CN" w:bidi="ar-SA"/>
        </w:rPr>
        <w:t>。主要原因是人员工资晋升使得人员经费支出增加。</w:t>
      </w:r>
      <w:r>
        <w:rPr>
          <w:rFonts w:hint="default" w:ascii="Times New Roman" w:hAnsi="Times New Roman" w:eastAsia="方正仿宋_GBK"/>
          <w:sz w:val="32"/>
          <w:szCs w:val="32"/>
          <w:shd w:val="clear" w:color="auto" w:fill="FFFFFF"/>
        </w:rPr>
        <w:t>较年初预算数增加4.41万元，增长4.4%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人员工资晋升使得人员经费支出增加。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一般公共预算财政拨款支出主要</w:t>
      </w:r>
      <w:r>
        <w:rPr>
          <w:rFonts w:hint="eastAsia" w:ascii="Times New Roman" w:hAnsi="Times New Roman" w:eastAsia="方正仿宋_GBK" w:cs="方正仿宋_GBK"/>
          <w:b w:val="0"/>
          <w:bCs w:val="0"/>
          <w:sz w:val="32"/>
          <w:szCs w:val="32"/>
          <w:shd w:val="clear" w:color="auto" w:fill="FFFFFF"/>
          <w:lang w:val="en-US" w:eastAsia="zh-CN" w:bidi="ar-SA"/>
        </w:rPr>
        <w:t>用途如下</w:t>
      </w:r>
      <w:r>
        <w:rPr>
          <w:rFonts w:hint="default" w:ascii="Times New Roman" w:hAnsi="Times New Roman" w:eastAsia="方正仿宋_GBK" w:cs="方正仿宋_GBK"/>
          <w:b w:val="0"/>
          <w:bCs w:val="0"/>
          <w:sz w:val="32"/>
          <w:szCs w:val="32"/>
          <w:shd w:val="clear" w:color="auto" w:fill="FFFFFF"/>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w:t>
      </w:r>
      <w:r>
        <w:rPr>
          <w:rFonts w:hint="eastAsia" w:ascii="Times New Roman" w:hAnsi="Times New Roman" w:eastAsia="方正仿宋_GBK" w:cs="方正仿宋_GBK"/>
          <w:b w:val="0"/>
          <w:bCs w:val="0"/>
          <w:sz w:val="32"/>
          <w:szCs w:val="32"/>
          <w:shd w:val="clear" w:color="auto" w:fill="FFFFFF"/>
          <w:lang w:val="en-US" w:eastAsia="zh-CN" w:bidi="ar-SA"/>
        </w:rPr>
        <w:t>1</w:t>
      </w:r>
      <w:r>
        <w:rPr>
          <w:rFonts w:hint="default" w:ascii="Times New Roman" w:hAnsi="Times New Roman" w:eastAsia="方正仿宋_GBK" w:cs="方正仿宋_GBK"/>
          <w:b w:val="0"/>
          <w:bCs w:val="0"/>
          <w:sz w:val="32"/>
          <w:szCs w:val="32"/>
          <w:shd w:val="clear" w:color="auto" w:fill="FFFFFF"/>
          <w:lang w:val="en-US" w:eastAsia="zh-CN" w:bidi="ar-SA"/>
        </w:rPr>
        <w:t>）社会保障</w:t>
      </w:r>
      <w:r>
        <w:rPr>
          <w:rFonts w:hint="eastAsia" w:ascii="Times New Roman" w:hAnsi="Times New Roman" w:eastAsia="方正仿宋_GBK" w:cs="方正仿宋_GBK"/>
          <w:b w:val="0"/>
          <w:bCs w:val="0"/>
          <w:sz w:val="32"/>
          <w:szCs w:val="32"/>
          <w:shd w:val="clear" w:color="auto" w:fill="FFFFFF"/>
          <w:lang w:val="en-US" w:eastAsia="zh-CN" w:bidi="ar-SA"/>
        </w:rPr>
        <w:t>和</w:t>
      </w:r>
      <w:r>
        <w:rPr>
          <w:rFonts w:hint="default" w:ascii="Times New Roman" w:hAnsi="Times New Roman" w:eastAsia="方正仿宋_GBK" w:cs="方正仿宋_GBK"/>
          <w:b w:val="0"/>
          <w:bCs w:val="0"/>
          <w:sz w:val="32"/>
          <w:szCs w:val="32"/>
          <w:shd w:val="clear" w:color="auto" w:fill="FFFFFF"/>
          <w:lang w:val="en-US" w:eastAsia="zh-CN" w:bidi="ar-SA"/>
        </w:rPr>
        <w:t>就业支出12.42万元，占11.9%，较年初预算数增加3.66万元，增长41.8%，主要原因是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w:t>
      </w:r>
      <w:r>
        <w:rPr>
          <w:rFonts w:hint="default" w:ascii="Times New Roman" w:hAnsi="Times New Roman" w:eastAsia="方正仿宋_GBK" w:cs="方正仿宋_GBK"/>
          <w:b w:val="0"/>
          <w:bCs w:val="0"/>
          <w:sz w:val="32"/>
          <w:szCs w:val="32"/>
          <w:shd w:val="clear" w:color="auto" w:fill="FFFFFF"/>
          <w:lang w:val="en-US" w:eastAsia="zh-CN" w:bidi="ar-SA"/>
        </w:rPr>
        <w:t>社会保障</w:t>
      </w:r>
      <w:r>
        <w:rPr>
          <w:rFonts w:hint="eastAsia" w:ascii="Times New Roman" w:hAnsi="Times New Roman" w:eastAsia="方正仿宋_GBK" w:cs="方正仿宋_GBK"/>
          <w:b w:val="0"/>
          <w:bCs w:val="0"/>
          <w:sz w:val="32"/>
          <w:szCs w:val="32"/>
          <w:shd w:val="clear" w:color="auto" w:fill="FFFFFF"/>
          <w:lang w:val="en-US" w:eastAsia="zh-CN" w:bidi="ar-SA"/>
        </w:rPr>
        <w:t>和</w:t>
      </w:r>
      <w:r>
        <w:rPr>
          <w:rFonts w:hint="default" w:ascii="Times New Roman" w:hAnsi="Times New Roman" w:eastAsia="方正仿宋_GBK" w:cs="方正仿宋_GBK"/>
          <w:b w:val="0"/>
          <w:bCs w:val="0"/>
          <w:sz w:val="32"/>
          <w:szCs w:val="32"/>
          <w:shd w:val="clear" w:color="auto" w:fill="FFFFFF"/>
          <w:lang w:val="en-US" w:eastAsia="zh-CN" w:bidi="ar-SA"/>
        </w:rPr>
        <w:t>就业支出</w:t>
      </w:r>
      <w:r>
        <w:rPr>
          <w:rFonts w:hint="eastAsia" w:ascii="Times New Roman" w:hAnsi="Times New Roman" w:eastAsia="方正仿宋_GBK" w:cs="方正仿宋_GBK"/>
          <w:b w:val="0"/>
          <w:bCs w:val="0"/>
          <w:sz w:val="32"/>
          <w:szCs w:val="32"/>
          <w:shd w:val="clear" w:color="auto" w:fill="FFFFFF"/>
          <w:lang w:val="en-US" w:eastAsia="zh-CN" w:bidi="ar-SA"/>
        </w:rPr>
        <w:t>增加。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w:t>
      </w:r>
      <w:r>
        <w:rPr>
          <w:rFonts w:hint="eastAsia" w:ascii="Times New Roman" w:hAnsi="Times New Roman" w:eastAsia="方正仿宋_GBK" w:cs="方正仿宋_GBK"/>
          <w:b w:val="0"/>
          <w:bCs w:val="0"/>
          <w:sz w:val="32"/>
          <w:szCs w:val="32"/>
          <w:shd w:val="clear" w:color="auto" w:fill="FFFFFF"/>
          <w:lang w:val="en-US" w:eastAsia="zh-CN" w:bidi="ar-SA"/>
        </w:rPr>
        <w:t>2</w:t>
      </w:r>
      <w:r>
        <w:rPr>
          <w:rFonts w:hint="default" w:ascii="Times New Roman" w:hAnsi="Times New Roman" w:eastAsia="方正仿宋_GBK" w:cs="方正仿宋_GBK"/>
          <w:b w:val="0"/>
          <w:bCs w:val="0"/>
          <w:sz w:val="32"/>
          <w:szCs w:val="32"/>
          <w:shd w:val="clear" w:color="auto" w:fill="FFFFFF"/>
          <w:lang w:val="en-US" w:eastAsia="zh-CN" w:bidi="ar-SA"/>
        </w:rPr>
        <w:t>）卫生健康支出4.21万元，占4.0%，较年初预算数减少0.06万元，下降1.4%，主要原因是</w:t>
      </w:r>
      <w:r>
        <w:rPr>
          <w:rFonts w:hint="eastAsia" w:ascii="Times New Roman" w:hAnsi="Times New Roman" w:eastAsia="方正仿宋_GBK" w:cs="方正仿宋_GBK"/>
          <w:b w:val="0"/>
          <w:bCs w:val="0"/>
          <w:sz w:val="32"/>
          <w:szCs w:val="32"/>
          <w:shd w:val="clear" w:color="auto" w:fill="FFFFFF"/>
          <w:lang w:val="en-US" w:eastAsia="zh-CN" w:bidi="ar-SA"/>
        </w:rPr>
        <w:t>人员调出，使得</w:t>
      </w:r>
      <w:r>
        <w:rPr>
          <w:rFonts w:hint="default" w:ascii="Times New Roman" w:hAnsi="Times New Roman" w:eastAsia="方正仿宋_GBK" w:cs="方正仿宋_GBK"/>
          <w:b w:val="0"/>
          <w:bCs w:val="0"/>
          <w:sz w:val="32"/>
          <w:szCs w:val="32"/>
          <w:shd w:val="clear" w:color="auto" w:fill="FFFFFF"/>
          <w:lang w:val="en-US" w:eastAsia="zh-CN" w:bidi="ar-SA"/>
        </w:rPr>
        <w:t>卫生健康支出</w:t>
      </w:r>
      <w:r>
        <w:rPr>
          <w:rFonts w:hint="eastAsia" w:ascii="Times New Roman" w:hAnsi="Times New Roman" w:eastAsia="方正仿宋_GBK" w:cs="方正仿宋_GBK"/>
          <w:b w:val="0"/>
          <w:bCs w:val="0"/>
          <w:sz w:val="32"/>
          <w:szCs w:val="32"/>
          <w:shd w:val="clear" w:color="auto" w:fill="FFFFFF"/>
          <w:lang w:val="en-US" w:eastAsia="zh-CN" w:bidi="ar-SA"/>
        </w:rPr>
        <w:t>减少。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w:t>
      </w:r>
      <w:r>
        <w:rPr>
          <w:rFonts w:hint="eastAsia" w:ascii="Times New Roman" w:hAnsi="Times New Roman" w:eastAsia="方正仿宋_GBK" w:cs="方正仿宋_GBK"/>
          <w:b w:val="0"/>
          <w:bCs w:val="0"/>
          <w:sz w:val="32"/>
          <w:szCs w:val="32"/>
          <w:shd w:val="clear" w:color="auto" w:fill="FFFFFF"/>
          <w:lang w:val="en-US" w:eastAsia="zh-CN" w:bidi="ar-SA"/>
        </w:rPr>
        <w:t>3</w:t>
      </w:r>
      <w:r>
        <w:rPr>
          <w:rFonts w:hint="default" w:ascii="Times New Roman" w:hAnsi="Times New Roman" w:eastAsia="方正仿宋_GBK" w:cs="方正仿宋_GBK"/>
          <w:b w:val="0"/>
          <w:bCs w:val="0"/>
          <w:sz w:val="32"/>
          <w:szCs w:val="32"/>
          <w:shd w:val="clear" w:color="auto" w:fill="FFFFFF"/>
          <w:lang w:val="en-US" w:eastAsia="zh-CN" w:bidi="ar-SA"/>
        </w:rPr>
        <w:t>）资源勘探信息等支出83.62万元，占80.0%，较年初预算数增加0.92万元，增长1.1%，主要原因是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人员工资晋升，使得人员经费支出增加。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w:t>
      </w:r>
      <w:r>
        <w:rPr>
          <w:rFonts w:hint="eastAsia" w:ascii="Times New Roman" w:hAnsi="Times New Roman" w:eastAsia="方正仿宋_GBK" w:cs="方正仿宋_GBK"/>
          <w:b w:val="0"/>
          <w:bCs w:val="0"/>
          <w:sz w:val="32"/>
          <w:szCs w:val="32"/>
          <w:shd w:val="clear" w:color="auto" w:fill="FFFFFF"/>
          <w:lang w:val="en-US" w:eastAsia="zh-CN" w:bidi="ar-SA"/>
        </w:rPr>
        <w:t>4</w:t>
      </w:r>
      <w:r>
        <w:rPr>
          <w:rFonts w:hint="default" w:ascii="Times New Roman" w:hAnsi="Times New Roman" w:eastAsia="方正仿宋_GBK" w:cs="方正仿宋_GBK"/>
          <w:b w:val="0"/>
          <w:bCs w:val="0"/>
          <w:sz w:val="32"/>
          <w:szCs w:val="32"/>
          <w:shd w:val="clear" w:color="auto" w:fill="FFFFFF"/>
          <w:lang w:val="en-US" w:eastAsia="zh-CN" w:bidi="ar-SA"/>
        </w:rPr>
        <w:t>）住房保障支出4.27万元，占4.1%，较年初预算数减少0.11万元，下降2.5%，主要原因是</w:t>
      </w:r>
      <w:r>
        <w:rPr>
          <w:rFonts w:hint="eastAsia" w:ascii="Times New Roman" w:hAnsi="Times New Roman" w:eastAsia="方正仿宋_GBK" w:cs="方正仿宋_GBK"/>
          <w:b w:val="0"/>
          <w:bCs w:val="0"/>
          <w:sz w:val="32"/>
          <w:szCs w:val="32"/>
          <w:shd w:val="clear" w:color="auto" w:fill="FFFFFF"/>
          <w:lang w:val="en-US" w:eastAsia="zh-CN" w:bidi="ar-SA"/>
        </w:rPr>
        <w:t>人员调出，使得</w:t>
      </w:r>
      <w:r>
        <w:rPr>
          <w:rFonts w:hint="default" w:ascii="Times New Roman" w:hAnsi="Times New Roman" w:eastAsia="方正仿宋_GBK" w:cs="方正仿宋_GBK"/>
          <w:b w:val="0"/>
          <w:bCs w:val="0"/>
          <w:sz w:val="32"/>
          <w:szCs w:val="32"/>
          <w:shd w:val="clear" w:color="auto" w:fill="FFFFFF"/>
          <w:lang w:val="en-US" w:eastAsia="zh-CN" w:bidi="ar-SA"/>
        </w:rPr>
        <w:t>住房保障支出</w:t>
      </w:r>
      <w:r>
        <w:rPr>
          <w:rFonts w:hint="eastAsia" w:ascii="Times New Roman" w:hAnsi="Times New Roman" w:eastAsia="方正仿宋_GBK" w:cs="方正仿宋_GBK"/>
          <w:b w:val="0"/>
          <w:bCs w:val="0"/>
          <w:sz w:val="32"/>
          <w:szCs w:val="32"/>
          <w:shd w:val="clear" w:color="auto" w:fill="FFFFFF"/>
          <w:lang w:val="en-US" w:eastAsia="zh-CN" w:bidi="ar-SA"/>
        </w:rPr>
        <w:t>减少。</w:t>
      </w:r>
    </w:p>
    <w:p>
      <w:pPr>
        <w:pStyle w:val="7"/>
        <w:keepNext w:val="0"/>
        <w:keepLines w:val="0"/>
        <w:pageBreakBefore w:val="0"/>
        <w:kinsoku/>
        <w:wordWrap/>
        <w:overflowPunct/>
        <w:topLinePunct w:val="0"/>
        <w:autoSpaceDN/>
        <w:bidi w:val="0"/>
        <w:adjustRightInd/>
        <w:snapToGrid w:val="0"/>
        <w:spacing w:before="0" w:beforeAutospacing="0" w:after="0" w:afterAutospacing="0" w:line="570" w:lineRule="exact"/>
        <w:ind w:firstLine="642" w:firstLineChars="200"/>
        <w:jc w:val="both"/>
        <w:textAlignment w:val="auto"/>
        <w:rPr>
          <w:rFonts w:hint="eastAsia" w:ascii="Times New Roman" w:hAnsi="Times New Roman" w:eastAsia="方正仿宋_GBK" w:cs="方正仿宋_GBK"/>
          <w:color w:val="FF0000"/>
          <w:sz w:val="32"/>
          <w:szCs w:val="32"/>
          <w:shd w:val="clear" w:color="auto" w:fill="FFFFFF"/>
          <w:lang w:eastAsia="zh-CN"/>
        </w:rPr>
      </w:pPr>
      <w:r>
        <w:rPr>
          <w:rStyle w:val="12"/>
          <w:rFonts w:hint="default" w:ascii="Times New Roman" w:hAnsi="Times New Roman" w:eastAsia="方正仿宋_GBK"/>
          <w:sz w:val="32"/>
          <w:szCs w:val="32"/>
          <w:shd w:val="clear" w:color="auto" w:fill="FFFFFF"/>
        </w:rPr>
        <w:t>3</w:t>
      </w:r>
      <w:r>
        <w:rPr>
          <w:rStyle w:val="12"/>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cs="方正仿宋_GBK"/>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楷体" w:cs="楷体"/>
          <w:b/>
          <w:bCs/>
          <w:sz w:val="32"/>
          <w:szCs w:val="32"/>
          <w:shd w:val="clear" w:color="auto" w:fill="FFFFFF"/>
          <w:lang w:val="en-US" w:eastAsia="zh-CN"/>
        </w:rPr>
      </w:pPr>
      <w:r>
        <w:rPr>
          <w:rFonts w:hint="eastAsia" w:ascii="Times New Roman" w:hAnsi="Times New Roman" w:eastAsia="方正楷体_GBK" w:cs="方正楷体_GBK"/>
          <w:b w:val="0"/>
          <w:bCs w:val="0"/>
          <w:sz w:val="32"/>
          <w:szCs w:val="32"/>
          <w:shd w:val="clear" w:color="auto" w:fill="FFFFFF"/>
          <w:lang w:val="en-US" w:eastAsia="zh-CN"/>
        </w:rPr>
        <w:t>（四）一般公共预算财政拨款基本支出决算情况说明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2024年度一般公共</w:t>
      </w:r>
      <w:r>
        <w:rPr>
          <w:rFonts w:hint="eastAsia" w:ascii="Times New Roman" w:hAnsi="Times New Roman" w:eastAsia="方正仿宋_GBK" w:cs="方正仿宋_GBK"/>
          <w:b w:val="0"/>
          <w:bCs w:val="0"/>
          <w:sz w:val="32"/>
          <w:szCs w:val="32"/>
          <w:shd w:val="clear" w:color="auto" w:fill="FFFFFF"/>
          <w:lang w:val="en-US" w:eastAsia="zh-CN" w:bidi="ar-SA"/>
        </w:rPr>
        <w:t>预算</w:t>
      </w:r>
      <w:r>
        <w:rPr>
          <w:rFonts w:hint="default" w:ascii="Times New Roman" w:hAnsi="Times New Roman" w:eastAsia="方正仿宋_GBK" w:cs="方正仿宋_GBK"/>
          <w:b w:val="0"/>
          <w:bCs w:val="0"/>
          <w:sz w:val="32"/>
          <w:szCs w:val="32"/>
          <w:shd w:val="clear" w:color="auto" w:fill="FFFFFF"/>
          <w:lang w:val="en-US" w:eastAsia="zh-CN" w:bidi="ar-SA"/>
        </w:rPr>
        <w:t>财政拨款基本支出104.52万元。其中：</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人员经费89.03万元，与2023年度相比，增加12.80万元，增长16.8%，主要原因是</w:t>
      </w:r>
      <w:r>
        <w:rPr>
          <w:rFonts w:hint="eastAsia" w:ascii="Times New Roman" w:hAnsi="Times New Roman" w:eastAsia="方正仿宋_GBK" w:cs="方正仿宋_GBK"/>
          <w:b w:val="0"/>
          <w:bCs w:val="0"/>
          <w:sz w:val="32"/>
          <w:szCs w:val="32"/>
          <w:shd w:val="clear" w:color="auto" w:fill="FFFFFF"/>
          <w:lang w:val="en-US" w:eastAsia="zh-CN" w:bidi="ar-SA"/>
        </w:rPr>
        <w:t>人员工资晋升使得人员经费支出增加。</w:t>
      </w:r>
      <w:r>
        <w:rPr>
          <w:rFonts w:hint="default" w:ascii="Times New Roman" w:hAnsi="Times New Roman" w:eastAsia="方正仿宋_GBK" w:cs="方正仿宋_GBK"/>
          <w:b w:val="0"/>
          <w:bCs w:val="0"/>
          <w:sz w:val="32"/>
          <w:szCs w:val="32"/>
          <w:shd w:val="clear" w:color="auto" w:fill="FFFFFF"/>
          <w:lang w:val="en-US" w:eastAsia="zh-CN" w:bidi="ar-SA"/>
        </w:rPr>
        <w:t>人员经费用途主要包括基本工资、津贴补贴、社会保障缴费、绩效工资、住房公积金</w:t>
      </w:r>
      <w:r>
        <w:rPr>
          <w:rFonts w:hint="eastAsia" w:ascii="Times New Roman" w:hAnsi="Times New Roman" w:eastAsia="方正仿宋_GBK" w:cs="方正仿宋_GBK"/>
          <w:b w:val="0"/>
          <w:bCs w:val="0"/>
          <w:sz w:val="32"/>
          <w:szCs w:val="32"/>
          <w:shd w:val="clear" w:color="auto" w:fill="FFFFFF"/>
          <w:lang w:val="en-US" w:eastAsia="zh-CN" w:bidi="ar-SA"/>
        </w:rPr>
        <w:t>、对个人和家庭的补助</w:t>
      </w:r>
      <w:r>
        <w:rPr>
          <w:rFonts w:hint="default" w:ascii="Times New Roman" w:hAnsi="Times New Roman" w:eastAsia="方正仿宋_GBK" w:cs="方正仿宋_GBK"/>
          <w:b w:val="0"/>
          <w:bCs w:val="0"/>
          <w:sz w:val="32"/>
          <w:szCs w:val="32"/>
          <w:shd w:val="clear" w:color="auto" w:fill="FFFFFF"/>
          <w:lang w:val="en-US" w:eastAsia="zh-CN" w:bidi="ar-SA"/>
        </w:rPr>
        <w:t>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公用经费15.49万元，与2023年度相比，增加0.50万元，增长3.3%，主要原因是</w:t>
      </w:r>
      <w:r>
        <w:rPr>
          <w:rFonts w:hint="eastAsia" w:ascii="Times New Roman" w:hAnsi="Times New Roman" w:eastAsia="方正仿宋_GBK" w:cs="方正仿宋_GBK"/>
          <w:b w:val="0"/>
          <w:bCs w:val="0"/>
          <w:sz w:val="32"/>
          <w:szCs w:val="32"/>
          <w:shd w:val="clear" w:color="auto" w:fill="FFFFFF"/>
          <w:lang w:val="en-US" w:eastAsia="zh-CN" w:bidi="ar-SA"/>
        </w:rPr>
        <w:t>增加了见习生劳务费，使得公用经费支出增加</w:t>
      </w:r>
      <w:r>
        <w:rPr>
          <w:rFonts w:hint="default" w:ascii="Times New Roman" w:hAnsi="Times New Roman" w:eastAsia="方正仿宋_GBK" w:cs="方正仿宋_GBK"/>
          <w:b w:val="0"/>
          <w:bCs w:val="0"/>
          <w:sz w:val="32"/>
          <w:szCs w:val="32"/>
          <w:shd w:val="clear" w:color="auto" w:fill="FFFFFF"/>
          <w:lang w:val="en-US" w:eastAsia="zh-CN" w:bidi="ar-SA"/>
        </w:rPr>
        <w:t>。公用经费用途主要包括办公费、培训费、福利费、工会经费</w:t>
      </w:r>
      <w:r>
        <w:rPr>
          <w:rFonts w:hint="eastAsia" w:ascii="Times New Roman" w:hAnsi="Times New Roman" w:eastAsia="方正仿宋_GBK" w:cs="方正仿宋_GBK"/>
          <w:b w:val="0"/>
          <w:bCs w:val="0"/>
          <w:sz w:val="32"/>
          <w:szCs w:val="32"/>
          <w:shd w:val="clear" w:color="auto" w:fill="FFFFFF"/>
          <w:lang w:val="en-US" w:eastAsia="zh-CN" w:bidi="ar-SA"/>
        </w:rPr>
        <w:t>、劳务费</w:t>
      </w:r>
      <w:r>
        <w:rPr>
          <w:rFonts w:hint="default" w:ascii="Times New Roman" w:hAnsi="Times New Roman" w:eastAsia="方正仿宋_GBK" w:cs="方正仿宋_GBK"/>
          <w:b w:val="0"/>
          <w:bCs w:val="0"/>
          <w:sz w:val="32"/>
          <w:szCs w:val="32"/>
          <w:shd w:val="clear" w:color="auto" w:fill="FFFFFF"/>
          <w:lang w:val="en-US" w:eastAsia="zh-CN" w:bidi="ar-SA"/>
        </w:rPr>
        <w:t>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方正楷体_GBK" w:cs="方正楷体_GBK"/>
          <w:b w:val="0"/>
          <w:bCs w:val="0"/>
          <w:sz w:val="32"/>
          <w:szCs w:val="32"/>
          <w:shd w:val="clear" w:color="auto" w:fill="FFFFFF"/>
          <w:lang w:val="en-US" w:eastAsia="zh-CN"/>
        </w:rPr>
      </w:pPr>
      <w:r>
        <w:rPr>
          <w:rFonts w:hint="eastAsia" w:ascii="Times New Roman" w:hAnsi="Times New Roman" w:eastAsia="方正楷体_GBK" w:cs="方正楷体_GBK"/>
          <w:b w:val="0"/>
          <w:bCs w:val="0"/>
          <w:sz w:val="32"/>
          <w:szCs w:val="32"/>
          <w:shd w:val="clear" w:color="auto" w:fill="FFFFFF"/>
          <w:lang w:val="en-US" w:eastAsia="zh-CN"/>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本单位2024年度无政府性基金预算财政拨款收支。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楷体" w:cs="楷体"/>
          <w:b/>
          <w:bCs/>
          <w:sz w:val="32"/>
          <w:szCs w:val="32"/>
          <w:shd w:val="clear" w:color="auto" w:fill="FFFFFF"/>
          <w:lang w:val="en-US" w:eastAsia="zh-CN"/>
        </w:rPr>
      </w:pPr>
      <w:r>
        <w:rPr>
          <w:rFonts w:hint="eastAsia" w:ascii="Times New Roman" w:hAnsi="Times New Roman" w:eastAsia="方正楷体_GBK" w:cs="方正楷体_GBK"/>
          <w:b w:val="0"/>
          <w:bCs w:val="0"/>
          <w:sz w:val="32"/>
          <w:szCs w:val="32"/>
          <w:shd w:val="clear" w:color="auto" w:fill="FFFFFF"/>
          <w:lang w:val="en-US" w:eastAsia="zh-CN"/>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本单位2024年度无国有资本经营预算财政拨款支出。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三、“三公”经费情况说明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我单位属于重庆市綦江区大数据应用发展管理局下属事业单位，与行政单位共同办公，财政未保障我单位“三公”经费。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楷体" w:cs="楷体"/>
          <w:b/>
          <w:bCs/>
          <w:sz w:val="32"/>
          <w:szCs w:val="32"/>
          <w:shd w:val="clear" w:color="auto" w:fill="FFFFFF"/>
        </w:rPr>
      </w:pPr>
      <w:r>
        <w:rPr>
          <w:rFonts w:hint="eastAsia" w:ascii="Times New Roman" w:hAnsi="Times New Roman" w:eastAsia="方正楷体_GBK" w:cs="方正楷体_GBK"/>
          <w:b w:val="0"/>
          <w:bCs w:val="0"/>
          <w:sz w:val="32"/>
          <w:szCs w:val="32"/>
          <w:shd w:val="clear" w:color="auto" w:fill="FFFFFF"/>
          <w:lang w:val="en-US" w:eastAsia="zh-CN"/>
        </w:rPr>
        <w:t>（一）财政拨款会议费、培训费和差旅费情况说明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与2023年度相比，减少0.50万元，下降94.3%</w:t>
      </w:r>
      <w:r>
        <w:rPr>
          <w:rFonts w:ascii="Times New Roman" w:hAnsi="Times New Roman" w:eastAsia="方正仿宋_GBK" w:cs="方正仿宋_GBK"/>
          <w:sz w:val="32"/>
          <w:szCs w:val="32"/>
          <w:shd w:val="clear" w:color="auto" w:fill="FFFFFF"/>
        </w:rPr>
        <w:t>，主要原因是</w:t>
      </w:r>
      <w:r>
        <w:rPr>
          <w:rFonts w:hint="default" w:ascii="Times New Roman" w:hAnsi="Times New Roman" w:eastAsia="方正仿宋_GBK" w:cs="方正仿宋_GBK"/>
          <w:b w:val="0"/>
          <w:bCs w:val="0"/>
          <w:sz w:val="32"/>
          <w:szCs w:val="32"/>
          <w:shd w:val="clear" w:color="auto" w:fill="FFFFFF"/>
          <w:lang w:val="en-US" w:eastAsia="zh-CN"/>
        </w:rPr>
        <w:t>认真贯彻落实中央八项规定精神和厉行节约要求，按照只减不增的要求从严控制</w:t>
      </w:r>
      <w:r>
        <w:rPr>
          <w:rFonts w:hint="eastAsia" w:ascii="Times New Roman" w:hAnsi="Times New Roman" w:eastAsia="方正仿宋_GBK" w:cs="方正仿宋_GBK"/>
          <w:b w:val="0"/>
          <w:bCs w:val="0"/>
          <w:sz w:val="32"/>
          <w:szCs w:val="32"/>
          <w:shd w:val="clear" w:color="auto" w:fill="FFFFFF"/>
          <w:lang w:val="en-US" w:eastAsia="zh-CN"/>
        </w:rPr>
        <w:t>培训费支出。</w:t>
      </w:r>
    </w:p>
    <w:p>
      <w:pPr>
        <w:pStyle w:val="13"/>
        <w:keepNext w:val="0"/>
        <w:keepLines w:val="0"/>
        <w:pageBreakBefore w:val="0"/>
        <w:widowControl/>
        <w:kinsoku/>
        <w:wordWrap/>
        <w:overflowPunct/>
        <w:topLinePunct w:val="0"/>
        <w:autoSpaceDE w:val="0"/>
        <w:autoSpaceDN/>
        <w:bidi w:val="0"/>
        <w:adjustRightInd/>
        <w:snapToGrid/>
        <w:spacing w:line="570" w:lineRule="exact"/>
        <w:ind w:left="638" w:leftChars="266" w:firstLine="0" w:firstLineChars="0"/>
        <w:textAlignment w:val="auto"/>
        <w:rPr>
          <w:rFonts w:ascii="Times New Roman" w:hAnsi="Times New Roman" w:eastAsia="楷体" w:cs="楷体"/>
          <w:b w:val="0"/>
          <w:bCs w:val="0"/>
          <w:sz w:val="32"/>
          <w:szCs w:val="32"/>
          <w:shd w:val="clear" w:color="auto" w:fill="FFFFFF"/>
        </w:rPr>
      </w:pPr>
      <w:r>
        <w:rPr>
          <w:rFonts w:ascii="Times New Roman" w:hAnsi="Times New Roman"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楷体_GBK" w:cs="方正楷体_GBK"/>
          <w:b w:val="0"/>
          <w:bCs w:val="0"/>
          <w:sz w:val="32"/>
          <w:szCs w:val="32"/>
          <w:shd w:val="clear" w:color="auto" w:fill="FFFFFF"/>
          <w:lang w:val="en-US" w:eastAsia="zh-CN" w:bidi="ar-SA"/>
        </w:rPr>
        <w:t>（二）机关运行经费情况说明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lang w:val="en-US" w:eastAsia="zh-CN" w:bidi="ar-SA"/>
        </w:rPr>
      </w:pPr>
      <w:r>
        <w:rPr>
          <w:rFonts w:hint="default" w:ascii="Times New Roman" w:hAnsi="Times New Roman" w:eastAsia="方正仿宋_GBK" w:cs="方正仿宋_GBK"/>
          <w:b w:val="0"/>
          <w:bCs w:val="0"/>
          <w:sz w:val="32"/>
          <w:szCs w:val="32"/>
          <w:shd w:val="clear" w:color="auto" w:fill="FFFFFF"/>
          <w:lang w:val="en-US" w:eastAsia="zh-CN" w:bidi="ar-SA"/>
        </w:rPr>
        <w:t>按照部门决算列报口径，我单位不在机关运行经费统计范围之内。</w:t>
      </w:r>
    </w:p>
    <w:p>
      <w:pPr>
        <w:pStyle w:val="13"/>
        <w:keepNext w:val="0"/>
        <w:keepLines w:val="0"/>
        <w:pageBreakBefore w:val="0"/>
        <w:widowControl w:val="0"/>
        <w:kinsoku/>
        <w:wordWrap/>
        <w:overflowPunct/>
        <w:topLinePunct w:val="0"/>
        <w:autoSpaceDE w:val="0"/>
        <w:autoSpaceDN/>
        <w:bidi w:val="0"/>
        <w:adjustRightInd/>
        <w:snapToGrid/>
        <w:spacing w:line="570"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方正楷体_GBK"/>
          <w:b w:val="0"/>
          <w:bCs w:val="0"/>
          <w:sz w:val="32"/>
          <w:szCs w:val="32"/>
          <w:shd w:val="clear" w:color="auto" w:fill="FFFFFF"/>
          <w:lang w:val="en-US" w:eastAsia="zh-CN" w:bidi="ar-SA"/>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default" w:ascii="Times New Roman" w:hAnsi="Times New Roman" w:eastAsia="方正仿宋_GBK" w:cs="方正仿宋_GBK"/>
          <w:sz w:val="32"/>
          <w:szCs w:val="32"/>
          <w:shd w:val="clear" w:color="auto" w:fill="FFFFFF"/>
          <w:lang w:val="en-US" w:eastAsia="zh-CN"/>
        </w:rPr>
        <w:t>截至202</w:t>
      </w:r>
      <w:r>
        <w:rPr>
          <w:rFonts w:hint="eastAsia" w:ascii="Times New Roman" w:hAnsi="Times New Roman" w:eastAsia="方正仿宋_GBK" w:cs="方正仿宋_GBK"/>
          <w:sz w:val="32"/>
          <w:szCs w:val="32"/>
          <w:shd w:val="clear" w:color="auto" w:fill="FFFFFF"/>
          <w:lang w:val="en-US" w:eastAsia="zh-CN"/>
        </w:rPr>
        <w:t>4</w:t>
      </w:r>
      <w:r>
        <w:rPr>
          <w:rFonts w:hint="default" w:ascii="Times New Roman" w:hAnsi="Times New Roman" w:eastAsia="方正仿宋_GBK" w:cs="方正仿宋_GBK"/>
          <w:sz w:val="32"/>
          <w:szCs w:val="32"/>
          <w:shd w:val="clear" w:color="auto" w:fill="FFFFFF"/>
          <w:lang w:val="en-US" w:eastAsia="zh-CN"/>
        </w:rPr>
        <w:t>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val="0"/>
        <w:kinsoku/>
        <w:wordWrap/>
        <w:overflowPunct/>
        <w:topLinePunct w:val="0"/>
        <w:autoSpaceDE w:val="0"/>
        <w:autoSpaceDN/>
        <w:bidi w:val="0"/>
        <w:adjustRightInd/>
        <w:snapToGrid/>
        <w:spacing w:line="570"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方正楷体_GBK"/>
          <w:b w:val="0"/>
          <w:bCs w:val="0"/>
          <w:sz w:val="32"/>
          <w:szCs w:val="32"/>
          <w:shd w:val="clear" w:color="auto" w:fill="FFFFFF"/>
          <w:lang w:val="en-US" w:eastAsia="zh-CN" w:bidi="ar-SA"/>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2024年度我单位未发生政府采购事项，无相关经费支出。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eastAsia" w:ascii="Times New Roman" w:hAnsi="Times New Roman" w:eastAsia="方正黑体_GBK" w:cs="Times New Roman"/>
          <w:b w:val="0"/>
          <w:bCs w:val="0"/>
          <w:kern w:val="2"/>
          <w:sz w:val="32"/>
          <w:szCs w:val="32"/>
          <w:lang w:val="en-US" w:eastAsia="zh-CN" w:bidi="ar-SA"/>
        </w:rPr>
        <w:t>五、</w:t>
      </w:r>
      <w:r>
        <w:rPr>
          <w:rFonts w:hint="default" w:ascii="Times New Roman" w:hAnsi="Times New Roman" w:eastAsia="方正黑体_GBK" w:cs="Times New Roman"/>
          <w:b w:val="0"/>
          <w:bCs w:val="0"/>
          <w:kern w:val="2"/>
          <w:sz w:val="32"/>
          <w:szCs w:val="32"/>
          <w:lang w:val="en-US" w:eastAsia="zh-CN" w:bidi="ar-SA"/>
        </w:rPr>
        <w:t>预算绩效管理情况说明</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无</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六、专业名词解释</w:t>
      </w:r>
    </w:p>
    <w:p>
      <w:pPr>
        <w:pStyle w:val="14"/>
        <w:keepNext w:val="0"/>
        <w:keepLines w:val="0"/>
        <w:pageBreakBefore w:val="0"/>
        <w:widowControl w:val="0"/>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方正楷体_GBK"/>
          <w:b w:val="0"/>
          <w:bCs w:val="0"/>
          <w:sz w:val="32"/>
          <w:szCs w:val="32"/>
          <w:shd w:val="clear" w:color="auto" w:fill="FFFFFF"/>
          <w:lang w:val="en-US" w:eastAsia="zh-CN" w:bidi="ar-SA"/>
        </w:rPr>
        <w:t>（一）财政拨款收入：</w:t>
      </w:r>
      <w:r>
        <w:rPr>
          <w:rFonts w:hint="eastAsia" w:ascii="Times New Roman" w:hAnsi="Times New Roman" w:eastAsia="方正仿宋_GBK" w:cs="方正仿宋_GBK"/>
          <w:b w:val="0"/>
          <w:bCs w:val="0"/>
          <w:sz w:val="32"/>
          <w:szCs w:val="32"/>
          <w:shd w:val="clear" w:color="auto" w:fill="FFFFFF"/>
          <w:lang w:val="en-US" w:eastAsia="zh-CN" w:bidi="ar-SA"/>
        </w:rPr>
        <w:t>指本年度从本级财政部门取得的财政拨款，包括一般公共预算财政拨款和政府性基金预算财政拨款。</w:t>
      </w:r>
    </w:p>
    <w:p>
      <w:pPr>
        <w:pStyle w:val="14"/>
        <w:keepNext w:val="0"/>
        <w:keepLines w:val="0"/>
        <w:pageBreakBefore w:val="0"/>
        <w:widowControl w:val="0"/>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方正楷体_GBK"/>
          <w:b w:val="0"/>
          <w:bCs w:val="0"/>
          <w:sz w:val="32"/>
          <w:szCs w:val="32"/>
          <w:shd w:val="clear" w:color="auto" w:fill="FFFFFF"/>
          <w:lang w:val="en-US" w:eastAsia="zh-CN" w:bidi="ar-SA"/>
        </w:rPr>
        <w:t>（二）事业收入：</w:t>
      </w:r>
      <w:r>
        <w:rPr>
          <w:rFonts w:hint="eastAsia" w:ascii="Times New Roman" w:hAnsi="Times New Roman" w:eastAsia="方正仿宋_GBK" w:cs="方正仿宋_GBK"/>
          <w:b w:val="0"/>
          <w:bCs w:val="0"/>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方正楷体_GBK"/>
          <w:b w:val="0"/>
          <w:bCs w:val="0"/>
          <w:sz w:val="32"/>
          <w:szCs w:val="32"/>
          <w:shd w:val="clear" w:color="auto" w:fill="FFFFFF"/>
          <w:lang w:val="en-US" w:eastAsia="zh-CN" w:bidi="ar-SA"/>
        </w:rPr>
        <w:t>（三）经营收入：</w:t>
      </w:r>
      <w:r>
        <w:rPr>
          <w:rFonts w:hint="eastAsia" w:ascii="Times New Roman" w:hAnsi="Times New Roman" w:eastAsia="方正仿宋_GBK" w:cs="方正仿宋_GBK"/>
          <w:b w:val="0"/>
          <w:bCs w:val="0"/>
          <w:sz w:val="32"/>
          <w:szCs w:val="32"/>
          <w:shd w:val="clear" w:color="auto" w:fill="FFFFFF"/>
          <w:lang w:val="en-US" w:eastAsia="zh-CN" w:bidi="ar-SA"/>
        </w:rPr>
        <w:t>指事业单位在专业业务活动及其辅助活动之外开展非独立核算经营活动取得的现金流入。</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方正楷体_GBK"/>
          <w:b w:val="0"/>
          <w:bCs w:val="0"/>
          <w:sz w:val="32"/>
          <w:szCs w:val="32"/>
          <w:shd w:val="clear" w:color="auto" w:fill="FFFFFF"/>
          <w:lang w:val="en-US" w:eastAsia="zh-CN" w:bidi="ar-SA"/>
        </w:rPr>
        <w:t>（四）其他收入：</w:t>
      </w:r>
      <w:r>
        <w:rPr>
          <w:rFonts w:hint="eastAsia" w:ascii="Times New Roman" w:hAnsi="Times New Roman" w:eastAsia="方正仿宋_GBK" w:cs="方正仿宋_GBK"/>
          <w:b w:val="0"/>
          <w:bCs w:val="0"/>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方正楷体_GBK"/>
          <w:b w:val="0"/>
          <w:bCs w:val="0"/>
          <w:sz w:val="32"/>
          <w:szCs w:val="32"/>
          <w:shd w:val="clear" w:color="auto" w:fill="FFFFFF"/>
          <w:lang w:val="en-US" w:eastAsia="zh-CN" w:bidi="ar-SA"/>
        </w:rPr>
        <w:t>（五）使用非财政拨款结余（含专用结余）：</w:t>
      </w:r>
      <w:r>
        <w:rPr>
          <w:rFonts w:hint="eastAsia" w:ascii="Times New Roman" w:hAnsi="Times New Roman" w:eastAsia="方正仿宋_GBK" w:cs="方正仿宋_GBK"/>
          <w:b w:val="0"/>
          <w:bCs w:val="0"/>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（六）年初结转和结余：</w:t>
      </w:r>
      <w:r>
        <w:rPr>
          <w:rFonts w:hint="eastAsia" w:ascii="Times New Roman" w:hAnsi="Times New Roman" w:eastAsia="方正仿宋_GBK" w:cs="方正仿宋_GBK"/>
          <w:kern w:val="0"/>
          <w:sz w:val="32"/>
          <w:szCs w:val="32"/>
          <w:shd w:val="clear" w:fill="FFFFFF"/>
        </w:rPr>
        <w:t>指单位上年结转本年使用的基本支出结转、项目支出结转和结余、经营结余。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（七）结余分配：</w:t>
      </w:r>
      <w:r>
        <w:rPr>
          <w:rFonts w:hint="eastAsia" w:ascii="Times New Roman" w:hAnsi="Times New Roman" w:eastAsia="方正仿宋_GBK" w:cs="方正仿宋_GBK"/>
          <w:kern w:val="0"/>
          <w:sz w:val="32"/>
          <w:szCs w:val="32"/>
          <w:shd w:val="clear" w:fill="FFFFFF"/>
        </w:rPr>
        <w:t>指单位按照国家有关规定，缴纳所得税、提取专用基金、转入非财政拨款结余等当年结余的分配情况。</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w:t>
      </w:r>
      <w:r>
        <w:rPr>
          <w:rFonts w:hint="eastAsia" w:ascii="Times New Roman" w:hAnsi="Times New Roman" w:eastAsia="方正楷体_GBK" w:cs="方正楷体_GBK"/>
          <w:b w:val="0"/>
          <w:bCs w:val="0"/>
          <w:sz w:val="32"/>
          <w:szCs w:val="32"/>
          <w:shd w:val="clear" w:color="auto" w:fill="FFFFFF"/>
          <w:lang w:val="en-US" w:eastAsia="zh-CN" w:bidi="ar-SA"/>
        </w:rPr>
        <w:t>八）年末结转和结余：</w:t>
      </w:r>
      <w:r>
        <w:rPr>
          <w:rFonts w:hint="eastAsia" w:ascii="Times New Roman" w:hAnsi="Times New Roman" w:eastAsia="方正仿宋_GBK" w:cs="方正仿宋_GBK"/>
          <w:kern w:val="0"/>
          <w:sz w:val="32"/>
          <w:szCs w:val="32"/>
          <w:shd w:val="clear" w:fill="FFFFFF"/>
        </w:rPr>
        <w:t>指单位结转下年的基本支出结转、项目支出结转和结余、经营结余。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（九）基本支出：</w:t>
      </w:r>
      <w:r>
        <w:rPr>
          <w:rFonts w:hint="eastAsia" w:ascii="Times New Roman" w:hAnsi="Times New Roman"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（十）项目支出：</w:t>
      </w:r>
      <w:r>
        <w:rPr>
          <w:rFonts w:hint="eastAsia" w:ascii="Times New Roman" w:hAnsi="Times New Roman" w:eastAsia="方正仿宋_GBK" w:cs="方正仿宋_GBK"/>
          <w:kern w:val="0"/>
          <w:sz w:val="32"/>
          <w:szCs w:val="32"/>
          <w:shd w:val="clear" w:fill="FFFFFF"/>
        </w:rPr>
        <w:t>指在基本支出之外为完成特定行政任务和事业发展目标所发生的支出。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（十一）经营支出：</w:t>
      </w:r>
      <w:r>
        <w:rPr>
          <w:rFonts w:hint="eastAsia" w:ascii="Times New Roman" w:hAnsi="Times New Roman" w:eastAsia="方正仿宋_GBK" w:cs="方正仿宋_GBK"/>
          <w:kern w:val="0"/>
          <w:sz w:val="32"/>
          <w:szCs w:val="32"/>
          <w:shd w:val="clear" w:fill="FFFFFF"/>
        </w:rPr>
        <w:t>指事业单位在专业业务活动及其辅助活动之外开展非独立核算经营活动发生的支出。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方正楷体_GBK"/>
          <w:b w:val="0"/>
          <w:bCs w:val="0"/>
          <w:sz w:val="32"/>
          <w:szCs w:val="32"/>
          <w:shd w:val="clear" w:color="auto" w:fill="FFFFFF"/>
          <w:lang w:val="en-US" w:eastAsia="zh-CN" w:bidi="ar-SA"/>
        </w:rPr>
        <w:t>（十二）“三公”经费：</w:t>
      </w:r>
      <w:r>
        <w:rPr>
          <w:rFonts w:hint="eastAsia" w:ascii="Times New Roman" w:hAnsi="Times New Roman" w:eastAsia="方正仿宋_GBK" w:cs="方正仿宋_GBK"/>
          <w:b w:val="0"/>
          <w:bCs w:val="0"/>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（十三）机关运行经费：</w:t>
      </w:r>
      <w:r>
        <w:rPr>
          <w:rFonts w:hint="eastAsia" w:ascii="Times New Roman" w:hAnsi="Times New Roman"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（十四）工资福利支出（支出经济分类科目类级）：</w:t>
      </w:r>
      <w:r>
        <w:rPr>
          <w:rFonts w:hint="eastAsia" w:ascii="Times New Roman" w:hAnsi="Times New Roman"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（十五）商品和服务支出（支出经济分类科目类级）：</w:t>
      </w:r>
      <w:r>
        <w:rPr>
          <w:rFonts w:hint="eastAsia" w:ascii="Times New Roman" w:hAnsi="Times New Roman" w:eastAsia="方正仿宋_GBK" w:cs="方正仿宋_GBK"/>
          <w:kern w:val="0"/>
          <w:sz w:val="32"/>
          <w:szCs w:val="32"/>
          <w:shd w:val="clear" w:fill="FFFFFF"/>
        </w:rPr>
        <w:t>反映单位购买商品和服务的支出（不包括用于购置固定资产的支出、战略性和应急储备支出）。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（十六）对个人和家庭的补助（支出经济分类科目类级）：</w:t>
      </w:r>
      <w:r>
        <w:rPr>
          <w:rFonts w:hint="eastAsia" w:ascii="Times New Roman" w:hAnsi="Times New Roman" w:eastAsia="方正仿宋_GBK" w:cs="方正仿宋_GBK"/>
          <w:kern w:val="0"/>
          <w:sz w:val="32"/>
          <w:szCs w:val="32"/>
          <w:shd w:val="clear" w:fill="FFFFFF"/>
        </w:rPr>
        <w:t>反映用于对个人和家庭的补助支出。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b w:val="0"/>
          <w:bCs w:val="0"/>
          <w:sz w:val="32"/>
          <w:szCs w:val="32"/>
          <w:shd w:val="clear" w:color="auto" w:fill="FFFFFF"/>
          <w:lang w:val="en-US" w:eastAsia="zh-CN" w:bidi="ar-SA"/>
        </w:rPr>
        <w:t>（十七）其他资本性支出（支出经济分类科目类级）：</w:t>
      </w:r>
      <w:r>
        <w:rPr>
          <w:rFonts w:hint="eastAsia" w:ascii="Times New Roman" w:hAnsi="Times New Roman"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七、决算公开联系方式及信息反馈渠道</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default" w:ascii="Times New Roman" w:hAnsi="Times New Roman" w:cs="宋体"/>
          <w:b w:val="0"/>
          <w:bCs w:val="0"/>
          <w:sz w:val="21"/>
          <w:szCs w:val="21"/>
        </w:rPr>
      </w:pPr>
      <w:r>
        <w:rPr>
          <w:rFonts w:hint="default" w:ascii="Times New Roman" w:hAnsi="Times New Roman" w:eastAsia="方正仿宋_GBK" w:cs="方正仿宋_GBK"/>
          <w:b w:val="0"/>
          <w:bCs w:val="0"/>
          <w:sz w:val="32"/>
          <w:szCs w:val="32"/>
          <w:shd w:val="clear" w:color="auto" w:fill="FFFFFF"/>
          <w:lang w:val="en-US" w:eastAsia="zh-CN" w:bidi="ar-SA"/>
        </w:rPr>
        <w:t>本单位决算公开信息反馈和联系方</w:t>
      </w:r>
      <w:bookmarkStart w:id="0" w:name="_GoBack"/>
      <w:bookmarkEnd w:id="0"/>
      <w:r>
        <w:rPr>
          <w:rFonts w:hint="default" w:ascii="Times New Roman" w:hAnsi="Times New Roman" w:eastAsia="方正仿宋_GBK" w:cs="方正仿宋_GBK"/>
          <w:b w:val="0"/>
          <w:bCs w:val="0"/>
          <w:sz w:val="32"/>
          <w:szCs w:val="32"/>
          <w:shd w:val="clear" w:color="auto" w:fill="FFFFFF"/>
          <w:lang w:val="en-US" w:eastAsia="zh-CN" w:bidi="ar-SA"/>
        </w:rPr>
        <w:t>式：023-4861</w:t>
      </w:r>
      <w:r>
        <w:rPr>
          <w:rFonts w:hint="eastAsia" w:ascii="Times New Roman" w:hAnsi="Times New Roman" w:eastAsia="方正仿宋_GBK" w:cs="方正仿宋_GBK"/>
          <w:b w:val="0"/>
          <w:bCs w:val="0"/>
          <w:sz w:val="32"/>
          <w:szCs w:val="32"/>
          <w:shd w:val="clear" w:color="auto" w:fill="FFFFFF"/>
          <w:lang w:val="en-US" w:eastAsia="zh-CN" w:bidi="ar-SA"/>
        </w:rPr>
        <w:t>9651</w:t>
      </w:r>
      <w:r>
        <w:rPr>
          <w:rFonts w:hint="default" w:ascii="Times New Roman" w:hAnsi="Times New Roman" w:eastAsia="方正仿宋_GBK" w:cs="方正仿宋_GBK"/>
          <w:b w:val="0"/>
          <w:bCs w:val="0"/>
          <w:sz w:val="32"/>
          <w:szCs w:val="32"/>
          <w:shd w:val="clear" w:color="auto" w:fill="FFFFFF"/>
          <w:lang w:val="en-US" w:eastAsia="zh-CN" w:bidi="ar-SA"/>
        </w:rPr>
        <w:t>。</w:t>
      </w:r>
    </w:p>
    <w:sectPr>
      <w:headerReference r:id="rId3" w:type="default"/>
      <w:footerReference r:id="rId4" w:type="default"/>
      <w:pgSz w:w="11907" w:h="16839"/>
      <w:pgMar w:top="2098" w:right="1474" w:bottom="1984" w:left="1587" w:header="0" w:footer="283"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414"/>
        <w:tab w:val="clear" w:pos="4153"/>
      </w:tabs>
      <w:jc w:val="both"/>
      <w:rPr>
        <w:rFonts w:hint="default"/>
      </w:rPr>
    </w:pP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r>
      <w:rPr>
        <w:sz w:val="18"/>
      </w:rPr>
      <w:pict>
        <v:shape id="_x0000_s1031" o:spid="_x0000_s1031" o:spt="202" type="#_x0000_t202" style="position:absolute;left:0pt;margin-top:-58.3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yZDNlMTkzYTBmZTZlMjIzYWFjODY2ZWJkNmU1M2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284C10"/>
    <w:rsid w:val="01456BDC"/>
    <w:rsid w:val="01474EBF"/>
    <w:rsid w:val="01F3521E"/>
    <w:rsid w:val="02F95761"/>
    <w:rsid w:val="03B87EA0"/>
    <w:rsid w:val="03E3214F"/>
    <w:rsid w:val="044C50BA"/>
    <w:rsid w:val="046E5030"/>
    <w:rsid w:val="04E30C67"/>
    <w:rsid w:val="05BC6D49"/>
    <w:rsid w:val="06194FF1"/>
    <w:rsid w:val="06A2550B"/>
    <w:rsid w:val="06F80EE2"/>
    <w:rsid w:val="07001CCA"/>
    <w:rsid w:val="074D6BE3"/>
    <w:rsid w:val="075678DB"/>
    <w:rsid w:val="079D7CC7"/>
    <w:rsid w:val="08051BCA"/>
    <w:rsid w:val="086C12F4"/>
    <w:rsid w:val="08705944"/>
    <w:rsid w:val="08BA052C"/>
    <w:rsid w:val="08DB07BA"/>
    <w:rsid w:val="0969353F"/>
    <w:rsid w:val="098305D0"/>
    <w:rsid w:val="0A3317EA"/>
    <w:rsid w:val="0A5C4B69"/>
    <w:rsid w:val="0A86124A"/>
    <w:rsid w:val="0AA17496"/>
    <w:rsid w:val="0AB54CC0"/>
    <w:rsid w:val="0B9335CE"/>
    <w:rsid w:val="0BC54A99"/>
    <w:rsid w:val="0BF2311A"/>
    <w:rsid w:val="0C7927C4"/>
    <w:rsid w:val="0C9B098C"/>
    <w:rsid w:val="0D0B2FFA"/>
    <w:rsid w:val="0D673E11"/>
    <w:rsid w:val="0D94130F"/>
    <w:rsid w:val="0DA21027"/>
    <w:rsid w:val="0DDA54E4"/>
    <w:rsid w:val="0E3A5F83"/>
    <w:rsid w:val="0ED34FA7"/>
    <w:rsid w:val="0F184516"/>
    <w:rsid w:val="0F2B249C"/>
    <w:rsid w:val="0F836721"/>
    <w:rsid w:val="0FA25D96"/>
    <w:rsid w:val="103B6450"/>
    <w:rsid w:val="107B59E5"/>
    <w:rsid w:val="10A047C3"/>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76392B"/>
    <w:rsid w:val="152D05F0"/>
    <w:rsid w:val="15CC565E"/>
    <w:rsid w:val="16344158"/>
    <w:rsid w:val="163A6CEE"/>
    <w:rsid w:val="16D01B68"/>
    <w:rsid w:val="16EA6153"/>
    <w:rsid w:val="1725580F"/>
    <w:rsid w:val="173708E3"/>
    <w:rsid w:val="17C374FC"/>
    <w:rsid w:val="182E4AB6"/>
    <w:rsid w:val="189079DC"/>
    <w:rsid w:val="189B0D0B"/>
    <w:rsid w:val="18B43F7C"/>
    <w:rsid w:val="194A1770"/>
    <w:rsid w:val="1966262C"/>
    <w:rsid w:val="19B906A4"/>
    <w:rsid w:val="1B6F15B6"/>
    <w:rsid w:val="1B9D3E93"/>
    <w:rsid w:val="1BAA2EDC"/>
    <w:rsid w:val="1BB97511"/>
    <w:rsid w:val="1CA55E64"/>
    <w:rsid w:val="1D014A01"/>
    <w:rsid w:val="1D022362"/>
    <w:rsid w:val="1D1B04B0"/>
    <w:rsid w:val="1DA52501"/>
    <w:rsid w:val="1DBD6767"/>
    <w:rsid w:val="1DC52125"/>
    <w:rsid w:val="1DD26311"/>
    <w:rsid w:val="1E1B2C3C"/>
    <w:rsid w:val="1E374ACB"/>
    <w:rsid w:val="1ECF0A66"/>
    <w:rsid w:val="1EDA17E8"/>
    <w:rsid w:val="1EF67CA4"/>
    <w:rsid w:val="1F020D3A"/>
    <w:rsid w:val="1F2C5189"/>
    <w:rsid w:val="1F3173D2"/>
    <w:rsid w:val="1F4B0B02"/>
    <w:rsid w:val="1F845AC6"/>
    <w:rsid w:val="1FBB35CD"/>
    <w:rsid w:val="1FCD26AF"/>
    <w:rsid w:val="205661D5"/>
    <w:rsid w:val="20642787"/>
    <w:rsid w:val="21556F04"/>
    <w:rsid w:val="21C87E71"/>
    <w:rsid w:val="22403BD3"/>
    <w:rsid w:val="23446550"/>
    <w:rsid w:val="235F406A"/>
    <w:rsid w:val="24B92327"/>
    <w:rsid w:val="24C14514"/>
    <w:rsid w:val="2533755C"/>
    <w:rsid w:val="25791755"/>
    <w:rsid w:val="26396DF4"/>
    <w:rsid w:val="27010CE7"/>
    <w:rsid w:val="27167136"/>
    <w:rsid w:val="271B442C"/>
    <w:rsid w:val="27B23302"/>
    <w:rsid w:val="29310A5F"/>
    <w:rsid w:val="29521CEB"/>
    <w:rsid w:val="29C37A35"/>
    <w:rsid w:val="2A076083"/>
    <w:rsid w:val="2A73162E"/>
    <w:rsid w:val="2B167953"/>
    <w:rsid w:val="2B200583"/>
    <w:rsid w:val="2B8209DE"/>
    <w:rsid w:val="2C636760"/>
    <w:rsid w:val="2C6762A3"/>
    <w:rsid w:val="2D5F6C3C"/>
    <w:rsid w:val="2F5B45F3"/>
    <w:rsid w:val="2FCA4B37"/>
    <w:rsid w:val="2FE029D7"/>
    <w:rsid w:val="2FF06E00"/>
    <w:rsid w:val="30586FEC"/>
    <w:rsid w:val="305E43CC"/>
    <w:rsid w:val="30C322EC"/>
    <w:rsid w:val="30E51C56"/>
    <w:rsid w:val="315F0B22"/>
    <w:rsid w:val="31D84415"/>
    <w:rsid w:val="32285F6F"/>
    <w:rsid w:val="32770556"/>
    <w:rsid w:val="329C0913"/>
    <w:rsid w:val="32AA0460"/>
    <w:rsid w:val="3337290D"/>
    <w:rsid w:val="33E31118"/>
    <w:rsid w:val="33EF7674"/>
    <w:rsid w:val="342D7BC6"/>
    <w:rsid w:val="346040E6"/>
    <w:rsid w:val="34F605A6"/>
    <w:rsid w:val="352930DB"/>
    <w:rsid w:val="35573069"/>
    <w:rsid w:val="355F6038"/>
    <w:rsid w:val="358C217E"/>
    <w:rsid w:val="36C9128A"/>
    <w:rsid w:val="37841E99"/>
    <w:rsid w:val="37BF1123"/>
    <w:rsid w:val="383C3F15"/>
    <w:rsid w:val="38BE4696"/>
    <w:rsid w:val="3939115E"/>
    <w:rsid w:val="39B82A39"/>
    <w:rsid w:val="39C42CA8"/>
    <w:rsid w:val="39CC5451"/>
    <w:rsid w:val="39DC4FD6"/>
    <w:rsid w:val="39F03D7A"/>
    <w:rsid w:val="39F33306"/>
    <w:rsid w:val="3A2C1C67"/>
    <w:rsid w:val="3AB24F6F"/>
    <w:rsid w:val="3ADD7F09"/>
    <w:rsid w:val="3B1705E5"/>
    <w:rsid w:val="3B18334B"/>
    <w:rsid w:val="3B36794F"/>
    <w:rsid w:val="3B6F6EE0"/>
    <w:rsid w:val="3C566AD6"/>
    <w:rsid w:val="3C594871"/>
    <w:rsid w:val="3C6A5B02"/>
    <w:rsid w:val="3C99400E"/>
    <w:rsid w:val="3D066478"/>
    <w:rsid w:val="3D2757A1"/>
    <w:rsid w:val="3D3D4FC4"/>
    <w:rsid w:val="3DDF3AB1"/>
    <w:rsid w:val="3E1D0952"/>
    <w:rsid w:val="3E42660A"/>
    <w:rsid w:val="3E7555B1"/>
    <w:rsid w:val="3E787ED9"/>
    <w:rsid w:val="3F032E93"/>
    <w:rsid w:val="3F0527E5"/>
    <w:rsid w:val="3F4940F4"/>
    <w:rsid w:val="3F54411A"/>
    <w:rsid w:val="3F694D83"/>
    <w:rsid w:val="3F885DCC"/>
    <w:rsid w:val="3FA044D3"/>
    <w:rsid w:val="3FCD675E"/>
    <w:rsid w:val="4004000C"/>
    <w:rsid w:val="40427815"/>
    <w:rsid w:val="40BD5482"/>
    <w:rsid w:val="411B6CE5"/>
    <w:rsid w:val="412070D7"/>
    <w:rsid w:val="41314E40"/>
    <w:rsid w:val="417B255F"/>
    <w:rsid w:val="41E0734B"/>
    <w:rsid w:val="425C47D1"/>
    <w:rsid w:val="426C1EA8"/>
    <w:rsid w:val="42736402"/>
    <w:rsid w:val="42E86A87"/>
    <w:rsid w:val="432C2EEC"/>
    <w:rsid w:val="43307B09"/>
    <w:rsid w:val="439A3EB9"/>
    <w:rsid w:val="43BB152F"/>
    <w:rsid w:val="43C5790C"/>
    <w:rsid w:val="4420631A"/>
    <w:rsid w:val="44C37687"/>
    <w:rsid w:val="451B5252"/>
    <w:rsid w:val="45CB699A"/>
    <w:rsid w:val="465B470D"/>
    <w:rsid w:val="469D6AD4"/>
    <w:rsid w:val="46A352A0"/>
    <w:rsid w:val="46CE7BD0"/>
    <w:rsid w:val="471E6C84"/>
    <w:rsid w:val="4748792B"/>
    <w:rsid w:val="475D719D"/>
    <w:rsid w:val="47674801"/>
    <w:rsid w:val="48225EF7"/>
    <w:rsid w:val="488F422B"/>
    <w:rsid w:val="48E36915"/>
    <w:rsid w:val="48EB6572"/>
    <w:rsid w:val="495C4A24"/>
    <w:rsid w:val="497135DF"/>
    <w:rsid w:val="49811327"/>
    <w:rsid w:val="4A263DF2"/>
    <w:rsid w:val="4A266EBB"/>
    <w:rsid w:val="4A6F6675"/>
    <w:rsid w:val="4B135857"/>
    <w:rsid w:val="4B7951CB"/>
    <w:rsid w:val="4B7C315C"/>
    <w:rsid w:val="4B9F509C"/>
    <w:rsid w:val="4C0E4C32"/>
    <w:rsid w:val="4DAC4ACA"/>
    <w:rsid w:val="4DBE01D2"/>
    <w:rsid w:val="4EDB288F"/>
    <w:rsid w:val="4F0C6BA3"/>
    <w:rsid w:val="4F186D58"/>
    <w:rsid w:val="50672D84"/>
    <w:rsid w:val="50F06B6E"/>
    <w:rsid w:val="51D21804"/>
    <w:rsid w:val="52234D33"/>
    <w:rsid w:val="522F6E0C"/>
    <w:rsid w:val="52463BA1"/>
    <w:rsid w:val="52F163D4"/>
    <w:rsid w:val="53161DC8"/>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F362D1"/>
    <w:rsid w:val="56530F5D"/>
    <w:rsid w:val="567700D3"/>
    <w:rsid w:val="56FF7E9E"/>
    <w:rsid w:val="578867FC"/>
    <w:rsid w:val="57917F8F"/>
    <w:rsid w:val="5842572D"/>
    <w:rsid w:val="5A3B59D6"/>
    <w:rsid w:val="5AD134D8"/>
    <w:rsid w:val="5B7A705D"/>
    <w:rsid w:val="5C263CE4"/>
    <w:rsid w:val="5C5D2777"/>
    <w:rsid w:val="5CF66BF3"/>
    <w:rsid w:val="5D290C69"/>
    <w:rsid w:val="5D2B2C34"/>
    <w:rsid w:val="5F2D4A41"/>
    <w:rsid w:val="60C74F6C"/>
    <w:rsid w:val="61025A59"/>
    <w:rsid w:val="613D5BBC"/>
    <w:rsid w:val="61536C39"/>
    <w:rsid w:val="618E3791"/>
    <w:rsid w:val="61F304D6"/>
    <w:rsid w:val="6250322B"/>
    <w:rsid w:val="62632F1F"/>
    <w:rsid w:val="62944DD7"/>
    <w:rsid w:val="62BD57C1"/>
    <w:rsid w:val="62F20EBD"/>
    <w:rsid w:val="6319381F"/>
    <w:rsid w:val="631F65F5"/>
    <w:rsid w:val="63C25DC5"/>
    <w:rsid w:val="63C62057"/>
    <w:rsid w:val="64571EF5"/>
    <w:rsid w:val="645E38EF"/>
    <w:rsid w:val="64FB113D"/>
    <w:rsid w:val="656152C6"/>
    <w:rsid w:val="6587477F"/>
    <w:rsid w:val="658C3A08"/>
    <w:rsid w:val="65C031CA"/>
    <w:rsid w:val="65CE6852"/>
    <w:rsid w:val="66267C04"/>
    <w:rsid w:val="663F505A"/>
    <w:rsid w:val="668D1CA4"/>
    <w:rsid w:val="66EE5541"/>
    <w:rsid w:val="67084450"/>
    <w:rsid w:val="67924660"/>
    <w:rsid w:val="68407834"/>
    <w:rsid w:val="685E3AE4"/>
    <w:rsid w:val="6883293E"/>
    <w:rsid w:val="688412AD"/>
    <w:rsid w:val="68EB1B71"/>
    <w:rsid w:val="69C836F6"/>
    <w:rsid w:val="6A6C7940"/>
    <w:rsid w:val="6AAD2300"/>
    <w:rsid w:val="6AD555A4"/>
    <w:rsid w:val="6AD562A6"/>
    <w:rsid w:val="6AE568F6"/>
    <w:rsid w:val="6B474EF5"/>
    <w:rsid w:val="6BFF02FF"/>
    <w:rsid w:val="6C0A5AC5"/>
    <w:rsid w:val="6C560CAE"/>
    <w:rsid w:val="6C576495"/>
    <w:rsid w:val="6D8D45F4"/>
    <w:rsid w:val="6D903FF5"/>
    <w:rsid w:val="6DA955B8"/>
    <w:rsid w:val="6DE346AB"/>
    <w:rsid w:val="6DE5391A"/>
    <w:rsid w:val="6EFD1324"/>
    <w:rsid w:val="6F5A53AC"/>
    <w:rsid w:val="6FAC003D"/>
    <w:rsid w:val="6FE55E12"/>
    <w:rsid w:val="6FFB2E76"/>
    <w:rsid w:val="703B2DAB"/>
    <w:rsid w:val="708F6F7F"/>
    <w:rsid w:val="70D94BD3"/>
    <w:rsid w:val="71C34D91"/>
    <w:rsid w:val="72C54B39"/>
    <w:rsid w:val="72DB435C"/>
    <w:rsid w:val="72E2613A"/>
    <w:rsid w:val="72F771F4"/>
    <w:rsid w:val="73934AD2"/>
    <w:rsid w:val="750837F0"/>
    <w:rsid w:val="754758CF"/>
    <w:rsid w:val="764F62AB"/>
    <w:rsid w:val="765C45EC"/>
    <w:rsid w:val="767949CB"/>
    <w:rsid w:val="768A7619"/>
    <w:rsid w:val="772E1EBA"/>
    <w:rsid w:val="781926BC"/>
    <w:rsid w:val="796D60A4"/>
    <w:rsid w:val="79A031D5"/>
    <w:rsid w:val="7A1525F7"/>
    <w:rsid w:val="7B420052"/>
    <w:rsid w:val="7BD06A28"/>
    <w:rsid w:val="7BEE62DE"/>
    <w:rsid w:val="7C3A7C0B"/>
    <w:rsid w:val="7C5248E4"/>
    <w:rsid w:val="7C566698"/>
    <w:rsid w:val="7C5866A3"/>
    <w:rsid w:val="7CFC1D7E"/>
    <w:rsid w:val="7D7406BB"/>
    <w:rsid w:val="7DDFC103"/>
    <w:rsid w:val="7DE5350F"/>
    <w:rsid w:val="7DE94331"/>
    <w:rsid w:val="7F180556"/>
    <w:rsid w:val="7F446A19"/>
    <w:rsid w:val="7F7452B9"/>
    <w:rsid w:val="7F9F7CB1"/>
    <w:rsid w:val="DFDD2D16"/>
    <w:rsid w:val="F7FF9F73"/>
    <w:rsid w:val="FBFCB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jc w:val="both"/>
      <w:textAlignment w:val="baseline"/>
    </w:pPr>
    <w:rPr>
      <w:rFonts w:ascii="Arial" w:hAnsi="Arial" w:eastAsia="仿宋_GB2312"/>
      <w:kern w:val="2"/>
      <w:sz w:val="20"/>
      <w:szCs w:val="20"/>
      <w:lang w:val="en-US" w:eastAsia="zh-CN" w:bidi="ar-SA"/>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Title"/>
    <w:basedOn w:val="1"/>
    <w:next w:val="1"/>
    <w:qFormat/>
    <w:uiPriority w:val="0"/>
    <w:pPr>
      <w:spacing w:before="240" w:after="60"/>
      <w:outlineLvl w:val="0"/>
    </w:pPr>
    <w:rPr>
      <w:rFonts w:ascii="Arial" w:hAnsi="Arial" w:cs="Arial"/>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3"/>
    <w:qFormat/>
    <w:uiPriority w:val="0"/>
    <w:rPr>
      <w:rFonts w:ascii="宋体" w:hAnsi="宋体"/>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3587</Words>
  <Characters>3942</Characters>
  <Lines>190</Lines>
  <Paragraphs>53</Paragraphs>
  <TotalTime>10</TotalTime>
  <ScaleCrop>false</ScaleCrop>
  <LinksUpToDate>false</LinksUpToDate>
  <CharactersWithSpaces>3942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user</cp:lastModifiedBy>
  <cp:lastPrinted>2024-10-13T10:09:00Z</cp:lastPrinted>
  <dcterms:modified xsi:type="dcterms:W3CDTF">2025-10-23T13:47:00Z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BB46EABDBB2749749395447164B066B3_12</vt:lpwstr>
  </property>
  <property fmtid="{D5CDD505-2E9C-101B-9397-08002B2CF9AE}" pid="4" name="KSOTemplateDocerSaveRecord">
    <vt:lpwstr>eyJoZGlkIjoiM2M3YjBkMDhlMzFhMjQzNjc0MjBkNzQ5MjE4ZTIyYzgiLCJ1c2VySWQiOiI0NTMwNzIyNDUifQ==</vt:lpwstr>
  </property>
</Properties>
</file>