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重庆市綦江区商务委员会（本级）</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2</w:t>
      </w:r>
      <w:r>
        <w:rPr>
          <w:rFonts w:hint="default" w:ascii="Times New Roman" w:hAnsi="Times New Roman" w:eastAsia="方正小标宋_GBK" w:cs="Times New Roman"/>
          <w:sz w:val="44"/>
          <w:szCs w:val="44"/>
        </w:rPr>
        <w:t>年度部门决算情况说明</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一、部门基本情况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（一）职能职责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贯彻执行国家、市有关商贸流通业、口岸、物流、外商投资、对外贸易、对外投资、经济合作等法律、法规、规章和方针政策；拟订本区有关商贸流通业、口岸、物流、外商投资、对外贸易、对外投资、经济合作等规划、政策、规范性文件和管理办法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负责统筹推进本区口岸和物流发展工作；负责全区口岸开放、扩大开放和口岸功能拓展工作，统筹协调全区口岸查验和配套设施的规划、计划、投资、建设和改造工作。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口岸通关协调服务工作，统筹协调全区水运、航空、铁路、公路等多种运输方式的物流组织、调度、运营、管理工作，协调推进物流通道建设和开通有关工作，统筹优化口岸营商环境，促进跨境贸易便利化；负责组织协调推进外贸进出口跨区域物流联动协作机制和便利化措施；统筹推进多式联运发展，培育多式联运市场主体，丰富拓展联运产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城乡消费物流体系建设，构建物流基础设施网络和配套支撑体系；统筹冷链行业管理和仓储发展工作，培育物流市场主体和物流服务品牌，指导国际货运代理企业备案；负责全区口岸和物流标准化、信息化、智能化建设，牵头推进物流公共信息平台建设；负责全区口岸和物流数据统计、分析、研究工作；推进口岸和物流对外交流合作；牵头推进国际物流园区和综保型陆地无水港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牵头推进綦江区积极融入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一带一路</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，加快推进渝南开放高地建设；拟订开放型经济发展政策、措施并组织实施；负责区开放型经济体制改革专项小组办公室日常工作。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负责牵头推进国际陆海贸易新通道（綦江）综合服务区建设；拟订通道经济发展政策、措施并组织实施；负责中新示范项目的管理和服务工作。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7.</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依法管理和监督对外投资、对外承包工程、对外劳务合作工作；指导本区外商投资企业设立及变更等备案管理工作；指导协调国外对本区出口商品实施贸易救济措施及其他限制措施的应对工作；负责对外经济贸易统计和运行情况分析；指导境外跨国公司和国内企业在綦设立地区总部的认定工作；负责区政府外商投诉中心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8.</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本区外经贸发展，加工贸易、转口贸易和服务贸易发展；开展对外经济贸易与合作等工作；指导和组织实施对外贸易促进体系建设；统筹对外贸易促进活动；指导、实施出口知名品牌、进出口基地、外贸综合服务平台建设；负责指导、实施贸易便利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9.</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推进商务领域供给侧结构性改革；承担零售行业管理工作；负责汽车流通及老旧汽车更新行业流通经营的监督管理，负责对报废机动车回收活动实施监督管理；负责再生资源回收、旧货流通等行业以及按有关规定对酒类等重要商品流通经营的监督管理；负责茧丝绸行业行政管理；按有关规定对成品油流通进行监督管理；负责拟定药品流通发展规划和政策；负责指导住宿餐饮、美容美发、养生保健、家政服务等商贸服务业发展，推进行业经营创新；负责指导商贸行业技能技术培训和鉴定工作；负责单用途商业预付卡监督管理；统筹推动商务领域</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放管服</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改革工作。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10.</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牵头推进渝南商贸物流中心建设工作；组织实施本区现代市场体系建设；统筹协调城市商圈、城乡商品交易市场、大型商业综合体、特色商业街规划布局，推进商务重大项目库建设；指导商贸供应链体系、公益性农贸市场体系建设，培育和发展商贸市场主体；负责商务统计、市场运行监测、预警信息发布、经济运行和分析调度；负责城市商圈的日常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负责牵头推进本区消费促进工作；推进连锁经营、特许经营发展，推动商务领域信用建设；负责老字号、名菜、名小吃等商贸服务业品牌的挖掘和培育工作；负责綦江美食地理发布工作。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牵头拟订重要生活消费品和重要商品应急保供预案并组织实施；负责落实重要商品储备制度；承担突发性灾害和突发性事件重要商品保供应急工作；组织协调食用油、肉类、蔬菜等重要生活必需品的市场供应和市场调节；负责区政府重要商品保供应急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牵头推进本区电子商务发展工作；拟订电子商务发展政策、措施并组织实施；牵头推进各行业电子商务扩大应用；统筹完善电子商务支撑体系建设；推进重要产品流通追溯体系建设；统筹推进电子商务领域合作与交流；推进跨境电子商务综合试验区和电子商务示范基地建设；牵头推进农村电子商务发展；负责电商企业认定；推进互联网信息技术在商务领域的推广应用，实施</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互联网+流通</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行动计划，推进流通产业结构调整，促进传统商业转型升级和新兴业态发展；负责区电子商务发展指挥部办公室日常工作。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牵头本区会展经济发展工作；拟订会展经济发展政策、措施并组织实施；建立会展经济指标统计体系和信用评价体系，优化会展行业环境；推进会展基础设施建设；统筹区内外大型经贸展会活动，培育品牌特色展会；负责区政府会展办公室日常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15.</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对商务领域负有行业行政管理职责的企业实施安全生产监督管理和举报投诉受理，协同有关部门打击商业欺诈。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负责做好与市中新示范项目管理局、中国国际贸易促进委员会重庆市委员会、中国（重庆）自由贸易试验区工作领导小组办公室的衔接工作。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负责指导全区商贸行业、口岸和物流相关社会组织、中介机构工作。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18.</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负责机关、直属事业单位和管理的行业社会组织党建工作。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19.</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完成区委、区政府交办的其他任务。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重庆市綦江区商务委员会属行政机构，内设科室8个，下设事业单位2个，分别是重庆市綦江区通道经济发展中心、重庆市綦江区电子商务公共服务中心。机关本级核定编制数17人，实有人数29人（其中在编在岗16人，临聘人员4人，公益性岗位2人，西部志愿者1人）；企业参战退役人员14人，遗属人员3人，离退休44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从预算单位构成看，纳入本部门2022年度决算编制的二级预算单位主要包括重庆市綦江区商务委员会（本级）。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二、部门决算情况说明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总体情况。2022年度收入总计2,051.04万元，支出总计2,051.04万元。收支较上年决算数减少86.26万元,下降4%，主要原因是疫情防控常态化管理下，单位厉行节约，减少开支，项目调整，预算减少。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收入情况。2022年度收入合计1,974.04万元，较上年决算数增加269.30万元，增长15.8%，主要原因是为促进疫情后经济的快速复苏，单位加大对项目资金的财政投入，以及增人增资。其中：财政拨款收入1,974.04万元，占100%。此外，年初结转和结余77.00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支出情况。2022年度支出合计2,051.04万元，较上年决算减少86.26万元，下降4%，主要原因是单位根据实际情况，更科学地规划资金投入方向，优化部分项目结构，厉行节约。其中：基本支出731.03万元，占35.6%；项目支出1,320.01万元，占64.4%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结转结余情况。2022年度年末结转和结余0.00万元，较上年决算数增加0.00万元，增长0%，主要原因是单位实行财政资金收付实现制，年末不构成财政资金结转结余情况。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2022年度财政拨款收、支总计2,051.04万元。与2021年相比，财政拨款收、支总计各减少86.26万元，下降4%。主要原因是疫情防控常态化管理下，单位厉行节约，减少开支，调整部分项目，预算总体减少。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收入情况。2022年度一般公共预算财政拨款收入1,974.04万元，较上年决算数增加269.30万元，增长15.8%。主要原因是为促进疫情后经济的快速复苏，单位加大对项目资金的财政投入，以及增人增资。较年初预算数减少104.30万元，下降5%。主要原因是单位根据实际情况，更科学地规划资金投入方向，优化部分项目结构，厉行节约。此外，年初财政拨款结转和结余77.00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支出情况。2022年度一般公共预算财政拨款支出2,051.04万元，较上年决算数增加22.97万元，增长1.1%。主要原因是为促进疫情后经济的快速复苏，单位加大对项目资金的财政投入。较年初预算数减少27.30万元，下降1.3%。主要原因是单位根据实际情况，更科学地规划资金投入方向，优化部分项目结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结转结余情况。2022年度年末一般公共预算财政拨款结转和结余0.00万元，较上年决算数增加0.00万元，增长0%，主要原因是单位实行财政资金收付实现制，年末不构成财政资金结转结余情况。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（1）一般公共服务支出828.58万元，占40.4%，较年初预算数减少540.85万元，下降39.5%，主要原因是单位根据实际情况，更科学地规划资金投入方向，优化部分项目结构，厉行节约。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（2）社会保障与就业支出282.04万元，占13.8%，较年初预算数增加127.89万元，增长83%，主要原因是增人增资和公务员工资结构调整。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（3）卫生健康支出26.19万元，占1.3%，较年初预算数减少6.18万元，下降19.1%，主要原因是公务员工资结构调整。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（4）资源勘探信息等支出6.80万元，占0.3%，较年初预算数增加6.80万元，增长%，主要原因是单位为促进疫情后经济的快速复苏，加大对项目资金的财政投入。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（5）商业服务业等支出875.36万元，占42.7%，较年初预算数增加374.46万元，增长74.8%，主要原因是单位为促进疫情后经济的快速复苏，加大对项目资金的财政投入。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（6）住房保障支出32.07万元，占1.6%，较年初预算数增加10.58万元，增长49.2%，主要原因是增人增资和公务员工资结构调整。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一般公共预算财政拨款基本支出731.03万元。其中：人员经费656.52万元，较上年决算数增加172.03万元，增长35.5%，主要原因是单位人员变动，公务员工资结构调整。人员经费用途主要包括人员工资、社会保障缴费、住房公积金等。公用经费74.51万元，较上年决算数减少24.95万元，下降25.1%，主要原因是单位厉行节约，减少非必须的经费开支，减少了公用经费的支出。公用经费用途主要包括支付办公费、会议费、培训费、差旅费、劳务费、水电</w:t>
      </w:r>
      <w:r>
        <w:rPr>
          <w:rFonts w:hint="eastAsia" w:ascii="Times New Roman" w:hAnsi="Times New Roman" w:eastAsia="方正仿宋_GBK" w:cs="Times New Roman"/>
          <w:sz w:val="32"/>
          <w:szCs w:val="32"/>
          <w:lang w:val="en-US" w:eastAsia="zh-CN"/>
        </w:rPr>
        <w:t>费</w:t>
      </w:r>
      <w:bookmarkStart w:id="0" w:name="_GoBack"/>
      <w:bookmarkEnd w:id="0"/>
      <w:r>
        <w:rPr>
          <w:rFonts w:hint="default" w:ascii="Times New Roman" w:hAnsi="Times New Roman" w:eastAsia="方正仿宋_GBK" w:cs="Times New Roman"/>
          <w:sz w:val="32"/>
          <w:szCs w:val="32"/>
          <w:lang w:val="en-US" w:eastAsia="zh-CN"/>
        </w:rPr>
        <w:t>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政府性基金预算财政拨款年初结转结余0.00万元，年末结转结余0.00万元。本年收入0.00万元，较上年决算数增加0.00万元，增长0%，主要原因是本部门2022年度无政府性基金预算财政拨款收支。本年支出0.00万元，较上年决算数减少109.22万元，下降100%，主要原因是本部门2022年度无政府性基金预算财政拨款收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三、</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三公</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经费支出总体情况说明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经费支出共计26.52万元，较年初预算数减少24.98万元，下降48.5%，主要原因是单位积极响应号召，厉行节约，压缩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三公</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费支出，一是严格落实公车使用规定，严禁公车私用，公车运行维护成本下降。二是强化公务接待支出管理，严格遵守公务接待开支范围和开支标准，严格控制陪餐人数，对应由接待对象承担的费用一律由接待对象自行支付。较上年支出数增加17.91万元，增长208%，主要原因是单位新购置业务用车一辆，公车运维费也相应有所增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经费分项支出情况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本部门因公出国（境）费用0.00万元，主要是用于因公出国（境）费用。费用支出较年初预算数增加0.00万元，增长0%，主要原因是本单位2022年度未发生因公出国（境）费用支出。较上年支出数增加0.00万元，增长0%，主要原因是本单位2022年度未发生因公出国（境）费用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公务车购置费17.98万元，主要用于购置业务用车一辆。费用支出较年初预算数减少0.02万元，下降0.1%，主要原因是单位厉行节约。较上年支出数增加17.98万元，增长100%，主要原因是单位2022年新购置业务用车一辆。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w:t>
      </w:r>
      <w:r>
        <w:rPr>
          <w:rFonts w:hint="eastAsia" w:ascii="Times New Roman" w:hAnsi="Times New Roman" w:eastAsia="方正仿宋_GBK" w:cs="Times New Roman"/>
          <w:sz w:val="32"/>
          <w:szCs w:val="32"/>
          <w:lang w:val="en-US" w:eastAsia="zh-CN"/>
        </w:rPr>
        <w:t>用</w:t>
      </w:r>
      <w:r>
        <w:rPr>
          <w:rFonts w:hint="default" w:ascii="Times New Roman" w:hAnsi="Times New Roman" w:eastAsia="方正仿宋_GBK" w:cs="Times New Roman"/>
          <w:sz w:val="32"/>
          <w:szCs w:val="32"/>
          <w:lang w:val="en-US" w:eastAsia="zh-CN"/>
        </w:rPr>
        <w:t>车运行维护费3.05万元，主要用于公务用车日常运行维护支出。费用支出较年初预算数减少0.45万元，下降12.9%，主要原因是单位厉行节约，减少非必要用车计划。较上年支出数减少0.15万元，下降4.7%，主要原因是单位厉行节约，减少非必要用车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公务接待费5.49万元，主要用于接待招商引资和项目考察活动。费用支出较年初预算数减少24.51万元，下降81.7%，主要原因是疫情</w:t>
      </w:r>
      <w:r>
        <w:rPr>
          <w:rFonts w:hint="eastAsia" w:ascii="Times New Roman" w:hAnsi="Times New Roman" w:eastAsia="方正仿宋_GBK" w:cs="Times New Roman"/>
          <w:sz w:val="32"/>
          <w:szCs w:val="32"/>
          <w:lang w:val="en-US" w:eastAsia="zh-CN"/>
        </w:rPr>
        <w:t>防控</w:t>
      </w:r>
      <w:r>
        <w:rPr>
          <w:rFonts w:hint="default" w:ascii="Times New Roman" w:hAnsi="Times New Roman" w:eastAsia="方正仿宋_GBK" w:cs="Times New Roman"/>
          <w:sz w:val="32"/>
          <w:szCs w:val="32"/>
          <w:lang w:val="en-US" w:eastAsia="zh-CN"/>
        </w:rPr>
        <w:t>期间，单位厉行节约，在预算基础上减少公务接待次数和人数。较上年支出数增加0.09万元，增长1.7%，主要原因是单位严格控制公务接待范围，接待支出波动较小，数据保持在较为合理范围内。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经费实物量情况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本部门因公出国（境）共计0个团组，0人；公务用车购置1辆，公务车保有量为1辆；国内公务接待100批次600人，其中：国内外事接待0批次，0人；国（境）外公务接待0批次，0人。2022年本部门人均接待费91.55元，车均购置费17.98万元，车均维护费3.05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四、其他需要说明的事项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年度会议费支出3.30万元，较上年决算数增加0.18万元，增长5.8%，主要原因是疫情常态化管理，业务活动增多，增加了召集企业集中开会的次数，支出金额保持在正常开支范围内。本年度培训费支出7.92万元，较上年决算数减少0.45万元，下降5.4%，主要原因是加强了单位员工业务培训和企业安全等方面的培训，增加了培训投入，经费有所增加，保持在正常开支范围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（二）机关运行经费支出情况说明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2022年度本部门机关运行经费支出74.51万元，主要用于开支办公费、邮电费、差旅费、劳务费等机关日常活动支出。机关运行经费较上年决算数减少24.95万元，下降25.1%，主要原因是机关厉行节约，压缩经费开支，调整支出结构，更合理、更科学地优化运行成本，降低机关运行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（三）国有资产占用情况说明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（四）政府采购支出说明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2022年度我单位未发生政府采购事项，无相关经费支出。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五、预算绩效管理情况说明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我委根据实际需要，组织单位相关科室成立预算绩效管理团队，按照项目实施情况，对所有项目填报立项预算绩效，过程跟踪绩效，决算绩效评价。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（一）预算绩效管理工作开展情况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根据预算绩效管理要求，本部门对部门整体和39个项目开展了绩效自评，其中，以填报目标自评表形式开展自评39项，涉及资金1,320.01万元，从评价情况来看，财政支出项目总体达到预期目标，所有项目评价得分均在90分以上，自评等级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优</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（二）绩效自评结果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绩效目标自评表详见附表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六、专业名词解释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（一）财政拨款收入：</w:t>
      </w:r>
      <w:r>
        <w:rPr>
          <w:rFonts w:hint="default" w:ascii="Times New Roman" w:hAnsi="Times New Roman" w:eastAsia="方正仿宋_GBK" w:cs="Times New Roman"/>
          <w:sz w:val="32"/>
          <w:szCs w:val="32"/>
          <w:lang w:val="en-US" w:eastAsia="zh-CN"/>
        </w:rPr>
        <w:t>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（二）事业收入：</w:t>
      </w:r>
      <w:r>
        <w:rPr>
          <w:rFonts w:hint="default" w:ascii="Times New Roman" w:hAnsi="Times New Roman" w:eastAsia="方正仿宋_GBK" w:cs="Times New Roman"/>
          <w:sz w:val="32"/>
          <w:szCs w:val="32"/>
          <w:lang w:val="en-US" w:eastAsia="zh-CN"/>
        </w:rPr>
        <w:t>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（三）经营收入：</w:t>
      </w:r>
      <w:r>
        <w:rPr>
          <w:rFonts w:hint="default" w:ascii="Times New Roman" w:hAnsi="Times New Roman" w:eastAsia="方正仿宋_GBK" w:cs="Times New Roman"/>
          <w:sz w:val="32"/>
          <w:szCs w:val="32"/>
          <w:lang w:val="en-US" w:eastAsia="zh-CN"/>
        </w:rPr>
        <w:t>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（四）其他收入：</w:t>
      </w:r>
      <w:r>
        <w:rPr>
          <w:rFonts w:hint="default" w:ascii="Times New Roman" w:hAnsi="Times New Roman" w:eastAsia="方正仿宋_GBK" w:cs="Times New Roman"/>
          <w:sz w:val="32"/>
          <w:szCs w:val="32"/>
          <w:lang w:val="en-US" w:eastAsia="zh-CN"/>
        </w:rPr>
        <w:t>指单位取得的除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财政拨款收入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事业收入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经营收入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（五）使用非财政拨款结余：</w:t>
      </w:r>
      <w:r>
        <w:rPr>
          <w:rFonts w:hint="default" w:ascii="Times New Roman" w:hAnsi="Times New Roman" w:eastAsia="方正仿宋_GBK" w:cs="Times New Roman"/>
          <w:sz w:val="32"/>
          <w:szCs w:val="32"/>
          <w:lang w:val="en-US" w:eastAsia="zh-CN"/>
        </w:rPr>
        <w:t>指单位在当年的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财政拨款收入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事业收入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经营收入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其他收入</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（六）年初结转和结余：</w:t>
      </w:r>
      <w:r>
        <w:rPr>
          <w:rFonts w:hint="default" w:ascii="Times New Roman" w:hAnsi="Times New Roman" w:eastAsia="方正仿宋_GBK" w:cs="Times New Roman"/>
          <w:sz w:val="32"/>
          <w:szCs w:val="32"/>
          <w:lang w:val="en-US" w:eastAsia="zh-CN"/>
        </w:rPr>
        <w:t>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（七）结余分配：</w:t>
      </w:r>
      <w:r>
        <w:rPr>
          <w:rFonts w:hint="default" w:ascii="Times New Roman" w:hAnsi="Times New Roman" w:eastAsia="方正仿宋_GBK" w:cs="Times New Roman"/>
          <w:sz w:val="32"/>
          <w:szCs w:val="32"/>
          <w:lang w:val="en-US" w:eastAsia="zh-CN"/>
        </w:rPr>
        <w:t>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（八）年末结转和结余：</w:t>
      </w:r>
      <w:r>
        <w:rPr>
          <w:rFonts w:hint="default" w:ascii="Times New Roman" w:hAnsi="Times New Roman" w:eastAsia="方正仿宋_GBK" w:cs="Times New Roman"/>
          <w:sz w:val="32"/>
          <w:szCs w:val="32"/>
          <w:lang w:val="en-US" w:eastAsia="zh-CN"/>
        </w:rPr>
        <w:t>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（九）基本支出：</w:t>
      </w:r>
      <w:r>
        <w:rPr>
          <w:rFonts w:hint="default" w:ascii="Times New Roman" w:hAnsi="Times New Roman" w:eastAsia="方正仿宋_GBK" w:cs="Times New Roman"/>
          <w:sz w:val="32"/>
          <w:szCs w:val="32"/>
          <w:lang w:val="en-US" w:eastAsia="zh-CN"/>
        </w:rPr>
        <w:t>指为保障机构正常运转、完成日常工作任务而发生的人员经费和公用经费。其中：人员经费指政府收支分类经济科目中的</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工资福利支出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对个人和家庭的补助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；公用经费指政府收支分类经济科目中除</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工资福利支出</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和</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对个人和家庭的补助</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外的其他支出。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（十）项目支出：</w:t>
      </w:r>
      <w:r>
        <w:rPr>
          <w:rFonts w:hint="default" w:ascii="Times New Roman" w:hAnsi="Times New Roman" w:eastAsia="方正仿宋_GBK" w:cs="Times New Roman"/>
          <w:sz w:val="32"/>
          <w:szCs w:val="32"/>
          <w:lang w:val="en-US" w:eastAsia="zh-CN"/>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（十一）经营支出：</w:t>
      </w:r>
      <w:r>
        <w:rPr>
          <w:rFonts w:hint="default" w:ascii="Times New Roman" w:hAnsi="Times New Roman" w:eastAsia="方正仿宋_GBK" w:cs="Times New Roman"/>
          <w:sz w:val="32"/>
          <w:szCs w:val="32"/>
          <w:lang w:val="en-US" w:eastAsia="zh-CN"/>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（十二）</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三公</w:t>
      </w:r>
      <w:r>
        <w:rPr>
          <w:rFonts w:hint="eastAsia" w:ascii="Times New Roman" w:hAnsi="Times New Roman" w:eastAsia="方正楷体_GBK" w:cs="Times New Roman"/>
          <w:sz w:val="32"/>
          <w:szCs w:val="32"/>
          <w:lang w:val="en-US" w:eastAsia="zh-CN"/>
        </w:rPr>
        <w:t>”</w:t>
      </w:r>
      <w:r>
        <w:rPr>
          <w:rFonts w:hint="default" w:ascii="Times New Roman" w:hAnsi="Times New Roman" w:eastAsia="方正楷体_GBK" w:cs="Times New Roman"/>
          <w:sz w:val="32"/>
          <w:szCs w:val="32"/>
          <w:lang w:val="en-US" w:eastAsia="zh-CN"/>
        </w:rPr>
        <w:t>经费：</w:t>
      </w:r>
      <w:r>
        <w:rPr>
          <w:rFonts w:hint="default" w:ascii="Times New Roman" w:hAnsi="Times New Roman" w:eastAsia="方正仿宋_GBK" w:cs="Times New Roman"/>
          <w:sz w:val="32"/>
          <w:szCs w:val="32"/>
          <w:lang w:val="en-US" w:eastAsia="zh-CN"/>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（十三）机关运行经费：</w:t>
      </w:r>
      <w:r>
        <w:rPr>
          <w:rFonts w:hint="default" w:ascii="Times New Roman" w:hAnsi="Times New Roman" w:eastAsia="方正仿宋_GBK" w:cs="Times New Roman"/>
          <w:sz w:val="32"/>
          <w:szCs w:val="32"/>
          <w:lang w:val="en-US"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（十四）工资福利支出（支出经济分类科目类级）：</w:t>
      </w:r>
      <w:r>
        <w:rPr>
          <w:rFonts w:hint="default" w:ascii="Times New Roman" w:hAnsi="Times New Roman" w:eastAsia="方正仿宋_GBK" w:cs="Times New Roman"/>
          <w:sz w:val="32"/>
          <w:szCs w:val="32"/>
          <w:lang w:val="en-US" w:eastAsia="zh-CN"/>
        </w:rPr>
        <w:t>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（十五）商品和服务支出（支出经济分类科目类级）：</w:t>
      </w:r>
      <w:r>
        <w:rPr>
          <w:rFonts w:hint="default" w:ascii="Times New Roman" w:hAnsi="Times New Roman" w:eastAsia="方正仿宋_GBK" w:cs="Times New Roman"/>
          <w:sz w:val="32"/>
          <w:szCs w:val="32"/>
          <w:lang w:val="en-US" w:eastAsia="zh-CN"/>
        </w:rPr>
        <w:t>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（十六）对个人和家庭的补助（支出经济分类科目类级）：</w:t>
      </w:r>
      <w:r>
        <w:rPr>
          <w:rFonts w:hint="default" w:ascii="Times New Roman" w:hAnsi="Times New Roman" w:eastAsia="方正仿宋_GBK" w:cs="Times New Roman"/>
          <w:sz w:val="32"/>
          <w:szCs w:val="32"/>
          <w:lang w:val="en-US" w:eastAsia="zh-CN"/>
        </w:rPr>
        <w:t>反映用于对个人和家庭的补助支出。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（十七）其他资本性支出（支出经济分类科目类级）：</w:t>
      </w:r>
      <w:r>
        <w:rPr>
          <w:rFonts w:hint="default" w:ascii="Times New Roman" w:hAnsi="Times New Roman" w:eastAsia="方正仿宋_GBK" w:cs="Times New Roman"/>
          <w:sz w:val="32"/>
          <w:szCs w:val="32"/>
          <w:lang w:val="en-US" w:eastAsia="zh-CN"/>
        </w:rPr>
        <w:t>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本单位决算公开信息反馈和联系方式：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尤俊秋   023-61280331</w:t>
      </w:r>
    </w:p>
    <w:sectPr>
      <w:footerReference r:id="rId3" w:type="default"/>
      <w:pgSz w:w="11915" w:h="16851"/>
      <w:pgMar w:top="2098" w:right="1474" w:bottom="1984" w:left="1587"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isplayHorizontalDrawingGridEvery w:val="1"/>
  <w:displayVerticalDrawingGridEvery w:val="1"/>
  <w:noPunctuationKerning w:val="true"/>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ZjZmMDYwNWQ5OGYxZWU5NWE3YmI4NDk2ZGUyNjcifQ=="/>
  </w:docVars>
  <w:rsids>
    <w:rsidRoot w:val="00000000"/>
    <w:rsid w:val="07B94814"/>
    <w:rsid w:val="0BFBC58B"/>
    <w:rsid w:val="1EF2BC22"/>
    <w:rsid w:val="21123C45"/>
    <w:rsid w:val="30C16E18"/>
    <w:rsid w:val="38A35830"/>
    <w:rsid w:val="3A176FF5"/>
    <w:rsid w:val="3AC56DC8"/>
    <w:rsid w:val="3AE74C19"/>
    <w:rsid w:val="426923B8"/>
    <w:rsid w:val="57B6231E"/>
    <w:rsid w:val="57FD78C0"/>
    <w:rsid w:val="59755E18"/>
    <w:rsid w:val="60FC11D5"/>
    <w:rsid w:val="66886A01"/>
    <w:rsid w:val="6B684E38"/>
    <w:rsid w:val="730D8639"/>
    <w:rsid w:val="754F0E24"/>
    <w:rsid w:val="7BA7215D"/>
    <w:rsid w:val="7E8556B5"/>
    <w:rsid w:val="7FF3DBC4"/>
    <w:rsid w:val="ECF57E5C"/>
    <w:rsid w:val="F77BB342"/>
    <w:rsid w:val="FF0F4C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普通(网站) Char"/>
    <w:basedOn w:val="1"/>
    <w:qFormat/>
    <w:uiPriority w:val="0"/>
    <w:pPr>
      <w:spacing w:before="100" w:beforeAutospacing="1" w:after="100" w:afterAutospacing="1"/>
      <w:ind w:left="0" w:right="0"/>
      <w:jc w:val="left"/>
    </w:pPr>
    <w:rPr>
      <w:rFonts w:hint="eastAsia" w:ascii="宋体" w:hAnsi="宋体" w:eastAsia="宋体" w:cs="宋体"/>
      <w:kern w:val="0"/>
      <w:sz w:val="24"/>
      <w:szCs w:val="24"/>
      <w:lang w:val="en-US" w:eastAsia="zh-CN" w:bidi="ar"/>
    </w:rPr>
  </w:style>
  <w:style w:type="character" w:customStyle="1" w:styleId="16">
    <w:name w:val="15"/>
    <w:basedOn w:val="13"/>
    <w:qFormat/>
    <w:uiPriority w:val="0"/>
    <w:rPr>
      <w:rFonts w:hint="default" w:ascii="Times New Roman" w:hAnsi="Times New Roman" w:cs="Times New Roman"/>
      <w:b/>
    </w:rPr>
  </w:style>
  <w:style w:type="character" w:customStyle="1" w:styleId="17">
    <w:name w:val="16"/>
    <w:basedOn w:val="13"/>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24</TotalTime>
  <ScaleCrop>false</ScaleCrop>
  <LinksUpToDate>false</LinksUpToDate>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2023-10-10T10:12:00Z</dcterms:created>
  <dc:creator>Administrator</dc:creator>
  <cp:lastModifiedBy>guest</cp:lastModifiedBy>
  <dcterms:modified xsi:type="dcterms:W3CDTF">2023-11-09T09:04:48Z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6F7F3F9097864FD4A64E04A1362D4C4B_13</vt:lpwstr>
  </property>
</Properties>
</file>