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重庆市綦江区电子商务公共服务中心</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2022年度部门决算情况说明</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一、部门基本情况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（一）职能职责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 宣传、贯彻执行党和国家有关电子商务行业的方针政策、法律、法规；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 调查研究、综合评估电子商务发展重大问题，收集信息、反映动态，提出政策建议；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3. 承办跨境电子商务对外合作交流活动，促进电商产业应用成果的传播和推广，营造电商产业发展环境和氛围；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4. 为电商企业提供政策法规咨询、技术指导、人才和服务供需信息的采集、分析、发布等公共服务；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5. 指导农村电商三级公共服务、公共物流、农产品供应链等体系的建设和服务管理工作；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6. 负责区农产品质量安全溯源公共服务平台和体系建设管理；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7. 负责重要产品溯源系统和溯源码的服务管理；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8. 负责电商消费扶贫专区、专柜、二维码中心的建设和服务管理；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9. 指导、协调和推进</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电子商务+节会展会</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10. 整合全区产业、产品资源，推进区域公共品牌应用；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11. 协调推进各行业电子商务扩大应用；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12. 负责电商企业认定的指导和服务工作；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13. 指导区域电商平台</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菜坝网</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的建设、运营和管理；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14. 负责阿里巴巴（綦江）LBS服务中心的服务管理；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15. 负责綦江特产在国家级和省级电商平台的推广；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16. 牵头负责定期组织和承办</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菜坝网年代货美食节</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17. 承办区商务委交办的其它事项。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（二）机构设置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重庆市綦江区电子商务公共服务中心财政全额拨款事业编制5名，设主任1名。实有人数5人。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（三）单位构成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从预算单位构成看，纳入本部门2022年度决算编制的二级预算单位主要包括重庆市綦江区电子商务公共服务中心。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二、部门决算情况说明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（一）收入支出决算总体情况说明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 总体情况。2022年度收入总计96.43万元，支出总计96.43万元。收支较上年决算数减少29.52万元,下降23.4%，主要原因是疫情防控常态化管理下，单位厉行节约，减少开支，项目调整，预算减少。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 收入情况。2022年度收入合计96.43万元，较上年决算数减少29.51万元，下降23.4%，主要原因是疫情防控常态化管理下，单位厉行节约，减少开支。其中：财政拨款收入96.43万元，占100%。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3. 支出情况。2022年度支出合计96.43万元，较上年决算减少29.52万元，下降23.4%，主要原因是疫情防控常态化管理下，单位厉行节约，减少开支。其中：基本支出85.67万元，占88.8%；项目支出10.76万元，占11.2%。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4. 结转结余情况。2022年度年末结转和结余0.00万元，较上年决算数增加0.00万元，增长0%，主要原因是单位实行财政资金收付实现制，年末不构成财政资金结转结余情况。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（二）财政拨款收入支出决算总体情况说明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2022年度财政拨款收、支总计96.43万元。与2021年相比，财政拨款收、支总计各减少29.52万元，下降23.4%。主要原因是疫情防控常态化管理下，单位厉行节约，减少开支。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（三）一般公共预算财政拨款收入支出决算情况说明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 收入情况。2022年度一般公共预算财政拨款收入96.43万元，较上年决算数减少29.51万元，下降23.4%。主要原因是疫情防控常态化管理下，单位厉行节约，减少开支。较年初预算数减少11.49万元，下降10.6%。主要原因是疫情防控常态化管理下，单位厉行节约，减少开支。此外，年初财政拨款结转和结余0.00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 支出情况。2022年度一般公共预算财政拨款支出96.43万元，较上年决算数减少29.52万元，下降23.4%。主要原因是疫情防控常态化管理下，单位厉行节约，减少开支。较年初预算数减少11.49万元，下降10.6%。主要原因是疫情防控常态化管理下，单位厉行节约，减少开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3. 结转结余情况。2022年度年末一般公共预算财政拨款结转和结余0.00万元，较上年决算数增加0.00万元，增长0%，主要原因是单位实行财政资金收付实现制，年末不构成财政资金结转结余情况。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4. 比较情况。本部门2022年度一般公共预算财政拨款支出主要用于以下几个方面：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（1）一般公共服务支出73.78万元，占76.5%，较年初预算数减少13.39万元，下降15.4%，主要原因是疫情防控常态化管理下，单位厉行节约，减少开支。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（2）社会保障与就业支出12.11万元，占12.6%，较年初预算数减少0.37万元，下降3%，主要原因是调整了缴存基数。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（3）卫生健康支出4.25万元，占4.4%，较年初预算数减少0.18万元，下降4.1%，主要原因是调整了缴存基数。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（4）住房保障支出6.29万元，占6.5%，较年初预算数增加2.44万元，增长63.4%，主要原因是调整了缴存基数。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（四）一般公共预算财政拨款基本支出决算情况说明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2022年度一般公共预算财政拨款基本支出85.67万元。其中：人员经费78.17万元，较上年决算数增加12.50万元，增长19%，主要原因是主要原因是增人增资，缴费基数变化。人员经费用途主要包括人员工资、社会保障缴费、住房公积金等。公用经费7.49万元，主要原因是单位厉行节约，减少非必须的经费开支，减少了公用经费的支出。公用经费用途主要包括支付办公费、会议费、培训费、差旅费、劳务费、水电</w:t>
      </w:r>
      <w:r>
        <w:rPr>
          <w:rFonts w:hint="eastAsia" w:ascii="Times New Roman" w:hAnsi="Times New Roman" w:eastAsia="方正仿宋_GBK" w:cs="Times New Roman"/>
          <w:color w:val="auto"/>
          <w:sz w:val="32"/>
          <w:szCs w:val="32"/>
          <w:lang w:val="en-US" w:eastAsia="zh-CN"/>
        </w:rPr>
        <w:t>费</w:t>
      </w:r>
      <w:r>
        <w:rPr>
          <w:rFonts w:hint="default" w:ascii="Times New Roman" w:hAnsi="Times New Roman" w:eastAsia="方正仿宋_GBK" w:cs="Times New Roman"/>
          <w:color w:val="auto"/>
          <w:sz w:val="32"/>
          <w:szCs w:val="32"/>
          <w:lang w:val="en-US" w:eastAsia="zh-CN"/>
        </w:rPr>
        <w:t>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（五）政府性基金预算收支决算情况说明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本部门2022年度无政府性基金预算财政拨款收支。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（六）国有资本经营预算财政拨款支出决算情况说明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本部门2022年度无国有资本经营预算财政拨款支出。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三、</w:t>
      </w:r>
      <w:r>
        <w:rPr>
          <w:rFonts w:hint="eastAsia" w:ascii="Times New Roman" w:hAnsi="Times New Roman" w:eastAsia="方正黑体_GBK" w:cs="Times New Roman"/>
          <w:color w:val="auto"/>
          <w:sz w:val="32"/>
          <w:szCs w:val="32"/>
          <w:lang w:val="en-US" w:eastAsia="zh-CN"/>
        </w:rPr>
        <w:t>“</w:t>
      </w:r>
      <w:r>
        <w:rPr>
          <w:rFonts w:hint="default" w:ascii="Times New Roman" w:hAnsi="Times New Roman" w:eastAsia="方正黑体_GBK" w:cs="Times New Roman"/>
          <w:color w:val="auto"/>
          <w:sz w:val="32"/>
          <w:szCs w:val="32"/>
          <w:lang w:val="en-US" w:eastAsia="zh-CN"/>
        </w:rPr>
        <w:t>三公</w:t>
      </w:r>
      <w:r>
        <w:rPr>
          <w:rFonts w:hint="eastAsia" w:ascii="Times New Roman" w:hAnsi="Times New Roman" w:eastAsia="方正黑体_GBK" w:cs="Times New Roman"/>
          <w:color w:val="auto"/>
          <w:sz w:val="32"/>
          <w:szCs w:val="32"/>
          <w:lang w:val="en-US" w:eastAsia="zh-CN"/>
        </w:rPr>
        <w:t>”</w:t>
      </w:r>
      <w:r>
        <w:rPr>
          <w:rFonts w:hint="default" w:ascii="Times New Roman" w:hAnsi="Times New Roman" w:eastAsia="方正黑体_GBK" w:cs="Times New Roman"/>
          <w:color w:val="auto"/>
          <w:sz w:val="32"/>
          <w:szCs w:val="32"/>
          <w:lang w:val="en-US" w:eastAsia="zh-CN"/>
        </w:rPr>
        <w:t>经费情况说明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（一）</w:t>
      </w:r>
      <w:r>
        <w:rPr>
          <w:rFonts w:hint="eastAsia" w:ascii="Times New Roman" w:hAnsi="Times New Roman" w:eastAsia="方正楷体_GBK" w:cs="Times New Roman"/>
          <w:color w:val="auto"/>
          <w:sz w:val="32"/>
          <w:szCs w:val="32"/>
          <w:lang w:val="en-US" w:eastAsia="zh-CN"/>
        </w:rPr>
        <w:t>“</w:t>
      </w:r>
      <w:r>
        <w:rPr>
          <w:rFonts w:hint="default" w:ascii="Times New Roman" w:hAnsi="Times New Roman" w:eastAsia="方正楷体_GBK" w:cs="Times New Roman"/>
          <w:color w:val="auto"/>
          <w:sz w:val="32"/>
          <w:szCs w:val="32"/>
          <w:lang w:val="en-US" w:eastAsia="zh-CN"/>
        </w:rPr>
        <w:t>三公</w:t>
      </w:r>
      <w:r>
        <w:rPr>
          <w:rFonts w:hint="eastAsia" w:ascii="Times New Roman" w:hAnsi="Times New Roman" w:eastAsia="方正楷体_GBK" w:cs="Times New Roman"/>
          <w:color w:val="auto"/>
          <w:sz w:val="32"/>
          <w:szCs w:val="32"/>
          <w:lang w:val="en-US" w:eastAsia="zh-CN"/>
        </w:rPr>
        <w:t>”</w:t>
      </w:r>
      <w:r>
        <w:rPr>
          <w:rFonts w:hint="default" w:ascii="Times New Roman" w:hAnsi="Times New Roman" w:eastAsia="方正楷体_GBK" w:cs="Times New Roman"/>
          <w:color w:val="auto"/>
          <w:sz w:val="32"/>
          <w:szCs w:val="32"/>
          <w:lang w:val="en-US" w:eastAsia="zh-CN"/>
        </w:rPr>
        <w:t>经费支出总体情况说明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2022年度</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三公</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经费支出共计0.00万元，较年初预算数增加0.00万元，增长0%，主要原因是单位积极响应号召，厉行节约。较上年支出数增加0.00万元，增长0%，主要原因是单位积极响应号召，厉行节约，压缩</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三公</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经费支出，一是严格落实公车使用规定，严禁公车私用，公车运行维护成本下降。二是强化公务接待支出管理，严格遵守公务接待开支范围和开支标准，严格控制陪餐人数，对应由接待对象承担的费用一律由接待对象自行支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（二）</w:t>
      </w:r>
      <w:r>
        <w:rPr>
          <w:rFonts w:hint="eastAsia" w:ascii="Times New Roman" w:hAnsi="Times New Roman" w:eastAsia="方正楷体_GBK" w:cs="Times New Roman"/>
          <w:color w:val="auto"/>
          <w:sz w:val="32"/>
          <w:szCs w:val="32"/>
          <w:lang w:val="en-US" w:eastAsia="zh-CN"/>
        </w:rPr>
        <w:t>“</w:t>
      </w:r>
      <w:r>
        <w:rPr>
          <w:rFonts w:hint="default" w:ascii="Times New Roman" w:hAnsi="Times New Roman" w:eastAsia="方正楷体_GBK" w:cs="Times New Roman"/>
          <w:color w:val="auto"/>
          <w:sz w:val="32"/>
          <w:szCs w:val="32"/>
          <w:lang w:val="en-US" w:eastAsia="zh-CN"/>
        </w:rPr>
        <w:t>三公</w:t>
      </w:r>
      <w:r>
        <w:rPr>
          <w:rFonts w:hint="eastAsia" w:ascii="Times New Roman" w:hAnsi="Times New Roman" w:eastAsia="方正楷体_GBK" w:cs="Times New Roman"/>
          <w:color w:val="auto"/>
          <w:sz w:val="32"/>
          <w:szCs w:val="32"/>
          <w:lang w:val="en-US" w:eastAsia="zh-CN"/>
        </w:rPr>
        <w:t>”</w:t>
      </w:r>
      <w:r>
        <w:rPr>
          <w:rFonts w:hint="default" w:ascii="Times New Roman" w:hAnsi="Times New Roman" w:eastAsia="方正楷体_GBK" w:cs="Times New Roman"/>
          <w:color w:val="auto"/>
          <w:sz w:val="32"/>
          <w:szCs w:val="32"/>
          <w:lang w:val="en-US" w:eastAsia="zh-CN"/>
        </w:rPr>
        <w:t>经费分项支出情况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2022年度本部门因公出国（境）费用0.00万元，主要是用于因公出国（境）费用。费用支出较年初预算数增加0.00万元，增长0%，主要原因是本单位2022年度未发生因公出国（境）费用支出。较上年支出数增加0.00万元，增长0%，主要原因是本单位2022年度未发生因公出国（境）费用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公务车购置费0.00万元，主要用于购置业务用车。费用支出较年初预算数增加0.00万元，增长0%，主要原因是本单位2022年无新购置公务用车。较上年支出数增加0.00万元，增长0%，主要原因是本单位2022年无新购置公务用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公务</w:t>
      </w:r>
      <w:r>
        <w:rPr>
          <w:rFonts w:hint="eastAsia" w:ascii="Times New Roman" w:hAnsi="Times New Roman" w:eastAsia="方正仿宋_GBK" w:cs="Times New Roman"/>
          <w:color w:val="auto"/>
          <w:sz w:val="32"/>
          <w:szCs w:val="32"/>
          <w:lang w:val="en-US" w:eastAsia="zh-CN"/>
        </w:rPr>
        <w:t>用</w:t>
      </w:r>
      <w:r>
        <w:rPr>
          <w:rFonts w:hint="default" w:ascii="Times New Roman" w:hAnsi="Times New Roman" w:eastAsia="方正仿宋_GBK" w:cs="Times New Roman"/>
          <w:color w:val="auto"/>
          <w:sz w:val="32"/>
          <w:szCs w:val="32"/>
          <w:lang w:val="en-US" w:eastAsia="zh-CN"/>
        </w:rPr>
        <w:t>车运行维护费0.00万元，主要用于公务用车日常运行维护支出。费用支出较年初预算数增加0.00万元，增长0%，主要原因是我单位无公务用车。较上年支出数增加0.00万元，增长0%，主要原因是我单位无公务用车。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公务接待费0.00万元，主要用于接待招商引资和项目考察活动。费用支出较年初预算数增加0.00万元，增长0%，主要原因是疫情</w:t>
      </w:r>
      <w:r>
        <w:rPr>
          <w:rFonts w:hint="eastAsia" w:ascii="Times New Roman" w:hAnsi="Times New Roman" w:eastAsia="方正仿宋_GBK" w:cs="Times New Roman"/>
          <w:color w:val="auto"/>
          <w:sz w:val="32"/>
          <w:szCs w:val="32"/>
          <w:lang w:val="en-US" w:eastAsia="zh-CN"/>
        </w:rPr>
        <w:t>防控</w:t>
      </w:r>
      <w:r>
        <w:rPr>
          <w:rFonts w:hint="default" w:ascii="Times New Roman" w:hAnsi="Times New Roman" w:eastAsia="方正仿宋_GBK" w:cs="Times New Roman"/>
          <w:color w:val="auto"/>
          <w:sz w:val="32"/>
          <w:szCs w:val="32"/>
          <w:lang w:val="en-US" w:eastAsia="zh-CN"/>
        </w:rPr>
        <w:t>期间，单位厉行节约，在预算基础上减少公务接待次数和人数。较上年支出数增加0.00万元，增长0%，主要原因是疫情</w:t>
      </w:r>
      <w:r>
        <w:rPr>
          <w:rFonts w:hint="eastAsia" w:ascii="Times New Roman" w:hAnsi="Times New Roman" w:eastAsia="方正仿宋_GBK" w:cs="Times New Roman"/>
          <w:color w:val="auto"/>
          <w:sz w:val="32"/>
          <w:szCs w:val="32"/>
          <w:lang w:val="en-US" w:eastAsia="zh-CN"/>
        </w:rPr>
        <w:t>防控</w:t>
      </w:r>
      <w:bookmarkStart w:id="0" w:name="_GoBack"/>
      <w:bookmarkEnd w:id="0"/>
      <w:r>
        <w:rPr>
          <w:rFonts w:hint="default" w:ascii="Times New Roman" w:hAnsi="Times New Roman" w:eastAsia="方正仿宋_GBK" w:cs="Times New Roman"/>
          <w:color w:val="auto"/>
          <w:sz w:val="32"/>
          <w:szCs w:val="32"/>
          <w:lang w:val="en-US" w:eastAsia="zh-CN"/>
        </w:rPr>
        <w:t>期间，单位厉行节约，在预算基础上减少公务接待次数和人数。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（三）</w:t>
      </w:r>
      <w:r>
        <w:rPr>
          <w:rFonts w:hint="eastAsia" w:ascii="Times New Roman" w:hAnsi="Times New Roman" w:eastAsia="方正楷体_GBK" w:cs="Times New Roman"/>
          <w:color w:val="auto"/>
          <w:sz w:val="32"/>
          <w:szCs w:val="32"/>
          <w:lang w:val="en-US" w:eastAsia="zh-CN"/>
        </w:rPr>
        <w:t>“</w:t>
      </w:r>
      <w:r>
        <w:rPr>
          <w:rFonts w:hint="default" w:ascii="Times New Roman" w:hAnsi="Times New Roman" w:eastAsia="方正楷体_GBK" w:cs="Times New Roman"/>
          <w:color w:val="auto"/>
          <w:sz w:val="32"/>
          <w:szCs w:val="32"/>
          <w:lang w:val="en-US" w:eastAsia="zh-CN"/>
        </w:rPr>
        <w:t>三公</w:t>
      </w:r>
      <w:r>
        <w:rPr>
          <w:rFonts w:hint="eastAsia" w:ascii="Times New Roman" w:hAnsi="Times New Roman" w:eastAsia="方正楷体_GBK" w:cs="Times New Roman"/>
          <w:color w:val="auto"/>
          <w:sz w:val="32"/>
          <w:szCs w:val="32"/>
          <w:lang w:val="en-US" w:eastAsia="zh-CN"/>
        </w:rPr>
        <w:t>”</w:t>
      </w:r>
      <w:r>
        <w:rPr>
          <w:rFonts w:hint="default" w:ascii="Times New Roman" w:hAnsi="Times New Roman" w:eastAsia="方正楷体_GBK" w:cs="Times New Roman"/>
          <w:color w:val="auto"/>
          <w:sz w:val="32"/>
          <w:szCs w:val="32"/>
          <w:lang w:val="en-US" w:eastAsia="zh-CN"/>
        </w:rPr>
        <w:t>经费实物量情况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2022年度本部门因公出国（境）共计0个团组，0人；公务用车购置0辆，公务车保有量为0辆；国内公务接待0批次0人，其中：国内外事接待0批次，0人；国（境）外公务接待0批次，0人。2022年本部门人均接待费0.00元，车均购置费0.00万元，车均维护费0.00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四、其他需要说明的事项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（一）财政拨款会议费和培训费情况说明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本年度会议费支出0.00万元，较上年决算数增加0.00万元，增长0%，主要原因是疫情常态化管理，减少集中开会的次数。本年度培训费支出0.48万元，较上年决算数增加0.48万元，增长100%，主要原因是加强了单位员工业务培训和企业安全等方面的培训，增加了培训投入，经费有所增加，保持在正常开支范围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（二）机关运行经费支出情况说明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按照部门决算列报口径，我单位不在机关运行经费统计范围之内。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（三）国有资产占用情况说明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截至2022年12月31日，本部门共有车辆0辆，其中，副部（省）级及以上领导用车0辆、主要领导干部用车0辆、机要通信用车0辆、应急保障用车0辆、执法执勤用车0辆，特种专业技术用车0辆，离退休干部用车0辆，其他用车0辆。单价100万元（含）以上设备（不含车辆）0台（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（四）政府采购支出说明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2022年度我单位未发生政府采购事项，无相关经费支出。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五、预算绩效管理情况说明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我单位根据实际需要，组织单位相关科室成立预算绩效管理团队，按照项目实施情况，对所有项目填报立项预算绩效，过程跟踪绩效，决算绩效评价。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（一）预算绩效管理工作开展情况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根据预算绩效管理要求，本部门对部门整体和3个项目开展了绩效自评，其中，以填报目标自评表形式开展自评3项，涉及资金10.76万元，从评价情况来看，财政支出项目总体达到预期目标，所有项目评价得分均在90分以上，自评等级为</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优</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（二）绩效自评结果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绩效目标自评表详见附表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六、专业名词解释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lang w:val="en-US" w:eastAsia="zh-CN"/>
        </w:rPr>
        <w:t>（一）财政拨款收入：</w:t>
      </w:r>
      <w:r>
        <w:rPr>
          <w:rFonts w:hint="default" w:ascii="Times New Roman" w:hAnsi="Times New Roman" w:eastAsia="方正仿宋_GBK" w:cs="Times New Roman"/>
          <w:color w:val="auto"/>
          <w:sz w:val="32"/>
          <w:szCs w:val="32"/>
        </w:rPr>
        <w:t>指本年度从本级财政部门取得的财政拨款，包括一般公共预算财政拨款和政府性基金预算财政拨款。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lang w:val="en-US" w:eastAsia="zh-CN"/>
        </w:rPr>
        <w:t>（二）事业收入：</w:t>
      </w:r>
      <w:r>
        <w:rPr>
          <w:rFonts w:hint="default" w:ascii="Times New Roman" w:hAnsi="Times New Roman" w:eastAsia="方正仿宋_GBK" w:cs="Times New Roman"/>
          <w:color w:val="auto"/>
          <w:sz w:val="32"/>
          <w:szCs w:val="32"/>
        </w:rPr>
        <w:t>指事业单位开展专业业务活动及其辅助活动取得的现金流入；事业单位收到的财政专户实际核拨的教育收费等资金在此反映。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lang w:val="en-US" w:eastAsia="zh-CN"/>
        </w:rPr>
        <w:t>（三）经营收入：</w:t>
      </w:r>
      <w:r>
        <w:rPr>
          <w:rFonts w:hint="default" w:ascii="Times New Roman" w:hAnsi="Times New Roman" w:eastAsia="方正仿宋_GBK" w:cs="Times New Roman"/>
          <w:color w:val="auto"/>
          <w:sz w:val="32"/>
          <w:szCs w:val="32"/>
        </w:rPr>
        <w:t>指事业单位在专业业务活动及其辅助活动之外开展非独立核算经营活动取得的现金流入。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lang w:val="en-US" w:eastAsia="zh-CN"/>
        </w:rPr>
        <w:t>（四）其他收入：</w:t>
      </w:r>
      <w:r>
        <w:rPr>
          <w:rFonts w:hint="default" w:ascii="Times New Roman" w:hAnsi="Times New Roman" w:eastAsia="方正仿宋_GBK" w:cs="Times New Roman"/>
          <w:color w:val="auto"/>
          <w:sz w:val="32"/>
          <w:szCs w:val="32"/>
        </w:rPr>
        <w:t>指单位取得的除</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财政拨款收入</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事业收入</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经营收入</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lang w:val="en-US" w:eastAsia="zh-CN"/>
        </w:rPr>
        <w:t>（五）使用非财政拨款结余：</w:t>
      </w:r>
      <w:r>
        <w:rPr>
          <w:rFonts w:hint="default" w:ascii="Times New Roman" w:hAnsi="Times New Roman" w:eastAsia="方正仿宋_GBK" w:cs="Times New Roman"/>
          <w:color w:val="auto"/>
          <w:sz w:val="32"/>
          <w:szCs w:val="32"/>
        </w:rPr>
        <w:t>指单位在当年的</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财政拨款收入</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事业收入</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经营收入</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其他收入</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等不足以安排当年支出的情况下，使用以前年度积累的非财政拨款结余弥补本年度收支缺口的资金。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lang w:val="en-US" w:eastAsia="zh-CN"/>
        </w:rPr>
        <w:t>（六）年初结转和结余：</w:t>
      </w:r>
      <w:r>
        <w:rPr>
          <w:rFonts w:hint="default" w:ascii="Times New Roman" w:hAnsi="Times New Roman" w:eastAsia="方正仿宋_GBK" w:cs="Times New Roman"/>
          <w:color w:val="auto"/>
          <w:sz w:val="32"/>
          <w:szCs w:val="32"/>
        </w:rPr>
        <w:t>指单位上年结转本年使用的基本支出结转、项目支出结转和结余、经营结余。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lang w:val="en-US" w:eastAsia="zh-CN"/>
        </w:rPr>
        <w:t>（七）结余分配：</w:t>
      </w:r>
      <w:r>
        <w:rPr>
          <w:rFonts w:hint="default" w:ascii="Times New Roman" w:hAnsi="Times New Roman" w:eastAsia="方正仿宋_GBK" w:cs="Times New Roman"/>
          <w:color w:val="auto"/>
          <w:sz w:val="32"/>
          <w:szCs w:val="32"/>
        </w:rPr>
        <w:t>指单位按照国家有关规定，缴纳所得税、提取专用基金、转入非财政拨款结余等当年结余的分配情况。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lang w:val="en-US" w:eastAsia="zh-CN"/>
        </w:rPr>
        <w:t>（八）年末结转和结余：</w:t>
      </w:r>
      <w:r>
        <w:rPr>
          <w:rFonts w:hint="default" w:ascii="Times New Roman" w:hAnsi="Times New Roman" w:eastAsia="方正仿宋_GBK" w:cs="Times New Roman"/>
          <w:color w:val="auto"/>
          <w:sz w:val="32"/>
          <w:szCs w:val="32"/>
        </w:rPr>
        <w:t>指单位结转下年的基本支出结转、项目支出结转和结余、经营结余。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lang w:val="en-US" w:eastAsia="zh-CN"/>
        </w:rPr>
        <w:t>（九）基本支出：</w:t>
      </w:r>
      <w:r>
        <w:rPr>
          <w:rFonts w:hint="default" w:ascii="Times New Roman" w:hAnsi="Times New Roman" w:eastAsia="方正仿宋_GBK" w:cs="Times New Roman"/>
          <w:color w:val="auto"/>
          <w:sz w:val="32"/>
          <w:szCs w:val="32"/>
        </w:rPr>
        <w:t>指为保障机构正常运转、完成日常工作任务而发生的人员经费和公用经费。其中：人员经费指政府收支分类经济科目中的</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工资福利支出</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和</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对个人和家庭的补助</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；公用经费指政府收支分类经济科目中除</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工资福利支出</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和</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对个人和家庭的补助</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外的其他支出。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lang w:val="en-US" w:eastAsia="zh-CN"/>
        </w:rPr>
        <w:t>（十）项目支出：</w:t>
      </w:r>
      <w:r>
        <w:rPr>
          <w:rFonts w:hint="default" w:ascii="Times New Roman" w:hAnsi="Times New Roman" w:eastAsia="方正仿宋_GBK" w:cs="Times New Roman"/>
          <w:color w:val="auto"/>
          <w:sz w:val="32"/>
          <w:szCs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lang w:val="en-US" w:eastAsia="zh-CN"/>
        </w:rPr>
        <w:t>（十一）经营支出：</w:t>
      </w:r>
      <w:r>
        <w:rPr>
          <w:rFonts w:hint="default" w:ascii="Times New Roman" w:hAnsi="Times New Roman" w:eastAsia="方正仿宋_GBK" w:cs="Times New Roman"/>
          <w:color w:val="auto"/>
          <w:sz w:val="32"/>
          <w:szCs w:val="32"/>
        </w:rPr>
        <w:t>指事业单位在专业业务活动及其辅助活动之外开展非独立核算经营活动发生的支出。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lang w:val="en-US" w:eastAsia="zh-CN"/>
        </w:rPr>
        <w:t>（十二）</w:t>
      </w:r>
      <w:r>
        <w:rPr>
          <w:rFonts w:hint="eastAsia" w:ascii="Times New Roman" w:hAnsi="Times New Roman" w:eastAsia="方正楷体_GBK" w:cs="Times New Roman"/>
          <w:color w:val="auto"/>
          <w:sz w:val="32"/>
          <w:szCs w:val="32"/>
          <w:lang w:val="en-US" w:eastAsia="zh-CN"/>
        </w:rPr>
        <w:t>“</w:t>
      </w:r>
      <w:r>
        <w:rPr>
          <w:rFonts w:hint="default" w:ascii="Times New Roman" w:hAnsi="Times New Roman" w:eastAsia="方正楷体_GBK" w:cs="Times New Roman"/>
          <w:color w:val="auto"/>
          <w:sz w:val="32"/>
          <w:szCs w:val="32"/>
          <w:lang w:val="en-US" w:eastAsia="zh-CN"/>
        </w:rPr>
        <w:t>三公</w:t>
      </w:r>
      <w:r>
        <w:rPr>
          <w:rFonts w:hint="eastAsia" w:ascii="Times New Roman" w:hAnsi="Times New Roman" w:eastAsia="方正楷体_GBK" w:cs="Times New Roman"/>
          <w:color w:val="auto"/>
          <w:sz w:val="32"/>
          <w:szCs w:val="32"/>
          <w:lang w:val="en-US" w:eastAsia="zh-CN"/>
        </w:rPr>
        <w:t>”</w:t>
      </w:r>
      <w:r>
        <w:rPr>
          <w:rFonts w:hint="default" w:ascii="Times New Roman" w:hAnsi="Times New Roman" w:eastAsia="方正楷体_GBK" w:cs="Times New Roman"/>
          <w:color w:val="auto"/>
          <w:sz w:val="32"/>
          <w:szCs w:val="32"/>
          <w:lang w:val="en-US" w:eastAsia="zh-CN"/>
        </w:rPr>
        <w:t>经费：</w:t>
      </w:r>
      <w:r>
        <w:rPr>
          <w:rFonts w:hint="default" w:ascii="Times New Roman" w:hAnsi="Times New Roman" w:eastAsia="方正仿宋_GBK" w:cs="Times New Roman"/>
          <w:color w:val="auto"/>
          <w:sz w:val="32"/>
          <w:szCs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lang w:val="en-US" w:eastAsia="zh-CN"/>
        </w:rPr>
        <w:t>（十三）机关运行经费：</w:t>
      </w:r>
      <w:r>
        <w:rPr>
          <w:rFonts w:hint="default" w:ascii="Times New Roman" w:hAnsi="Times New Roman" w:eastAsia="方正仿宋_GBK" w:cs="Times New Roman"/>
          <w:color w:val="auto"/>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lang w:val="en-US" w:eastAsia="zh-CN"/>
        </w:rPr>
        <w:t>（十四）工资福利支出（支出经济分类科目类级）：</w:t>
      </w:r>
      <w:r>
        <w:rPr>
          <w:rFonts w:hint="default" w:ascii="Times New Roman" w:hAnsi="Times New Roman" w:eastAsia="方正仿宋_GBK" w:cs="Times New Roman"/>
          <w:color w:val="auto"/>
          <w:sz w:val="32"/>
          <w:szCs w:val="32"/>
        </w:rPr>
        <w:t>反映单位开支的在职职工和编制外长期聘用人员的各类劳动报酬，以及为上述人员缴纳的各项社会保险费等。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lang w:val="en-US" w:eastAsia="zh-CN"/>
        </w:rPr>
        <w:t>（十五）商品和服务支出（支出经济分类科目类级）：</w:t>
      </w:r>
      <w:r>
        <w:rPr>
          <w:rFonts w:hint="default" w:ascii="Times New Roman" w:hAnsi="Times New Roman" w:eastAsia="方正仿宋_GBK" w:cs="Times New Roman"/>
          <w:color w:val="auto"/>
          <w:sz w:val="32"/>
          <w:szCs w:val="32"/>
        </w:rPr>
        <w:t>反映单位购买商品和服务的支出（不包括用于购置固定资产的支出、战略性和应急储备支出）。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lang w:val="en-US" w:eastAsia="zh-CN"/>
        </w:rPr>
        <w:t>（十六）对个人和家庭的补助（支出经济分类科目类级）：</w:t>
      </w:r>
      <w:r>
        <w:rPr>
          <w:rFonts w:hint="default" w:ascii="Times New Roman" w:hAnsi="Times New Roman" w:eastAsia="方正仿宋_GBK" w:cs="Times New Roman"/>
          <w:color w:val="auto"/>
          <w:sz w:val="32"/>
          <w:szCs w:val="32"/>
        </w:rPr>
        <w:t>反映用于对个人和家庭的补助支出。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lang w:val="en-US" w:eastAsia="zh-CN"/>
        </w:rPr>
        <w:t>（十七）其他资本性支出（支出经济分类科目类级）：</w:t>
      </w:r>
      <w:r>
        <w:rPr>
          <w:rFonts w:hint="default" w:ascii="Times New Roman" w:hAnsi="Times New Roman" w:eastAsia="方正仿宋_GBK" w:cs="Times New Roman"/>
          <w:color w:val="auto"/>
          <w:sz w:val="32"/>
          <w:szCs w:val="32"/>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七、决算公开联系方式及信息反馈渠道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本单位决算公开信息反馈和联系方式：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尤俊秋   023-61280331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rPr>
      </w:pPr>
    </w:p>
    <w:sectPr>
      <w:footerReference r:id="rId3" w:type="default"/>
      <w:pgSz w:w="11915" w:h="16851"/>
      <w:pgMar w:top="2098" w:right="1474" w:bottom="1984" w:left="1587"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8"/>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isplayHorizontalDrawingGridEvery w:val="1"/>
  <w:displayVerticalDrawingGridEvery w:val="1"/>
  <w:noPunctuationKerning w:val="true"/>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4ZjZmMDYwNWQ5OGYxZWU5NWE3YmI4NDk2ZGUyNjcifQ=="/>
  </w:docVars>
  <w:rsids>
    <w:rsidRoot w:val="00000000"/>
    <w:rsid w:val="099137C3"/>
    <w:rsid w:val="39F5707E"/>
    <w:rsid w:val="4EB83F6D"/>
    <w:rsid w:val="52C06024"/>
    <w:rsid w:val="56CC2D1B"/>
    <w:rsid w:val="5A736072"/>
    <w:rsid w:val="5FFF3676"/>
    <w:rsid w:val="712832BA"/>
    <w:rsid w:val="7217689B"/>
    <w:rsid w:val="7F37273B"/>
    <w:rsid w:val="7FFF2A2B"/>
    <w:rsid w:val="ED7DF148"/>
    <w:rsid w:val="EFCF51A5"/>
    <w:rsid w:val="FFAA5BE5"/>
    <w:rsid w:val="FFBF59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4">
    <w:name w:val="Strong"/>
    <w:basedOn w:val="13"/>
    <w:qFormat/>
    <w:uiPriority w:val="0"/>
    <w:rPr>
      <w:b/>
    </w:rPr>
  </w:style>
  <w:style w:type="paragraph" w:customStyle="1" w:styleId="15">
    <w:name w:val="普通(网站) Char"/>
    <w:basedOn w:val="1"/>
    <w:qFormat/>
    <w:uiPriority w:val="0"/>
    <w:pPr>
      <w:spacing w:before="100" w:beforeAutospacing="1" w:after="100" w:afterAutospacing="1"/>
      <w:ind w:left="0" w:right="0"/>
      <w:jc w:val="left"/>
    </w:pPr>
    <w:rPr>
      <w:rFonts w:hint="eastAsia" w:ascii="宋体" w:hAnsi="宋体" w:eastAsia="宋体" w:cs="宋体"/>
      <w:kern w:val="0"/>
      <w:sz w:val="24"/>
      <w:szCs w:val="24"/>
      <w:lang w:val="en-US" w:eastAsia="zh-CN" w:bidi="ar"/>
    </w:rPr>
  </w:style>
  <w:style w:type="character" w:customStyle="1" w:styleId="16">
    <w:name w:val="15"/>
    <w:basedOn w:val="13"/>
    <w:qFormat/>
    <w:uiPriority w:val="0"/>
    <w:rPr>
      <w:rFonts w:hint="default" w:ascii="Times New Roman" w:hAnsi="Times New Roman" w:cs="Times New Roman"/>
      <w:b/>
    </w:rPr>
  </w:style>
  <w:style w:type="character" w:customStyle="1" w:styleId="17">
    <w:name w:val="16"/>
    <w:basedOn w:val="13"/>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7</TotalTime>
  <ScaleCrop>false</ScaleCrop>
  <LinksUpToDate>false</LinksUpToDate>
  <Application>WPS Office_11.8.2.9958_F1E327BC-269C-435d-A152-05C5408002CA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2023-10-09T18:20:00Z</dcterms:created>
  <dc:creator>Administrator</dc:creator>
  <cp:lastModifiedBy>guest</cp:lastModifiedBy>
  <dcterms:modified xsi:type="dcterms:W3CDTF">2023-11-09T09:11:59Z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304EFB687BC948CE8FF80A81336CA4D9_13</vt:lpwstr>
  </property>
</Properties>
</file>