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0" w:firstLineChars="0"/>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rPr>
        <w:t>重庆</w:t>
      </w:r>
      <w:r>
        <w:rPr>
          <w:rFonts w:hint="default" w:ascii="Times New Roman" w:hAnsi="Times New Roman" w:eastAsia="方正小标宋_GBK" w:cs="Times New Roman"/>
          <w:b w:val="0"/>
          <w:bCs w:val="0"/>
          <w:sz w:val="44"/>
          <w:szCs w:val="44"/>
          <w:shd w:val="clear" w:color="auto" w:fill="FFFFFF"/>
        </w:rPr>
        <w:t>市綦江区电子政务中心</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0" w:firstLineChars="0"/>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黑体_GBK" w:hAnsi="方正黑体_GBK" w:eastAsia="方正黑体_GBK" w:cs="方正黑体_GBK"/>
          <w:b w:val="0"/>
          <w:bCs w:val="0"/>
          <w:sz w:val="32"/>
          <w:szCs w:val="32"/>
          <w:shd w:val="clear" w:color="auto" w:fill="FFFFFF"/>
        </w:rPr>
      </w:pPr>
      <w:r>
        <w:rPr>
          <w:rFonts w:hint="eastAsia" w:ascii="方正黑体_GBK" w:hAnsi="方正黑体_GBK" w:eastAsia="方正黑体_GBK" w:cs="方正黑体_GBK"/>
          <w:b w:val="0"/>
          <w:bCs w:val="0"/>
          <w:sz w:val="32"/>
          <w:szCs w:val="32"/>
          <w:shd w:val="clear" w:color="auto" w:fill="FFFFFF"/>
        </w:rPr>
        <w:t>一、</w:t>
      </w:r>
      <w:r>
        <w:rPr>
          <w:rFonts w:hint="eastAsia" w:ascii="方正黑体_GBK" w:hAnsi="方正黑体_GBK" w:eastAsia="方正黑体_GBK" w:cs="方正黑体_GBK"/>
          <w:b w:val="0"/>
          <w:bCs w:val="0"/>
          <w:sz w:val="32"/>
          <w:szCs w:val="32"/>
          <w:shd w:val="clear" w:color="auto" w:fill="FFFFFF"/>
          <w:lang w:eastAsia="zh-CN"/>
        </w:rPr>
        <w:t>部门</w:t>
      </w:r>
      <w:r>
        <w:rPr>
          <w:rFonts w:hint="eastAsia" w:ascii="方正黑体_GBK" w:hAnsi="方正黑体_GBK" w:eastAsia="方正黑体_GBK" w:cs="方正黑体_GBK"/>
          <w:b w:val="0"/>
          <w:bCs w:val="0"/>
          <w:sz w:val="32"/>
          <w:szCs w:val="32"/>
          <w:shd w:val="clear" w:color="auto" w:fill="FFFFFF"/>
        </w:rPr>
        <w:t>基本情况</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（一）职能职责</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根据《中共重庆市綦江区委机构编制委员会关于印发〈重庆市綦江区电子政务中心机构编制方案〉的通知》（綦委编〔2019〕107号）精神，组建重庆市綦江区电子政务中心，为区政府办公室管理的正处级事业单位，主要职能职责有：</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1</w:t>
      </w:r>
      <w:r>
        <w:rPr>
          <w:rFonts w:hint="eastAsia"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rPr>
        <w:t>贯彻执行国家有关电子政务工作方针政策和法律法规规章；负责全区政府信息化推广培训工作。</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2</w:t>
      </w:r>
      <w:r>
        <w:rPr>
          <w:rFonts w:hint="eastAsia"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rPr>
        <w:t>负责全区电子政务外网发展规划、管理维护、应用部署、网络资源分配、安全运维体系、电子认证等建设管理；负责全区各单位电子政务外网的接入服务、技术支持、技术培训工作。</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3</w:t>
      </w:r>
      <w:r>
        <w:rPr>
          <w:rFonts w:hint="eastAsia"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rPr>
        <w:t>负责政府网站集约化平台、政府公众信息网站的规划建设、运行维护、安全管理、监督指导等工作。</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4</w:t>
      </w:r>
      <w:r>
        <w:rPr>
          <w:rFonts w:hint="eastAsia"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rPr>
        <w:t>负责互联网+监管系统的统筹管理等工作；负责全区民生监察平台系统的运行管理工作（内容管理由区监委负责）。负责全区政务信息资源共享交换平台建设管理、运行维护工作。</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5</w:t>
      </w:r>
      <w:r>
        <w:rPr>
          <w:rFonts w:hint="eastAsia"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rPr>
        <w:t>负责向市政府门户网站、市政府信息公开平台、市政府APP“云上区县”报送、发布信息；负责区政府公众信息网站、区政府信息公开平台系统信息的采编、审查、发布、指导工作。</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6</w:t>
      </w:r>
      <w:r>
        <w:rPr>
          <w:rFonts w:hint="eastAsia"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rPr>
        <w:t>负责区政府办公室信息化办公系统建设，以及机关内部网络运维管理工作。</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7</w:t>
      </w:r>
      <w:r>
        <w:rPr>
          <w:rFonts w:hint="eastAsia"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rPr>
        <w:t>承办区政府及区政府办公室交办的綦江区政务公开、政府公报编制发行及政务新媒体管理等工作。</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8</w:t>
      </w:r>
      <w:r>
        <w:rPr>
          <w:rFonts w:hint="eastAsia"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rPr>
        <w:t>完成主管部门交办的其他工作。</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（二）机构设置</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lang w:val="en-US" w:eastAsia="zh-CN"/>
        </w:rPr>
        <w:t>区电子政务中心内设：规划发展科、网站管理科、应用服务科、安全运维科、政务公开科、指导促进科6个科室。</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（三）单位构成</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val="en-US" w:eastAsia="zh-CN"/>
        </w:rPr>
      </w:pPr>
      <w:r>
        <w:rPr>
          <w:rFonts w:hint="eastAsia" w:ascii="Times New Roman" w:hAnsi="Times New Roman" w:eastAsia="方正仿宋_GBK" w:cs="Times New Roman"/>
          <w:b w:val="0"/>
          <w:bCs w:val="0"/>
          <w:sz w:val="32"/>
          <w:szCs w:val="32"/>
          <w:shd w:val="clear" w:color="auto" w:fill="FFFFFF"/>
          <w:lang w:val="en-US" w:eastAsia="zh-CN"/>
        </w:rPr>
        <w:t>从预算单位构成看，重庆市綦江区电子政务中心无下级预算单位。</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黑体_GBK" w:hAnsi="方正黑体_GBK" w:eastAsia="方正黑体_GBK" w:cs="方正黑体_GBK"/>
          <w:b w:val="0"/>
          <w:bCs w:val="0"/>
          <w:sz w:val="32"/>
          <w:szCs w:val="32"/>
          <w:shd w:val="clear" w:color="auto" w:fill="FFFFFF"/>
        </w:rPr>
      </w:pPr>
      <w:r>
        <w:rPr>
          <w:rFonts w:hint="eastAsia" w:ascii="方正黑体_GBK" w:hAnsi="方正黑体_GBK" w:eastAsia="方正黑体_GBK" w:cs="方正黑体_GBK"/>
          <w:b w:val="0"/>
          <w:bCs w:val="0"/>
          <w:sz w:val="32"/>
          <w:szCs w:val="32"/>
          <w:shd w:val="clear" w:color="auto" w:fill="FFFFFF"/>
        </w:rPr>
        <w:t>二、</w:t>
      </w:r>
      <w:r>
        <w:rPr>
          <w:rFonts w:hint="eastAsia" w:ascii="方正黑体_GBK" w:hAnsi="方正黑体_GBK" w:eastAsia="方正黑体_GBK" w:cs="方正黑体_GBK"/>
          <w:b w:val="0"/>
          <w:bCs w:val="0"/>
          <w:sz w:val="32"/>
          <w:szCs w:val="32"/>
          <w:shd w:val="clear" w:color="auto" w:fill="FFFFFF"/>
          <w:lang w:eastAsia="zh-CN"/>
        </w:rPr>
        <w:t>部门</w:t>
      </w:r>
      <w:r>
        <w:rPr>
          <w:rFonts w:hint="eastAsia" w:ascii="方正黑体_GBK" w:hAnsi="方正黑体_GBK" w:eastAsia="方正黑体_GBK" w:cs="方正黑体_GBK"/>
          <w:b w:val="0"/>
          <w:bCs w:val="0"/>
          <w:sz w:val="32"/>
          <w:szCs w:val="32"/>
          <w:shd w:val="clear" w:color="auto" w:fill="FFFFFF"/>
        </w:rPr>
        <w:t>决算</w:t>
      </w:r>
      <w:r>
        <w:rPr>
          <w:rFonts w:hint="eastAsia" w:ascii="方正黑体_GBK" w:hAnsi="方正黑体_GBK" w:eastAsia="方正黑体_GBK" w:cs="方正黑体_GBK"/>
          <w:b w:val="0"/>
          <w:bCs w:val="0"/>
          <w:sz w:val="32"/>
          <w:szCs w:val="32"/>
          <w:shd w:val="clear" w:color="auto" w:fill="FFFFFF"/>
          <w:lang w:eastAsia="zh-CN"/>
        </w:rPr>
        <w:t>收支</w:t>
      </w:r>
      <w:r>
        <w:rPr>
          <w:rFonts w:hint="eastAsia" w:ascii="方正黑体_GBK" w:hAnsi="方正黑体_GBK" w:eastAsia="方正黑体_GBK" w:cs="方正黑体_GBK"/>
          <w:b w:val="0"/>
          <w:bCs w:val="0"/>
          <w:sz w:val="32"/>
          <w:szCs w:val="32"/>
          <w:shd w:val="clear" w:color="auto" w:fill="FFFFFF"/>
        </w:rPr>
        <w:t>情况说明</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2024年度收</w:t>
      </w:r>
      <w:r>
        <w:rPr>
          <w:rFonts w:hint="eastAsia" w:ascii="Times New Roman" w:hAnsi="Times New Roman" w:eastAsia="方正仿宋_GBK" w:cs="Times New Roman"/>
          <w:b w:val="0"/>
          <w:bCs w:val="0"/>
          <w:sz w:val="32"/>
          <w:szCs w:val="32"/>
          <w:shd w:val="clear" w:color="auto" w:fill="FFFFFF"/>
          <w:lang w:eastAsia="zh-CN"/>
        </w:rPr>
        <w:t>、支</w:t>
      </w:r>
      <w:r>
        <w:rPr>
          <w:rFonts w:hint="eastAsia" w:ascii="Times New Roman" w:hAnsi="Times New Roman" w:eastAsia="方正仿宋_GBK" w:cs="Times New Roman"/>
          <w:b w:val="0"/>
          <w:bCs w:val="0"/>
          <w:sz w:val="32"/>
          <w:szCs w:val="32"/>
          <w:shd w:val="clear" w:color="auto" w:fill="FFFFFF"/>
        </w:rPr>
        <w:t>总计</w:t>
      </w:r>
      <w:r>
        <w:rPr>
          <w:rFonts w:hint="eastAsia" w:ascii="Times New Roman" w:hAnsi="Times New Roman" w:eastAsia="方正仿宋_GBK" w:cs="Times New Roman"/>
          <w:b w:val="0"/>
          <w:bCs w:val="0"/>
          <w:sz w:val="32"/>
          <w:szCs w:val="32"/>
          <w:shd w:val="clear" w:color="auto" w:fill="FFFFFF"/>
          <w:lang w:eastAsia="zh-CN"/>
        </w:rPr>
        <w:t>均为</w:t>
      </w:r>
      <w:r>
        <w:rPr>
          <w:rFonts w:hint="eastAsia" w:ascii="Times New Roman" w:hAnsi="Times New Roman" w:eastAsia="方正仿宋_GBK" w:cs="Times New Roman"/>
          <w:b w:val="0"/>
          <w:bCs w:val="0"/>
          <w:sz w:val="32"/>
          <w:szCs w:val="32"/>
          <w:shd w:val="clear" w:color="auto" w:fill="FFFFFF"/>
        </w:rPr>
        <w:t>564.55万元。收、支与2023年度相比，减少306.59万元，下降35.2%，主要原因</w:t>
      </w:r>
      <w:r>
        <w:rPr>
          <w:rFonts w:hint="eastAsia" w:ascii="Times New Roman" w:hAnsi="Times New Roman" w:eastAsia="方正仿宋_GBK" w:cs="Times New Roman"/>
          <w:b w:val="0"/>
          <w:bCs w:val="0"/>
          <w:sz w:val="32"/>
          <w:szCs w:val="32"/>
          <w:shd w:val="clear" w:color="auto" w:fill="FFFFFF"/>
          <w:lang w:eastAsia="zh-CN"/>
        </w:rPr>
        <w:t>：一</w:t>
      </w:r>
      <w:r>
        <w:rPr>
          <w:rFonts w:hint="eastAsia" w:ascii="Times New Roman" w:hAnsi="Times New Roman" w:eastAsia="方正仿宋_GBK" w:cs="Times New Roman"/>
          <w:b w:val="0"/>
          <w:bCs w:val="0"/>
          <w:sz w:val="32"/>
          <w:szCs w:val="32"/>
          <w:shd w:val="clear" w:color="auto" w:fill="FFFFFF"/>
        </w:rPr>
        <w:t>是</w:t>
      </w:r>
      <w:r>
        <w:rPr>
          <w:rFonts w:hint="eastAsia" w:ascii="Times New Roman" w:hAnsi="Times New Roman" w:eastAsia="方正仿宋_GBK" w:cs="Times New Roman"/>
          <w:b w:val="0"/>
          <w:bCs w:val="0"/>
          <w:sz w:val="32"/>
          <w:szCs w:val="32"/>
          <w:shd w:val="clear" w:color="auto" w:fill="FFFFFF"/>
          <w:lang w:val="en-US" w:eastAsia="zh-CN"/>
        </w:rPr>
        <w:t>2023年项目电子政务外网升级改造规范化建设和政府网站全新改版建设2个项目完成，2024年没有这2个项目，项目收支减少396.02万元，二是因增人增资等，基本支出比2023年增加89.43万元，两项品迭后减少306.59万元。</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lang w:val="en-US" w:eastAsia="zh-CN"/>
        </w:rPr>
        <w:t>1</w:t>
      </w:r>
      <w:r>
        <w:rPr>
          <w:rFonts w:hint="eastAsia"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rPr>
        <w:t>收入情况。2024年度收入合计564.55万元，与2023年度相比，减少306.59万元，下降35.2%，主要原因</w:t>
      </w:r>
      <w:r>
        <w:rPr>
          <w:rFonts w:hint="eastAsia" w:ascii="Times New Roman" w:hAnsi="Times New Roman" w:eastAsia="方正仿宋_GBK" w:cs="Times New Roman"/>
          <w:b w:val="0"/>
          <w:bCs w:val="0"/>
          <w:sz w:val="32"/>
          <w:szCs w:val="32"/>
          <w:shd w:val="clear" w:color="auto" w:fill="FFFFFF"/>
          <w:lang w:eastAsia="zh-CN"/>
        </w:rPr>
        <w:t>：一</w:t>
      </w:r>
      <w:r>
        <w:rPr>
          <w:rFonts w:hint="eastAsia" w:ascii="Times New Roman" w:hAnsi="Times New Roman" w:eastAsia="方正仿宋_GBK" w:cs="Times New Roman"/>
          <w:b w:val="0"/>
          <w:bCs w:val="0"/>
          <w:sz w:val="32"/>
          <w:szCs w:val="32"/>
          <w:shd w:val="clear" w:color="auto" w:fill="FFFFFF"/>
        </w:rPr>
        <w:t>是</w:t>
      </w:r>
      <w:r>
        <w:rPr>
          <w:rFonts w:hint="eastAsia" w:ascii="Times New Roman" w:hAnsi="Times New Roman" w:eastAsia="方正仿宋_GBK" w:cs="Times New Roman"/>
          <w:b w:val="0"/>
          <w:bCs w:val="0"/>
          <w:sz w:val="32"/>
          <w:szCs w:val="32"/>
          <w:shd w:val="clear" w:color="auto" w:fill="FFFFFF"/>
          <w:lang w:val="en-US" w:eastAsia="zh-CN"/>
        </w:rPr>
        <w:t>2023年项目电子政务外网升级改造规范化建设和政府网站全新改版建设2个项目完成，2024年没有这2个项目，项目收支减少396.02万元，二是因增人增资等，基本支出比2023年增加89.43万元，两项品迭后减少306.59万元。</w:t>
      </w:r>
      <w:r>
        <w:rPr>
          <w:rFonts w:hint="eastAsia" w:ascii="Times New Roman" w:hAnsi="Times New Roman" w:eastAsia="方正仿宋_GBK" w:cs="Times New Roman"/>
          <w:b w:val="0"/>
          <w:bCs w:val="0"/>
          <w:sz w:val="32"/>
          <w:szCs w:val="32"/>
          <w:shd w:val="clear" w:color="auto" w:fill="FFFFFF"/>
        </w:rPr>
        <w:t>其中：财政拨款收入564.55万元，占100.0%；事业收入</w:t>
      </w:r>
      <w:r>
        <w:rPr>
          <w:rFonts w:hint="eastAsia" w:ascii="Times New Roman" w:hAnsi="Times New Roman" w:eastAsia="方正仿宋_GBK" w:cs="Times New Roman"/>
          <w:b w:val="0"/>
          <w:bCs w:val="0"/>
          <w:sz w:val="32"/>
          <w:szCs w:val="32"/>
          <w:shd w:val="clear" w:color="auto" w:fill="FFFFFF"/>
          <w:lang w:val="en-US" w:eastAsia="zh-CN"/>
        </w:rPr>
        <w:t>0</w:t>
      </w:r>
      <w:r>
        <w:rPr>
          <w:rFonts w:hint="eastAsia" w:ascii="Times New Roman" w:hAnsi="Times New Roman" w:eastAsia="方正仿宋_GBK" w:cs="Times New Roman"/>
          <w:b w:val="0"/>
          <w:bCs w:val="0"/>
          <w:sz w:val="32"/>
          <w:szCs w:val="32"/>
          <w:shd w:val="clear" w:color="auto" w:fill="FFFFFF"/>
        </w:rPr>
        <w:t>万元，经营收入0万元，其他收入0万元。此外，使用非财政拨款结余（含专用结余）</w:t>
      </w:r>
      <w:r>
        <w:rPr>
          <w:rFonts w:hint="eastAsia" w:ascii="Times New Roman" w:hAnsi="Times New Roman" w:eastAsia="方正仿宋_GBK" w:cs="Times New Roman"/>
          <w:b w:val="0"/>
          <w:bCs w:val="0"/>
          <w:sz w:val="32"/>
          <w:szCs w:val="32"/>
          <w:shd w:val="clear" w:color="auto" w:fill="FFFFFF"/>
          <w:lang w:val="en-US" w:eastAsia="zh-CN"/>
        </w:rPr>
        <w:t>0</w:t>
      </w:r>
      <w:r>
        <w:rPr>
          <w:rFonts w:hint="eastAsia" w:ascii="Times New Roman" w:hAnsi="Times New Roman" w:eastAsia="方正仿宋_GBK" w:cs="Times New Roman"/>
          <w:b w:val="0"/>
          <w:bCs w:val="0"/>
          <w:sz w:val="32"/>
          <w:szCs w:val="32"/>
          <w:shd w:val="clear" w:color="auto" w:fill="FFFFFF"/>
        </w:rPr>
        <w:t>万元，年初结转和结余</w:t>
      </w:r>
      <w:r>
        <w:rPr>
          <w:rFonts w:hint="eastAsia" w:ascii="Times New Roman" w:hAnsi="Times New Roman" w:eastAsia="方正仿宋_GBK" w:cs="Times New Roman"/>
          <w:b w:val="0"/>
          <w:bCs w:val="0"/>
          <w:sz w:val="32"/>
          <w:szCs w:val="32"/>
          <w:shd w:val="clear" w:color="auto" w:fill="FFFFFF"/>
          <w:lang w:val="en-US" w:eastAsia="zh-CN"/>
        </w:rPr>
        <w:t>0</w:t>
      </w:r>
      <w:r>
        <w:rPr>
          <w:rFonts w:hint="eastAsia" w:ascii="Times New Roman" w:hAnsi="Times New Roman" w:eastAsia="方正仿宋_GBK" w:cs="Times New Roman"/>
          <w:b w:val="0"/>
          <w:bCs w:val="0"/>
          <w:sz w:val="32"/>
          <w:szCs w:val="32"/>
          <w:shd w:val="clear" w:color="auto" w:fill="FFFFFF"/>
        </w:rPr>
        <w:t>万元。</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lang w:val="en-US" w:eastAsia="zh-CN"/>
        </w:rPr>
        <w:t>2</w:t>
      </w:r>
      <w:r>
        <w:rPr>
          <w:rFonts w:hint="eastAsia"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rPr>
        <w:t>支出情况。2024年度支出合计564.55万元，与2023年度相比，减少306.59万元，下降35.2%，主要原因</w:t>
      </w:r>
      <w:r>
        <w:rPr>
          <w:rFonts w:hint="eastAsia" w:ascii="Times New Roman" w:hAnsi="Times New Roman" w:eastAsia="方正仿宋_GBK" w:cs="Times New Roman"/>
          <w:b w:val="0"/>
          <w:bCs w:val="0"/>
          <w:sz w:val="32"/>
          <w:szCs w:val="32"/>
          <w:shd w:val="clear" w:color="auto" w:fill="FFFFFF"/>
          <w:lang w:eastAsia="zh-CN"/>
        </w:rPr>
        <w:t>：一</w:t>
      </w:r>
      <w:r>
        <w:rPr>
          <w:rFonts w:hint="eastAsia" w:ascii="Times New Roman" w:hAnsi="Times New Roman" w:eastAsia="方正仿宋_GBK" w:cs="Times New Roman"/>
          <w:b w:val="0"/>
          <w:bCs w:val="0"/>
          <w:sz w:val="32"/>
          <w:szCs w:val="32"/>
          <w:shd w:val="clear" w:color="auto" w:fill="FFFFFF"/>
        </w:rPr>
        <w:t>是</w:t>
      </w:r>
      <w:r>
        <w:rPr>
          <w:rFonts w:hint="eastAsia" w:ascii="Times New Roman" w:hAnsi="Times New Roman" w:eastAsia="方正仿宋_GBK" w:cs="Times New Roman"/>
          <w:b w:val="0"/>
          <w:bCs w:val="0"/>
          <w:sz w:val="32"/>
          <w:szCs w:val="32"/>
          <w:shd w:val="clear" w:color="auto" w:fill="FFFFFF"/>
          <w:lang w:val="en-US" w:eastAsia="zh-CN"/>
        </w:rPr>
        <w:t>2023年项目电子政务外网升级改造规范化建设和政府网站全新改版建设2个项目完成，2024年没有这2个项目，项目收支减少396.02万元，二是因增人增资等，基本支出比2023年增加89.43万元，两项品迭后减少306.59万元。</w:t>
      </w:r>
      <w:r>
        <w:rPr>
          <w:rFonts w:hint="eastAsia" w:ascii="Times New Roman" w:hAnsi="Times New Roman" w:eastAsia="方正仿宋_GBK" w:cs="Times New Roman"/>
          <w:b w:val="0"/>
          <w:bCs w:val="0"/>
          <w:sz w:val="32"/>
          <w:szCs w:val="32"/>
          <w:shd w:val="clear" w:color="auto" w:fill="FFFFFF"/>
        </w:rPr>
        <w:t>其中：基本支出383.08万元，占67.9%；项目支出181.47万元，占32.1%；经营支出0万元。此外，结余分配0万元。</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eastAsia="zh-CN"/>
        </w:rPr>
      </w:pPr>
      <w:r>
        <w:rPr>
          <w:rFonts w:hint="eastAsia" w:ascii="Times New Roman" w:hAnsi="Times New Roman" w:eastAsia="方正仿宋_GBK" w:cs="Times New Roman"/>
          <w:b w:val="0"/>
          <w:bCs w:val="0"/>
          <w:sz w:val="32"/>
          <w:szCs w:val="32"/>
          <w:shd w:val="clear" w:color="auto" w:fill="FFFFFF"/>
          <w:lang w:val="en-US" w:eastAsia="zh-CN"/>
        </w:rPr>
        <w:t>3</w:t>
      </w:r>
      <w:r>
        <w:rPr>
          <w:rFonts w:hint="eastAsia"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rPr>
        <w:t>结转结余情况。2024年度年末结转和结余0万元，与2023年度相比，无增减</w:t>
      </w:r>
      <w:r>
        <w:rPr>
          <w:rFonts w:hint="eastAsia" w:ascii="Times New Roman" w:hAnsi="Times New Roman" w:eastAsia="方正仿宋_GBK" w:cs="Times New Roman"/>
          <w:b w:val="0"/>
          <w:bCs w:val="0"/>
          <w:sz w:val="32"/>
          <w:szCs w:val="32"/>
          <w:shd w:val="clear" w:color="auto" w:fill="FFFFFF"/>
          <w:lang w:eastAsia="zh-CN"/>
        </w:rPr>
        <w:t>。</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2024年度财政拨款收、支总计均为564.55万元。与2023年</w:t>
      </w:r>
      <w:r>
        <w:rPr>
          <w:rFonts w:hint="eastAsia" w:ascii="Times New Roman" w:hAnsi="Times New Roman" w:eastAsia="方正仿宋_GBK" w:cs="Times New Roman"/>
          <w:b w:val="0"/>
          <w:bCs w:val="0"/>
          <w:sz w:val="32"/>
          <w:szCs w:val="32"/>
          <w:shd w:val="clear" w:color="auto" w:fill="FFFFFF"/>
          <w:lang w:eastAsia="zh-CN"/>
        </w:rPr>
        <w:t>度</w:t>
      </w:r>
      <w:r>
        <w:rPr>
          <w:rFonts w:hint="eastAsia" w:ascii="Times New Roman" w:hAnsi="Times New Roman" w:eastAsia="方正仿宋_GBK" w:cs="Times New Roman"/>
          <w:b w:val="0"/>
          <w:bCs w:val="0"/>
          <w:sz w:val="32"/>
          <w:szCs w:val="32"/>
          <w:shd w:val="clear" w:color="auto" w:fill="FFFFFF"/>
        </w:rPr>
        <w:t>相比，财政拨款收、支总计各减少306.59万元，下降35.2%。主要原因</w:t>
      </w:r>
      <w:r>
        <w:rPr>
          <w:rFonts w:hint="eastAsia" w:ascii="Times New Roman" w:hAnsi="Times New Roman" w:eastAsia="方正仿宋_GBK" w:cs="Times New Roman"/>
          <w:b w:val="0"/>
          <w:bCs w:val="0"/>
          <w:sz w:val="32"/>
          <w:szCs w:val="32"/>
          <w:shd w:val="clear" w:color="auto" w:fill="FFFFFF"/>
          <w:lang w:eastAsia="zh-CN"/>
        </w:rPr>
        <w:t>：一</w:t>
      </w:r>
      <w:r>
        <w:rPr>
          <w:rFonts w:hint="eastAsia" w:ascii="Times New Roman" w:hAnsi="Times New Roman" w:eastAsia="方正仿宋_GBK" w:cs="Times New Roman"/>
          <w:b w:val="0"/>
          <w:bCs w:val="0"/>
          <w:sz w:val="32"/>
          <w:szCs w:val="32"/>
          <w:shd w:val="clear" w:color="auto" w:fill="FFFFFF"/>
        </w:rPr>
        <w:t>是</w:t>
      </w:r>
      <w:r>
        <w:rPr>
          <w:rFonts w:hint="eastAsia" w:ascii="Times New Roman" w:hAnsi="Times New Roman" w:eastAsia="方正仿宋_GBK" w:cs="Times New Roman"/>
          <w:b w:val="0"/>
          <w:bCs w:val="0"/>
          <w:sz w:val="32"/>
          <w:szCs w:val="32"/>
          <w:shd w:val="clear" w:color="auto" w:fill="FFFFFF"/>
          <w:lang w:val="en-US" w:eastAsia="zh-CN"/>
        </w:rPr>
        <w:t>2023年项目电子政务外网升级改造规范化建设和政府网站全新改版建设2个项目完成，2024年没有这2个项目，项目收支减少396.02万元，二是因增人增资等，基本支出比2023年增加89.43万元，两项品迭后减少306.59万元。</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1</w:t>
      </w:r>
      <w:r>
        <w:rPr>
          <w:rFonts w:hint="eastAsia"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rPr>
        <w:t>收入情况。2024年度一般公共预算财政拨款收入564.55万元，与2023年度相比，减少306.59万元，下降35.2%。主要原因</w:t>
      </w:r>
      <w:r>
        <w:rPr>
          <w:rFonts w:hint="eastAsia" w:ascii="Times New Roman" w:hAnsi="Times New Roman" w:eastAsia="方正仿宋_GBK" w:cs="Times New Roman"/>
          <w:b w:val="0"/>
          <w:bCs w:val="0"/>
          <w:sz w:val="32"/>
          <w:szCs w:val="32"/>
          <w:shd w:val="clear" w:color="auto" w:fill="FFFFFF"/>
          <w:lang w:eastAsia="zh-CN"/>
        </w:rPr>
        <w:t>：一</w:t>
      </w:r>
      <w:r>
        <w:rPr>
          <w:rFonts w:hint="eastAsia" w:ascii="Times New Roman" w:hAnsi="Times New Roman" w:eastAsia="方正仿宋_GBK" w:cs="Times New Roman"/>
          <w:b w:val="0"/>
          <w:bCs w:val="0"/>
          <w:sz w:val="32"/>
          <w:szCs w:val="32"/>
          <w:shd w:val="clear" w:color="auto" w:fill="FFFFFF"/>
        </w:rPr>
        <w:t>是</w:t>
      </w:r>
      <w:r>
        <w:rPr>
          <w:rFonts w:hint="eastAsia" w:ascii="Times New Roman" w:hAnsi="Times New Roman" w:eastAsia="方正仿宋_GBK" w:cs="Times New Roman"/>
          <w:b w:val="0"/>
          <w:bCs w:val="0"/>
          <w:sz w:val="32"/>
          <w:szCs w:val="32"/>
          <w:shd w:val="clear" w:color="auto" w:fill="FFFFFF"/>
          <w:lang w:val="en-US" w:eastAsia="zh-CN"/>
        </w:rPr>
        <w:t>2023年项目电子政务外网升级改造规范化建设和政府网站全新改版建设2个项目完成，2024年没有这2个项目，项目收支减少396.02万元，二是因增人增资等，基本支出比2023年增加89.43万元，两项品迭后减少306.59万元。</w:t>
      </w:r>
      <w:r>
        <w:rPr>
          <w:rFonts w:hint="eastAsia" w:ascii="Times New Roman" w:hAnsi="Times New Roman" w:eastAsia="方正仿宋_GBK" w:cs="Times New Roman"/>
          <w:b w:val="0"/>
          <w:bCs w:val="0"/>
          <w:sz w:val="32"/>
          <w:szCs w:val="32"/>
          <w:shd w:val="clear" w:color="auto" w:fill="FFFFFF"/>
        </w:rPr>
        <w:t>较年初预算数减少</w:t>
      </w:r>
      <w:r>
        <w:rPr>
          <w:rFonts w:hint="eastAsia" w:ascii="Times New Roman" w:hAnsi="Times New Roman" w:eastAsia="方正仿宋_GBK" w:cs="Times New Roman"/>
          <w:b w:val="0"/>
          <w:bCs w:val="0"/>
          <w:sz w:val="32"/>
          <w:szCs w:val="32"/>
          <w:shd w:val="clear" w:color="auto" w:fill="FFFFFF"/>
          <w:lang w:val="en-US" w:eastAsia="zh-CN"/>
        </w:rPr>
        <w:t>1126.13</w:t>
      </w:r>
      <w:r>
        <w:rPr>
          <w:rFonts w:hint="eastAsia" w:ascii="Times New Roman" w:hAnsi="Times New Roman" w:eastAsia="方正仿宋_GBK" w:cs="Times New Roman"/>
          <w:b w:val="0"/>
          <w:bCs w:val="0"/>
          <w:sz w:val="32"/>
          <w:szCs w:val="32"/>
          <w:shd w:val="clear" w:color="auto" w:fill="FFFFFF"/>
        </w:rPr>
        <w:t>万元，下降</w:t>
      </w:r>
      <w:r>
        <w:rPr>
          <w:rFonts w:hint="eastAsia" w:ascii="Times New Roman" w:hAnsi="Times New Roman" w:eastAsia="方正仿宋_GBK" w:cs="Times New Roman"/>
          <w:b w:val="0"/>
          <w:bCs w:val="0"/>
          <w:sz w:val="32"/>
          <w:szCs w:val="32"/>
          <w:shd w:val="clear" w:color="auto" w:fill="FFFFFF"/>
          <w:lang w:val="en-US" w:eastAsia="zh-CN"/>
        </w:rPr>
        <w:t>66.6</w:t>
      </w:r>
      <w:r>
        <w:rPr>
          <w:rFonts w:hint="eastAsia"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主要原因是年初预算的重庆市綦江区电子政务外网升级改造项目（二期）945.52万元项目因市级政策要求调整没有实施预算收入调减，綦江区政府网站全新改版建设81.85万元没有实施完毕，剩下的预算收入调减。</w:t>
      </w:r>
      <w:r>
        <w:rPr>
          <w:rFonts w:hint="eastAsia" w:ascii="Times New Roman" w:hAnsi="Times New Roman" w:eastAsia="方正仿宋_GBK" w:cs="Times New Roman"/>
          <w:b w:val="0"/>
          <w:bCs w:val="0"/>
          <w:sz w:val="32"/>
          <w:szCs w:val="32"/>
          <w:shd w:val="clear" w:color="auto" w:fill="FFFFFF"/>
        </w:rPr>
        <w:t>此外，年初财政拨款结转和结余0万元。</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2</w:t>
      </w:r>
      <w:r>
        <w:rPr>
          <w:rFonts w:hint="eastAsia"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rPr>
        <w:t>支出情况。2024年度一般公共预算财政拨款支出564.55万元，与2023年度相比，减少306.59万元，下降35.2%。主要原因</w:t>
      </w:r>
      <w:r>
        <w:rPr>
          <w:rFonts w:hint="eastAsia" w:ascii="Times New Roman" w:hAnsi="Times New Roman" w:eastAsia="方正仿宋_GBK" w:cs="Times New Roman"/>
          <w:b w:val="0"/>
          <w:bCs w:val="0"/>
          <w:sz w:val="32"/>
          <w:szCs w:val="32"/>
          <w:shd w:val="clear" w:color="auto" w:fill="FFFFFF"/>
          <w:lang w:eastAsia="zh-CN"/>
        </w:rPr>
        <w:t>：一</w:t>
      </w:r>
      <w:r>
        <w:rPr>
          <w:rFonts w:hint="eastAsia" w:ascii="Times New Roman" w:hAnsi="Times New Roman" w:eastAsia="方正仿宋_GBK" w:cs="Times New Roman"/>
          <w:b w:val="0"/>
          <w:bCs w:val="0"/>
          <w:sz w:val="32"/>
          <w:szCs w:val="32"/>
          <w:shd w:val="clear" w:color="auto" w:fill="FFFFFF"/>
        </w:rPr>
        <w:t>是</w:t>
      </w:r>
      <w:r>
        <w:rPr>
          <w:rFonts w:hint="eastAsia" w:ascii="Times New Roman" w:hAnsi="Times New Roman" w:eastAsia="方正仿宋_GBK" w:cs="Times New Roman"/>
          <w:b w:val="0"/>
          <w:bCs w:val="0"/>
          <w:sz w:val="32"/>
          <w:szCs w:val="32"/>
          <w:shd w:val="clear" w:color="auto" w:fill="FFFFFF"/>
          <w:lang w:val="en-US" w:eastAsia="zh-CN"/>
        </w:rPr>
        <w:t>2023年项目电子政务外网升级改造规范化建设和政府网站全新改版建设2个项目完成，2024年没有这2个项目，项目收支减少396.02万元，二是因增人增资等，基本支出比2023年增加89.43万元，两项品迭后减少306.59万元。</w:t>
      </w:r>
      <w:r>
        <w:rPr>
          <w:rFonts w:hint="eastAsia" w:ascii="Times New Roman" w:hAnsi="Times New Roman" w:eastAsia="方正仿宋_GBK" w:cs="Times New Roman"/>
          <w:b w:val="0"/>
          <w:bCs w:val="0"/>
          <w:sz w:val="32"/>
          <w:szCs w:val="32"/>
          <w:shd w:val="clear" w:color="auto" w:fill="FFFFFF"/>
        </w:rPr>
        <w:t>较年初预算数减少</w:t>
      </w:r>
      <w:r>
        <w:rPr>
          <w:rFonts w:hint="eastAsia" w:ascii="Times New Roman" w:hAnsi="Times New Roman" w:eastAsia="方正仿宋_GBK" w:cs="Times New Roman"/>
          <w:b w:val="0"/>
          <w:bCs w:val="0"/>
          <w:sz w:val="32"/>
          <w:szCs w:val="32"/>
          <w:shd w:val="clear" w:color="auto" w:fill="FFFFFF"/>
          <w:lang w:val="en-US" w:eastAsia="zh-CN"/>
        </w:rPr>
        <w:t>1126.13</w:t>
      </w:r>
      <w:r>
        <w:rPr>
          <w:rFonts w:hint="eastAsia" w:ascii="Times New Roman" w:hAnsi="Times New Roman" w:eastAsia="方正仿宋_GBK" w:cs="Times New Roman"/>
          <w:b w:val="0"/>
          <w:bCs w:val="0"/>
          <w:sz w:val="32"/>
          <w:szCs w:val="32"/>
          <w:shd w:val="clear" w:color="auto" w:fill="FFFFFF"/>
        </w:rPr>
        <w:t>万元，下降</w:t>
      </w:r>
      <w:r>
        <w:rPr>
          <w:rFonts w:hint="eastAsia" w:ascii="Times New Roman" w:hAnsi="Times New Roman" w:eastAsia="方正仿宋_GBK" w:cs="Times New Roman"/>
          <w:b w:val="0"/>
          <w:bCs w:val="0"/>
          <w:sz w:val="32"/>
          <w:szCs w:val="32"/>
          <w:shd w:val="clear" w:color="auto" w:fill="FFFFFF"/>
          <w:lang w:val="en-US" w:eastAsia="zh-CN"/>
        </w:rPr>
        <w:t>66</w:t>
      </w:r>
      <w:r>
        <w:rPr>
          <w:rFonts w:hint="eastAsia" w:ascii="Times New Roman" w:hAnsi="Times New Roman" w:eastAsia="方正仿宋_GBK" w:cs="Times New Roman"/>
          <w:b w:val="0"/>
          <w:bCs w:val="0"/>
          <w:sz w:val="32"/>
          <w:szCs w:val="32"/>
          <w:shd w:val="clear" w:color="auto" w:fill="FFFFFF"/>
        </w:rPr>
        <w:t>.6%。</w:t>
      </w:r>
      <w:r>
        <w:rPr>
          <w:rFonts w:hint="eastAsia" w:ascii="Times New Roman" w:hAnsi="Times New Roman" w:eastAsia="方正仿宋_GBK" w:cs="Times New Roman"/>
          <w:b w:val="0"/>
          <w:bCs w:val="0"/>
          <w:sz w:val="32"/>
          <w:szCs w:val="32"/>
          <w:shd w:val="clear" w:color="auto" w:fill="FFFFFF"/>
          <w:lang w:val="en-US" w:eastAsia="zh-CN"/>
        </w:rPr>
        <w:t>主要原因是年初预算的重庆市綦江区电子政务外网升级改造项目（二期）945.52万元项目因市级政策要求调整没有实施预算收入调减，綦江区政府网站全新改版建设81.85万元没有实施完毕，剩下的预算收入调减。</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一般公共预算财政拨款支出主要</w:t>
      </w:r>
      <w:r>
        <w:rPr>
          <w:rFonts w:hint="eastAsia" w:ascii="Times New Roman" w:hAnsi="Times New Roman" w:eastAsia="方正仿宋_GBK" w:cs="Times New Roman"/>
          <w:b w:val="0"/>
          <w:bCs w:val="0"/>
          <w:sz w:val="32"/>
          <w:szCs w:val="32"/>
          <w:shd w:val="clear" w:color="auto" w:fill="FFFFFF"/>
          <w:lang w:eastAsia="zh-CN"/>
        </w:rPr>
        <w:t>用途如下</w:t>
      </w:r>
      <w:r>
        <w:rPr>
          <w:rFonts w:hint="eastAsia" w:ascii="Times New Roman" w:hAnsi="Times New Roman" w:eastAsia="方正仿宋_GBK" w:cs="Times New Roman"/>
          <w:b w:val="0"/>
          <w:bCs w:val="0"/>
          <w:sz w:val="32"/>
          <w:szCs w:val="32"/>
          <w:shd w:val="clear" w:color="auto" w:fill="FFFFFF"/>
        </w:rPr>
        <w:t>：</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pacing w:val="-6"/>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（1）一般公共服务支出396.83万元，占70.3%，较年初预算数减少</w:t>
      </w:r>
      <w:r>
        <w:rPr>
          <w:rFonts w:hint="eastAsia" w:ascii="Times New Roman" w:hAnsi="Times New Roman" w:eastAsia="方正仿宋_GBK" w:cs="Times New Roman"/>
          <w:b w:val="0"/>
          <w:bCs w:val="0"/>
          <w:sz w:val="32"/>
          <w:szCs w:val="32"/>
          <w:shd w:val="clear" w:color="auto" w:fill="FFFFFF"/>
          <w:lang w:val="en-US" w:eastAsia="zh-CN"/>
        </w:rPr>
        <w:t>1236.54</w:t>
      </w:r>
      <w:r>
        <w:rPr>
          <w:rFonts w:hint="eastAsia" w:ascii="Times New Roman" w:hAnsi="Times New Roman" w:eastAsia="方正仿宋_GBK" w:cs="Times New Roman"/>
          <w:b w:val="0"/>
          <w:bCs w:val="0"/>
          <w:sz w:val="32"/>
          <w:szCs w:val="32"/>
          <w:shd w:val="clear" w:color="auto" w:fill="FFFFFF"/>
        </w:rPr>
        <w:t>万元，下降</w:t>
      </w:r>
      <w:r>
        <w:rPr>
          <w:rFonts w:hint="eastAsia" w:ascii="Times New Roman" w:hAnsi="Times New Roman" w:eastAsia="方正仿宋_GBK" w:cs="Times New Roman"/>
          <w:b w:val="0"/>
          <w:bCs w:val="0"/>
          <w:sz w:val="32"/>
          <w:szCs w:val="32"/>
          <w:shd w:val="clear" w:color="auto" w:fill="FFFFFF"/>
          <w:lang w:val="en-US" w:eastAsia="zh-CN"/>
        </w:rPr>
        <w:t>75.7</w:t>
      </w:r>
      <w:r>
        <w:rPr>
          <w:rFonts w:hint="eastAsia"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主要原因是年初预算的重庆市綦江区电子政务外网升级改造项目（二期）945.52万元项目因市级政策要求调整没有实施预算收入调减，綦江区政府网</w:t>
      </w:r>
      <w:r>
        <w:rPr>
          <w:rFonts w:hint="eastAsia" w:ascii="Times New Roman" w:hAnsi="Times New Roman" w:eastAsia="方正仿宋_GBK" w:cs="Times New Roman"/>
          <w:b w:val="0"/>
          <w:bCs w:val="0"/>
          <w:spacing w:val="-6"/>
          <w:sz w:val="32"/>
          <w:szCs w:val="32"/>
          <w:shd w:val="clear" w:color="auto" w:fill="FFFFFF"/>
          <w:lang w:val="en-US" w:eastAsia="zh-CN"/>
        </w:rPr>
        <w:t>站全新改版建设81.85万元没有实施完毕，剩下的预算收入调减。</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2</w:t>
      </w:r>
      <w:r>
        <w:rPr>
          <w:rFonts w:hint="eastAsia" w:ascii="Times New Roman" w:hAnsi="Times New Roman" w:eastAsia="方正仿宋_GBK" w:cs="Times New Roman"/>
          <w:b w:val="0"/>
          <w:bCs w:val="0"/>
          <w:sz w:val="32"/>
          <w:szCs w:val="32"/>
          <w:shd w:val="clear" w:color="auto" w:fill="FFFFFF"/>
        </w:rPr>
        <w:t>）科学技术支出83.32万元，占14.8%，较年初预算数增加83.32万元，增长100.0%，主要原因是</w:t>
      </w:r>
      <w:r>
        <w:rPr>
          <w:rFonts w:hint="eastAsia" w:ascii="Times New Roman" w:hAnsi="Times New Roman" w:eastAsia="方正仿宋_GBK" w:cs="Times New Roman"/>
          <w:b w:val="0"/>
          <w:bCs w:val="0"/>
          <w:sz w:val="32"/>
          <w:szCs w:val="32"/>
          <w:shd w:val="clear" w:color="auto" w:fill="FFFFFF"/>
          <w:lang w:eastAsia="zh-CN"/>
        </w:rPr>
        <w:t>支出结构调整，财政加大对科技成果转化的投入电子政务信息化运维</w:t>
      </w:r>
      <w:r>
        <w:rPr>
          <w:rFonts w:hint="eastAsia" w:ascii="Times New Roman" w:hAnsi="Times New Roman" w:eastAsia="方正仿宋_GBK" w:cs="Times New Roman"/>
          <w:b w:val="0"/>
          <w:bCs w:val="0"/>
          <w:sz w:val="32"/>
          <w:szCs w:val="32"/>
          <w:shd w:val="clear" w:color="auto" w:fill="FFFFFF"/>
          <w:lang w:val="en-US" w:eastAsia="zh-CN"/>
        </w:rPr>
        <w:t>83.32万元。</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3</w:t>
      </w:r>
      <w:r>
        <w:rPr>
          <w:rFonts w:hint="eastAsia" w:ascii="Times New Roman" w:hAnsi="Times New Roman" w:eastAsia="方正仿宋_GBK" w:cs="Times New Roman"/>
          <w:b w:val="0"/>
          <w:bCs w:val="0"/>
          <w:sz w:val="32"/>
          <w:szCs w:val="32"/>
          <w:shd w:val="clear" w:color="auto" w:fill="FFFFFF"/>
        </w:rPr>
        <w:t>）社会保障</w:t>
      </w:r>
      <w:r>
        <w:rPr>
          <w:rFonts w:hint="eastAsia" w:ascii="Times New Roman" w:hAnsi="Times New Roman" w:eastAsia="方正仿宋_GBK" w:cs="Times New Roman"/>
          <w:b w:val="0"/>
          <w:bCs w:val="0"/>
          <w:sz w:val="32"/>
          <w:szCs w:val="32"/>
          <w:shd w:val="clear" w:color="auto" w:fill="FFFFFF"/>
          <w:lang w:eastAsia="zh-CN"/>
        </w:rPr>
        <w:t>和</w:t>
      </w:r>
      <w:r>
        <w:rPr>
          <w:rFonts w:hint="eastAsia" w:ascii="Times New Roman" w:hAnsi="Times New Roman" w:eastAsia="方正仿宋_GBK" w:cs="Times New Roman"/>
          <w:b w:val="0"/>
          <w:bCs w:val="0"/>
          <w:sz w:val="32"/>
          <w:szCs w:val="32"/>
          <w:shd w:val="clear" w:color="auto" w:fill="FFFFFF"/>
        </w:rPr>
        <w:t>就业支出47.99万元，占8.5%，较年初预算数增加18.94万元，增长65.2%，主要原因是增人增资，</w:t>
      </w:r>
      <w:r>
        <w:rPr>
          <w:rFonts w:hint="eastAsia" w:ascii="Times New Roman" w:hAnsi="Times New Roman" w:eastAsia="方正仿宋_GBK" w:cs="Times New Roman"/>
          <w:b w:val="0"/>
          <w:bCs w:val="0"/>
          <w:sz w:val="32"/>
          <w:szCs w:val="32"/>
          <w:shd w:val="clear" w:color="auto" w:fill="FFFFFF"/>
          <w:lang w:eastAsia="zh-CN"/>
        </w:rPr>
        <w:t>补缴</w:t>
      </w:r>
      <w:r>
        <w:rPr>
          <w:rFonts w:hint="eastAsia" w:ascii="Times New Roman" w:hAnsi="Times New Roman" w:eastAsia="方正仿宋_GBK" w:cs="Times New Roman"/>
          <w:b w:val="0"/>
          <w:bCs w:val="0"/>
          <w:sz w:val="32"/>
          <w:szCs w:val="32"/>
          <w:shd w:val="clear" w:color="auto" w:fill="FFFFFF"/>
        </w:rPr>
        <w:t>养老保险职业年金支出。</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4</w:t>
      </w:r>
      <w:r>
        <w:rPr>
          <w:rFonts w:hint="eastAsia" w:ascii="Times New Roman" w:hAnsi="Times New Roman" w:eastAsia="方正仿宋_GBK" w:cs="Times New Roman"/>
          <w:b w:val="0"/>
          <w:bCs w:val="0"/>
          <w:sz w:val="32"/>
          <w:szCs w:val="32"/>
          <w:shd w:val="clear" w:color="auto" w:fill="FFFFFF"/>
        </w:rPr>
        <w:t>）卫生健康支出15.48万元，占2.7%，较年初预算数增加1.74万元，增长12.7%，主要原因是增人增资，增加</w:t>
      </w:r>
      <w:r>
        <w:rPr>
          <w:rFonts w:hint="eastAsia" w:ascii="Times New Roman" w:hAnsi="Times New Roman" w:eastAsia="方正仿宋_GBK" w:cs="Times New Roman"/>
          <w:b w:val="0"/>
          <w:bCs w:val="0"/>
          <w:sz w:val="32"/>
          <w:szCs w:val="32"/>
          <w:shd w:val="clear" w:color="auto" w:fill="FFFFFF"/>
          <w:lang w:eastAsia="zh-CN"/>
        </w:rPr>
        <w:t>医疗保险缴费</w:t>
      </w:r>
      <w:r>
        <w:rPr>
          <w:rFonts w:hint="eastAsia" w:ascii="Times New Roman" w:hAnsi="Times New Roman" w:eastAsia="方正仿宋_GBK" w:cs="Times New Roman"/>
          <w:b w:val="0"/>
          <w:bCs w:val="0"/>
          <w:sz w:val="32"/>
          <w:szCs w:val="32"/>
          <w:shd w:val="clear" w:color="auto" w:fill="FFFFFF"/>
        </w:rPr>
        <w:t>支出。</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5</w:t>
      </w:r>
      <w:r>
        <w:rPr>
          <w:rFonts w:hint="eastAsia" w:ascii="Times New Roman" w:hAnsi="Times New Roman" w:eastAsia="方正仿宋_GBK" w:cs="Times New Roman"/>
          <w:b w:val="0"/>
          <w:bCs w:val="0"/>
          <w:sz w:val="32"/>
          <w:szCs w:val="32"/>
          <w:shd w:val="clear" w:color="auto" w:fill="FFFFFF"/>
        </w:rPr>
        <w:t>）住房保障支出20.93万元，占3.7%，较年初预算数增加6.41万元，增长44.2%，主要原因是增人增资，增加</w:t>
      </w:r>
      <w:r>
        <w:rPr>
          <w:rFonts w:hint="eastAsia" w:ascii="Times New Roman" w:hAnsi="Times New Roman" w:eastAsia="方正仿宋_GBK" w:cs="Times New Roman"/>
          <w:b w:val="0"/>
          <w:bCs w:val="0"/>
          <w:sz w:val="32"/>
          <w:szCs w:val="32"/>
          <w:shd w:val="clear" w:color="auto" w:fill="FFFFFF"/>
          <w:lang w:eastAsia="zh-CN"/>
        </w:rPr>
        <w:t>住房公积金缴费</w:t>
      </w:r>
      <w:r>
        <w:rPr>
          <w:rFonts w:hint="eastAsia" w:ascii="Times New Roman" w:hAnsi="Times New Roman" w:eastAsia="方正仿宋_GBK" w:cs="Times New Roman"/>
          <w:b w:val="0"/>
          <w:bCs w:val="0"/>
          <w:sz w:val="32"/>
          <w:szCs w:val="32"/>
          <w:shd w:val="clear" w:color="auto" w:fill="FFFFFF"/>
        </w:rPr>
        <w:t>支出。</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eastAsia="zh-CN"/>
        </w:rPr>
      </w:pPr>
      <w:r>
        <w:rPr>
          <w:rFonts w:hint="eastAsia" w:ascii="Times New Roman" w:hAnsi="Times New Roman" w:eastAsia="方正仿宋_GBK" w:cs="Times New Roman"/>
          <w:b w:val="0"/>
          <w:bCs w:val="0"/>
          <w:sz w:val="32"/>
          <w:szCs w:val="32"/>
          <w:shd w:val="clear" w:color="auto" w:fill="FFFFFF"/>
        </w:rPr>
        <w:t>3</w:t>
      </w:r>
      <w:r>
        <w:rPr>
          <w:rFonts w:hint="eastAsia"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rPr>
        <w:t>结转结余情况。2024年度年末一般公共预算财政拨款结转和结余0万元，与2023年度相比，无增减</w:t>
      </w:r>
      <w:r>
        <w:rPr>
          <w:rFonts w:hint="eastAsia" w:ascii="Times New Roman" w:hAnsi="Times New Roman" w:eastAsia="方正仿宋_GBK" w:cs="Times New Roman"/>
          <w:b w:val="0"/>
          <w:bCs w:val="0"/>
          <w:sz w:val="32"/>
          <w:szCs w:val="32"/>
          <w:shd w:val="clear" w:color="auto" w:fill="FFFFFF"/>
          <w:lang w:eastAsia="zh-CN"/>
        </w:rPr>
        <w:t>。</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2024年度一般公共财政拨款基本支出383.08万元。其中：</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人员经费341.90万元，与2023年度相比，增加76.19万元，增长28.7%，主要原因是</w:t>
      </w:r>
      <w:r>
        <w:rPr>
          <w:rFonts w:hint="eastAsia" w:ascii="Times New Roman" w:hAnsi="Times New Roman" w:eastAsia="方正仿宋_GBK" w:cs="Times New Roman"/>
          <w:b w:val="0"/>
          <w:bCs w:val="0"/>
          <w:sz w:val="32"/>
          <w:szCs w:val="32"/>
          <w:shd w:val="clear" w:color="auto" w:fill="FFFFFF"/>
          <w:lang w:eastAsia="zh-CN"/>
        </w:rPr>
        <w:t>增人增资，补缴社保缴费支出等。</w:t>
      </w:r>
      <w:r>
        <w:rPr>
          <w:rFonts w:hint="eastAsia" w:ascii="Times New Roman" w:hAnsi="Times New Roman" w:eastAsia="方正仿宋_GBK" w:cs="Times New Roman"/>
          <w:b w:val="0"/>
          <w:bCs w:val="0"/>
          <w:sz w:val="32"/>
          <w:szCs w:val="32"/>
          <w:shd w:val="clear" w:color="auto" w:fill="FFFFFF"/>
          <w:lang w:val="en-US" w:eastAsia="zh-CN"/>
        </w:rPr>
        <w:t>人员经费用途主要包括基本工资、津贴补贴、绩效工资、社会保障缴费、住房公积金等。</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val="en-US" w:eastAsia="zh-CN"/>
        </w:rPr>
      </w:pPr>
      <w:r>
        <w:rPr>
          <w:rFonts w:hint="eastAsia" w:ascii="Times New Roman" w:hAnsi="Times New Roman" w:eastAsia="方正仿宋_GBK" w:cs="Times New Roman"/>
          <w:b w:val="0"/>
          <w:bCs w:val="0"/>
          <w:sz w:val="32"/>
          <w:szCs w:val="32"/>
          <w:shd w:val="clear" w:color="auto" w:fill="FFFFFF"/>
        </w:rPr>
        <w:t>公用经费41.17万元，与2023年度相比，增加13.23万元，增长47.4%，</w:t>
      </w:r>
      <w:r>
        <w:rPr>
          <w:rFonts w:hint="eastAsia" w:ascii="Times New Roman" w:hAnsi="Times New Roman" w:eastAsia="方正仿宋_GBK" w:cs="Times New Roman"/>
          <w:b w:val="0"/>
          <w:bCs w:val="0"/>
          <w:sz w:val="32"/>
          <w:szCs w:val="32"/>
          <w:shd w:val="clear" w:color="auto" w:fill="FFFFFF"/>
          <w:lang w:val="en-US" w:eastAsia="zh-CN"/>
        </w:rPr>
        <w:t>主要原因是业务管理增加，劳务费支出增加，公用经费增加。公用经费用途主要包括办公费、培训费、劳务费、工会经费、公务用车运行维护费等。</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本</w:t>
      </w:r>
      <w:r>
        <w:rPr>
          <w:rFonts w:hint="eastAsia" w:ascii="Times New Roman" w:hAnsi="Times New Roman" w:eastAsia="方正仿宋_GBK" w:cs="Times New Roman"/>
          <w:b w:val="0"/>
          <w:bCs w:val="0"/>
          <w:sz w:val="32"/>
          <w:szCs w:val="32"/>
          <w:shd w:val="clear" w:color="auto" w:fill="FFFFFF"/>
          <w:lang w:eastAsia="zh-CN"/>
        </w:rPr>
        <w:t>单位</w:t>
      </w:r>
      <w:r>
        <w:rPr>
          <w:rFonts w:hint="eastAsia" w:ascii="Times New Roman" w:hAnsi="Times New Roman" w:eastAsia="方正仿宋_GBK" w:cs="Times New Roman"/>
          <w:b w:val="0"/>
          <w:bCs w:val="0"/>
          <w:sz w:val="32"/>
          <w:szCs w:val="32"/>
          <w:shd w:val="clear" w:color="auto" w:fill="FFFFFF"/>
        </w:rPr>
        <w:t>2024年度无政府性基金预算财政拨款收支。</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本</w:t>
      </w:r>
      <w:r>
        <w:rPr>
          <w:rFonts w:hint="eastAsia" w:ascii="Times New Roman" w:hAnsi="Times New Roman" w:eastAsia="方正仿宋_GBK" w:cs="Times New Roman"/>
          <w:b w:val="0"/>
          <w:bCs w:val="0"/>
          <w:sz w:val="32"/>
          <w:szCs w:val="32"/>
          <w:shd w:val="clear" w:color="auto" w:fill="FFFFFF"/>
          <w:lang w:eastAsia="zh-CN"/>
        </w:rPr>
        <w:t>单位</w:t>
      </w:r>
      <w:r>
        <w:rPr>
          <w:rFonts w:hint="eastAsia" w:ascii="Times New Roman" w:hAnsi="Times New Roman" w:eastAsia="方正仿宋_GBK" w:cs="Times New Roman"/>
          <w:b w:val="0"/>
          <w:bCs w:val="0"/>
          <w:sz w:val="32"/>
          <w:szCs w:val="32"/>
          <w:shd w:val="clear" w:color="auto" w:fill="FFFFFF"/>
        </w:rPr>
        <w:t>2024年度无国有资本经营预算财政拨款支出。</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黑体_GBK" w:hAnsi="方正黑体_GBK" w:eastAsia="方正黑体_GBK" w:cs="方正黑体_GBK"/>
          <w:b w:val="0"/>
          <w:bCs w:val="0"/>
          <w:sz w:val="32"/>
          <w:szCs w:val="32"/>
          <w:shd w:val="clear" w:color="auto" w:fill="FFFFFF"/>
        </w:rPr>
      </w:pPr>
      <w:r>
        <w:rPr>
          <w:rFonts w:hint="eastAsia" w:ascii="方正黑体_GBK" w:hAnsi="方正黑体_GBK" w:eastAsia="方正黑体_GBK" w:cs="方正黑体_GBK"/>
          <w:b w:val="0"/>
          <w:bCs w:val="0"/>
          <w:sz w:val="32"/>
          <w:szCs w:val="32"/>
          <w:shd w:val="clear" w:color="auto" w:fill="FFFFFF"/>
        </w:rPr>
        <w:t>三、</w:t>
      </w:r>
      <w:r>
        <w:rPr>
          <w:rFonts w:hint="eastAsia" w:ascii="方正黑体_GBK" w:hAnsi="方正黑体_GBK" w:eastAsia="方正黑体_GBK" w:cs="方正黑体_GBK"/>
          <w:b w:val="0"/>
          <w:bCs w:val="0"/>
          <w:sz w:val="32"/>
          <w:szCs w:val="32"/>
          <w:shd w:val="clear" w:color="auto" w:fill="FFFFFF"/>
          <w:lang w:eastAsia="zh-CN"/>
        </w:rPr>
        <w:t>财政拨款</w:t>
      </w:r>
      <w:r>
        <w:rPr>
          <w:rFonts w:hint="eastAsia" w:ascii="方正黑体_GBK" w:hAnsi="方正黑体_GBK" w:eastAsia="方正黑体_GBK" w:cs="方正黑体_GBK"/>
          <w:b w:val="0"/>
          <w:bCs w:val="0"/>
          <w:sz w:val="32"/>
          <w:szCs w:val="32"/>
          <w:shd w:val="clear" w:color="auto" w:fill="FFFFFF"/>
        </w:rPr>
        <w:t>“三公”经费情况说明</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2024年度“三公”经费支出共计3.01万元，较年初预算数减少1.99万元，下降39.8%，</w:t>
      </w:r>
      <w:r>
        <w:rPr>
          <w:rFonts w:hint="eastAsia" w:ascii="Times New Roman" w:hAnsi="Times New Roman" w:eastAsia="方正仿宋_GBK" w:cs="Times New Roman"/>
          <w:b w:val="0"/>
          <w:bCs w:val="0"/>
          <w:sz w:val="32"/>
          <w:szCs w:val="32"/>
          <w:shd w:val="clear" w:color="auto" w:fill="FFFFFF"/>
          <w:lang w:val="en-US" w:eastAsia="zh-CN"/>
        </w:rPr>
        <w:t>主要原因：一是认真贯彻落实中央八项规定</w:t>
      </w:r>
      <w:bookmarkStart w:id="0" w:name="_GoBack"/>
      <w:bookmarkEnd w:id="0"/>
      <w:r>
        <w:rPr>
          <w:rFonts w:hint="eastAsia" w:ascii="Times New Roman" w:hAnsi="Times New Roman" w:eastAsia="方正仿宋_GBK" w:cs="Times New Roman"/>
          <w:b w:val="0"/>
          <w:bCs w:val="0"/>
          <w:sz w:val="32"/>
          <w:szCs w:val="32"/>
          <w:shd w:val="clear" w:color="auto" w:fill="FFFFFF"/>
          <w:lang w:val="en-US" w:eastAsia="zh-CN"/>
        </w:rPr>
        <w:t>精神和厉行节约要求，按照只减不增的要求从严控制“三公”经费，全年支出较预算有所下降；二是严格落实公务车使用规定，严格控制公务车辆运行费用。</w:t>
      </w:r>
      <w:r>
        <w:rPr>
          <w:rFonts w:hint="eastAsia" w:ascii="Times New Roman" w:hAnsi="Times New Roman" w:eastAsia="方正仿宋_GBK" w:cs="Times New Roman"/>
          <w:b w:val="0"/>
          <w:bCs w:val="0"/>
          <w:sz w:val="32"/>
          <w:szCs w:val="32"/>
          <w:shd w:val="clear" w:color="auto" w:fill="FFFFFF"/>
        </w:rPr>
        <w:t>较上年支出数增加1.02万元，增长51.3%，主要原因是</w:t>
      </w:r>
      <w:r>
        <w:rPr>
          <w:rFonts w:hint="eastAsia" w:ascii="Times New Roman" w:hAnsi="Times New Roman" w:eastAsia="方正仿宋_GBK" w:cs="Times New Roman"/>
          <w:b w:val="0"/>
          <w:bCs w:val="0"/>
          <w:sz w:val="32"/>
          <w:szCs w:val="32"/>
          <w:shd w:val="clear" w:color="auto" w:fill="FFFFFF"/>
          <w:lang w:val="en-US" w:eastAsia="zh-CN"/>
        </w:rPr>
        <w:t>业务管理增加，公务出行增加，公车运行费用增加，工作需要招商引资工作力度加大接待增加。</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val="en-US" w:eastAsia="zh-CN"/>
        </w:rPr>
      </w:pPr>
      <w:r>
        <w:rPr>
          <w:rFonts w:hint="eastAsia" w:ascii="Times New Roman" w:hAnsi="Times New Roman" w:eastAsia="方正仿宋_GBK" w:cs="Times New Roman"/>
          <w:b w:val="0"/>
          <w:bCs w:val="0"/>
          <w:sz w:val="32"/>
          <w:szCs w:val="32"/>
          <w:shd w:val="clear" w:color="auto" w:fill="FFFFFF"/>
        </w:rPr>
        <w:t>2024</w:t>
      </w:r>
      <w:r>
        <w:rPr>
          <w:rFonts w:hint="eastAsia" w:ascii="Times New Roman" w:hAnsi="Times New Roman" w:eastAsia="方正仿宋_GBK" w:cs="Times New Roman"/>
          <w:b w:val="0"/>
          <w:bCs w:val="0"/>
          <w:sz w:val="32"/>
          <w:szCs w:val="32"/>
          <w:shd w:val="clear" w:color="auto" w:fill="FFFFFF"/>
          <w:lang w:val="en-US" w:eastAsia="zh-CN"/>
        </w:rPr>
        <w:t>年度本单位因公出国（境）费用0万元，费用支出较年初预算数无增减，较上年支出数无增减，主要原因是严格控制因公出国（境），全年未批因公出国（境）。</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lang w:val="en-US" w:eastAsia="zh-CN"/>
        </w:rPr>
        <w:t> 公务车购置费0万元，费用支出较年初预算数无增减，较上年支出数无增减，主要原因是严格控制公务车辆购置，全年未购置公务车辆。</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公务</w:t>
      </w:r>
      <w:r>
        <w:rPr>
          <w:rFonts w:hint="eastAsia" w:ascii="Times New Roman" w:hAnsi="Times New Roman" w:eastAsia="方正仿宋_GBK" w:cs="Times New Roman"/>
          <w:b w:val="0"/>
          <w:bCs w:val="0"/>
          <w:sz w:val="32"/>
          <w:szCs w:val="32"/>
          <w:shd w:val="clear" w:color="auto" w:fill="FFFFFF"/>
          <w:lang w:eastAsia="zh-CN"/>
        </w:rPr>
        <w:t>用</w:t>
      </w:r>
      <w:r>
        <w:rPr>
          <w:rFonts w:hint="eastAsia" w:ascii="Times New Roman" w:hAnsi="Times New Roman" w:eastAsia="方正仿宋_GBK" w:cs="Times New Roman"/>
          <w:b w:val="0"/>
          <w:bCs w:val="0"/>
          <w:sz w:val="32"/>
          <w:szCs w:val="32"/>
          <w:shd w:val="clear" w:color="auto" w:fill="FFFFFF"/>
        </w:rPr>
        <w:t>车运行维护费1.54万元，</w:t>
      </w:r>
      <w:r>
        <w:rPr>
          <w:rFonts w:hint="eastAsia" w:ascii="Times New Roman" w:hAnsi="Times New Roman" w:eastAsia="方正仿宋_GBK" w:cs="Times New Roman"/>
          <w:b w:val="0"/>
          <w:bCs w:val="0"/>
          <w:sz w:val="32"/>
          <w:szCs w:val="32"/>
          <w:shd w:val="clear" w:color="auto" w:fill="FFFFFF"/>
          <w:lang w:val="en-US" w:eastAsia="zh-CN"/>
        </w:rPr>
        <w:t>主要用于应急保障、市内因公出行等工作所需车辆的燃料费、维修费、过桥过路费、保险费等。</w:t>
      </w:r>
      <w:r>
        <w:rPr>
          <w:rFonts w:hint="eastAsia" w:ascii="Times New Roman" w:hAnsi="Times New Roman" w:eastAsia="方正仿宋_GBK" w:cs="Times New Roman"/>
          <w:b w:val="0"/>
          <w:bCs w:val="0"/>
          <w:sz w:val="32"/>
          <w:szCs w:val="32"/>
          <w:shd w:val="clear" w:color="auto" w:fill="FFFFFF"/>
        </w:rPr>
        <w:t>费用支出较年初预算数减少1.96万元，下降56.0%，</w:t>
      </w:r>
      <w:r>
        <w:rPr>
          <w:rFonts w:hint="eastAsia" w:ascii="Times New Roman" w:hAnsi="Times New Roman" w:eastAsia="方正仿宋_GBK" w:cs="Times New Roman"/>
          <w:b w:val="0"/>
          <w:bCs w:val="0"/>
          <w:sz w:val="32"/>
          <w:szCs w:val="32"/>
          <w:shd w:val="clear" w:color="auto" w:fill="FFFFFF"/>
          <w:lang w:val="en-US" w:eastAsia="zh-CN"/>
        </w:rPr>
        <w:t>主要原因是严格落实公务车使用规定，严格控制公务车辆运行费用。</w:t>
      </w:r>
      <w:r>
        <w:rPr>
          <w:rFonts w:hint="eastAsia" w:ascii="Times New Roman" w:hAnsi="Times New Roman" w:eastAsia="方正仿宋_GBK" w:cs="Times New Roman"/>
          <w:b w:val="0"/>
          <w:bCs w:val="0"/>
          <w:sz w:val="32"/>
          <w:szCs w:val="32"/>
          <w:shd w:val="clear" w:color="auto" w:fill="FFFFFF"/>
        </w:rPr>
        <w:t>较上年支出数增加0.22万元，增长16.7%，主要原因是</w:t>
      </w:r>
      <w:r>
        <w:rPr>
          <w:rFonts w:hint="eastAsia" w:ascii="Times New Roman" w:hAnsi="Times New Roman" w:eastAsia="方正仿宋_GBK" w:cs="Times New Roman"/>
          <w:b w:val="0"/>
          <w:bCs w:val="0"/>
          <w:sz w:val="32"/>
          <w:szCs w:val="32"/>
          <w:shd w:val="clear" w:color="auto" w:fill="FFFFFF"/>
          <w:lang w:val="en-US" w:eastAsia="zh-CN"/>
        </w:rPr>
        <w:t>业务管理增加，公务出行增加，运行费用增加。</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公务接待费1.47万元，</w:t>
      </w:r>
      <w:r>
        <w:rPr>
          <w:rFonts w:hint="eastAsia" w:ascii="Times New Roman" w:hAnsi="Times New Roman" w:eastAsia="方正仿宋_GBK" w:cs="Times New Roman"/>
          <w:b w:val="0"/>
          <w:bCs w:val="0"/>
          <w:sz w:val="32"/>
          <w:szCs w:val="32"/>
          <w:shd w:val="clear" w:color="auto" w:fill="FFFFFF"/>
          <w:lang w:val="en-US" w:eastAsia="zh-CN"/>
        </w:rPr>
        <w:t>主要用于接待招商引资企业发生的支出。</w:t>
      </w:r>
      <w:r>
        <w:rPr>
          <w:rFonts w:hint="eastAsia" w:ascii="Times New Roman" w:hAnsi="Times New Roman" w:eastAsia="方正仿宋_GBK" w:cs="Times New Roman"/>
          <w:b w:val="0"/>
          <w:bCs w:val="0"/>
          <w:sz w:val="32"/>
          <w:szCs w:val="32"/>
          <w:shd w:val="clear" w:color="auto" w:fill="FFFFFF"/>
        </w:rPr>
        <w:t>费用支出较年初预算数减少0.03万元，下降2.0%，</w:t>
      </w:r>
      <w:r>
        <w:rPr>
          <w:rFonts w:hint="eastAsia" w:ascii="Times New Roman" w:hAnsi="Times New Roman" w:eastAsia="方正仿宋_GBK" w:cs="Times New Roman"/>
          <w:b w:val="0"/>
          <w:bCs w:val="0"/>
          <w:sz w:val="32"/>
          <w:szCs w:val="32"/>
          <w:shd w:val="clear" w:color="auto" w:fill="FFFFFF"/>
          <w:lang w:val="en-US" w:eastAsia="zh-CN"/>
        </w:rPr>
        <w:t>主要原因是从严控制接待范围和接待标准。</w:t>
      </w:r>
      <w:r>
        <w:rPr>
          <w:rFonts w:hint="eastAsia" w:ascii="Times New Roman" w:hAnsi="Times New Roman" w:eastAsia="方正仿宋_GBK" w:cs="Times New Roman"/>
          <w:b w:val="0"/>
          <w:bCs w:val="0"/>
          <w:sz w:val="32"/>
          <w:szCs w:val="32"/>
          <w:shd w:val="clear" w:color="auto" w:fill="FFFFFF"/>
        </w:rPr>
        <w:t>较上年支出数增加0.80万元，增长119.4%，</w:t>
      </w:r>
      <w:r>
        <w:rPr>
          <w:rFonts w:hint="eastAsia" w:ascii="Times New Roman" w:hAnsi="Times New Roman" w:eastAsia="方正仿宋_GBK" w:cs="Times New Roman"/>
          <w:b w:val="0"/>
          <w:bCs w:val="0"/>
          <w:sz w:val="32"/>
          <w:szCs w:val="32"/>
          <w:shd w:val="clear" w:color="auto" w:fill="FFFFFF"/>
          <w:lang w:val="en-US" w:eastAsia="zh-CN"/>
        </w:rPr>
        <w:t>主要原因是工作需要招商引资工作力度加大接待增加。</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2024年度本</w:t>
      </w:r>
      <w:r>
        <w:rPr>
          <w:rFonts w:hint="eastAsia" w:ascii="Times New Roman" w:hAnsi="Times New Roman" w:eastAsia="方正仿宋_GBK" w:cs="Times New Roman"/>
          <w:b w:val="0"/>
          <w:bCs w:val="0"/>
          <w:sz w:val="32"/>
          <w:szCs w:val="32"/>
          <w:shd w:val="clear" w:color="auto" w:fill="FFFFFF"/>
          <w:lang w:eastAsia="zh-CN"/>
        </w:rPr>
        <w:t>单位</w:t>
      </w:r>
      <w:r>
        <w:rPr>
          <w:rFonts w:hint="eastAsia" w:ascii="Times New Roman" w:hAnsi="Times New Roman" w:eastAsia="方正仿宋_GBK" w:cs="Times New Roman"/>
          <w:b w:val="0"/>
          <w:bCs w:val="0"/>
          <w:sz w:val="32"/>
          <w:szCs w:val="32"/>
          <w:shd w:val="clear" w:color="auto" w:fill="FFFFFF"/>
        </w:rPr>
        <w:t>因公出国（境）共计0个团组，0人；公务用车购置0辆，公务车保有量为1辆；国内公务接待17批次150人，其中：国内外事接待0批次，0人；国（境）外公务接待0批次，0人。2024年本</w:t>
      </w:r>
      <w:r>
        <w:rPr>
          <w:rFonts w:hint="eastAsia" w:ascii="Times New Roman" w:hAnsi="Times New Roman" w:eastAsia="方正仿宋_GBK" w:cs="Times New Roman"/>
          <w:b w:val="0"/>
          <w:bCs w:val="0"/>
          <w:sz w:val="32"/>
          <w:szCs w:val="32"/>
          <w:shd w:val="clear" w:color="auto" w:fill="FFFFFF"/>
          <w:lang w:eastAsia="zh-CN"/>
        </w:rPr>
        <w:t>单位</w:t>
      </w:r>
      <w:r>
        <w:rPr>
          <w:rFonts w:hint="eastAsia" w:ascii="Times New Roman" w:hAnsi="Times New Roman" w:eastAsia="方正仿宋_GBK" w:cs="Times New Roman"/>
          <w:b w:val="0"/>
          <w:bCs w:val="0"/>
          <w:sz w:val="32"/>
          <w:szCs w:val="32"/>
          <w:shd w:val="clear" w:color="auto" w:fill="FFFFFF"/>
        </w:rPr>
        <w:t>人均接待费98.25元，车均购置费0万元，车均维护费1.54万元。</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黑体_GBK" w:hAnsi="方正黑体_GBK" w:eastAsia="方正黑体_GBK" w:cs="方正黑体_GBK"/>
          <w:b w:val="0"/>
          <w:bCs w:val="0"/>
          <w:sz w:val="32"/>
          <w:szCs w:val="32"/>
          <w:shd w:val="clear" w:color="auto" w:fill="FFFFFF"/>
        </w:rPr>
      </w:pPr>
      <w:r>
        <w:rPr>
          <w:rFonts w:hint="eastAsia" w:ascii="方正黑体_GBK" w:hAnsi="方正黑体_GBK" w:eastAsia="方正黑体_GBK" w:cs="方正黑体_GBK"/>
          <w:b w:val="0"/>
          <w:bCs w:val="0"/>
          <w:sz w:val="32"/>
          <w:szCs w:val="32"/>
          <w:shd w:val="clear" w:color="auto" w:fill="FFFFFF"/>
        </w:rPr>
        <w:t>四、其他需要说明的事项</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本年度会议费支出0.23万元，与2023年度相比，减少0.75万元，下降76.5%，</w:t>
      </w:r>
      <w:r>
        <w:rPr>
          <w:rFonts w:hint="eastAsia" w:ascii="Times New Roman" w:hAnsi="Times New Roman" w:eastAsia="方正仿宋_GBK" w:cs="Times New Roman"/>
          <w:b w:val="0"/>
          <w:bCs w:val="0"/>
          <w:sz w:val="32"/>
          <w:szCs w:val="32"/>
          <w:shd w:val="clear" w:color="auto" w:fill="FFFFFF"/>
          <w:lang w:val="en-US" w:eastAsia="zh-CN"/>
        </w:rPr>
        <w:t>主要原因是工作安排会议减少。</w:t>
      </w:r>
      <w:r>
        <w:rPr>
          <w:rFonts w:hint="eastAsia" w:ascii="Times New Roman" w:hAnsi="Times New Roman" w:eastAsia="方正仿宋_GBK" w:cs="Times New Roman"/>
          <w:b w:val="0"/>
          <w:bCs w:val="0"/>
          <w:sz w:val="32"/>
          <w:szCs w:val="32"/>
          <w:shd w:val="clear" w:color="auto" w:fill="FFFFFF"/>
        </w:rPr>
        <w:t>本年度培训费支出0.04万元，与2023年度相比，减少0.10万元，下降71.4%，</w:t>
      </w:r>
      <w:r>
        <w:rPr>
          <w:rFonts w:hint="eastAsia" w:ascii="Times New Roman" w:hAnsi="Times New Roman" w:eastAsia="方正仿宋_GBK" w:cs="Times New Roman"/>
          <w:b w:val="0"/>
          <w:bCs w:val="0"/>
          <w:sz w:val="32"/>
          <w:szCs w:val="32"/>
          <w:shd w:val="clear" w:color="auto" w:fill="FFFFFF"/>
          <w:lang w:val="en-US" w:eastAsia="zh-CN"/>
        </w:rPr>
        <w:t>主要原因是参加培训减少。</w:t>
      </w:r>
      <w:r>
        <w:rPr>
          <w:rFonts w:hint="eastAsia" w:ascii="Times New Roman" w:hAnsi="Times New Roman" w:eastAsia="方正仿宋_GBK" w:cs="Times New Roman"/>
          <w:b w:val="0"/>
          <w:bCs w:val="0"/>
          <w:sz w:val="32"/>
          <w:szCs w:val="32"/>
          <w:shd w:val="clear" w:color="auto" w:fill="FFFFFF"/>
        </w:rPr>
        <w:t>本年度差旅费支出1.67万元，与2023年度相比，增加1.67万元，增长100.0%，</w:t>
      </w:r>
      <w:r>
        <w:rPr>
          <w:rFonts w:hint="eastAsia" w:ascii="Times New Roman" w:hAnsi="Times New Roman" w:eastAsia="方正仿宋_GBK" w:cs="Times New Roman"/>
          <w:b w:val="0"/>
          <w:bCs w:val="0"/>
          <w:sz w:val="32"/>
          <w:szCs w:val="32"/>
          <w:shd w:val="clear" w:color="auto" w:fill="FFFFFF"/>
          <w:lang w:val="en-US" w:eastAsia="zh-CN"/>
        </w:rPr>
        <w:t>主要原因是业务管理增加，公务出行增加，差旅费增加。</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按照部门决算列报口径，我</w:t>
      </w:r>
      <w:r>
        <w:rPr>
          <w:rFonts w:hint="eastAsia" w:ascii="Times New Roman" w:hAnsi="Times New Roman" w:eastAsia="方正仿宋_GBK" w:cs="Times New Roman"/>
          <w:b w:val="0"/>
          <w:bCs w:val="0"/>
          <w:sz w:val="32"/>
          <w:szCs w:val="32"/>
          <w:shd w:val="clear" w:color="auto" w:fill="FFFFFF"/>
          <w:lang w:eastAsia="zh-CN"/>
        </w:rPr>
        <w:t>单位</w:t>
      </w:r>
      <w:r>
        <w:rPr>
          <w:rFonts w:hint="eastAsia" w:ascii="Times New Roman" w:hAnsi="Times New Roman" w:eastAsia="方正仿宋_GBK" w:cs="Times New Roman"/>
          <w:b w:val="0"/>
          <w:bCs w:val="0"/>
          <w:sz w:val="32"/>
          <w:szCs w:val="32"/>
          <w:shd w:val="clear" w:color="auto" w:fill="FFFFFF"/>
        </w:rPr>
        <w:t>不在机关运行经费统计范围之内。</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截至2024年12月31日，本</w:t>
      </w:r>
      <w:r>
        <w:rPr>
          <w:rFonts w:hint="eastAsia" w:ascii="Times New Roman" w:hAnsi="Times New Roman" w:eastAsia="方正仿宋_GBK" w:cs="Times New Roman"/>
          <w:b w:val="0"/>
          <w:bCs w:val="0"/>
          <w:sz w:val="32"/>
          <w:szCs w:val="32"/>
          <w:shd w:val="clear" w:color="auto" w:fill="FFFFFF"/>
          <w:lang w:eastAsia="zh-CN"/>
        </w:rPr>
        <w:t>单位</w:t>
      </w:r>
      <w:r>
        <w:rPr>
          <w:rFonts w:hint="eastAsia" w:ascii="Times New Roman" w:hAnsi="Times New Roman" w:eastAsia="方正仿宋_GBK" w:cs="Times New Roman"/>
          <w:b w:val="0"/>
          <w:bCs w:val="0"/>
          <w:sz w:val="32"/>
          <w:szCs w:val="32"/>
          <w:shd w:val="clear" w:color="auto" w:fill="FFFFFF"/>
        </w:rPr>
        <w:t>共有车辆1辆，其中，副部（省）级及以上领导用车0辆、主要负责人用车0辆、机要通信用车0辆、应急保障用车1辆、执法执勤用车0辆，特种专业技术用车0辆，离退休干部用车0辆。单价100万元（含）以上专用设备0台（套）。</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2024年度我</w:t>
      </w:r>
      <w:r>
        <w:rPr>
          <w:rFonts w:hint="eastAsia" w:ascii="Times New Roman" w:hAnsi="Times New Roman" w:eastAsia="方正仿宋_GBK" w:cs="Times New Roman"/>
          <w:b w:val="0"/>
          <w:bCs w:val="0"/>
          <w:sz w:val="32"/>
          <w:szCs w:val="32"/>
          <w:shd w:val="clear" w:color="auto" w:fill="FFFFFF"/>
          <w:lang w:eastAsia="zh-CN"/>
        </w:rPr>
        <w:t>单位</w:t>
      </w:r>
      <w:r>
        <w:rPr>
          <w:rFonts w:hint="eastAsia" w:ascii="Times New Roman" w:hAnsi="Times New Roman" w:eastAsia="方正仿宋_GBK" w:cs="Times New Roman"/>
          <w:b w:val="0"/>
          <w:bCs w:val="0"/>
          <w:sz w:val="32"/>
          <w:szCs w:val="32"/>
          <w:shd w:val="clear" w:color="auto" w:fill="FFFFFF"/>
        </w:rPr>
        <w:t>未发生政府采购事项，无相关经费支出。</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default" w:ascii="Times New Roman" w:hAnsi="Times New Roman" w:eastAsia="方正黑体_GBK" w:cs="Times New Roman"/>
          <w:b w:val="0"/>
          <w:bCs w:val="0"/>
          <w:sz w:val="32"/>
          <w:szCs w:val="32"/>
          <w:shd w:val="clear" w:color="auto" w:fill="FFFFFF"/>
          <w:lang w:val="en-US" w:eastAsia="zh-CN"/>
        </w:rPr>
      </w:pPr>
      <w:r>
        <w:rPr>
          <w:rFonts w:hint="default" w:ascii="Times New Roman" w:hAnsi="Times New Roman" w:eastAsia="方正黑体_GBK" w:cs="Times New Roman"/>
          <w:b w:val="0"/>
          <w:bCs w:val="0"/>
          <w:sz w:val="32"/>
          <w:szCs w:val="32"/>
          <w:shd w:val="clear" w:color="auto" w:fill="FFFFFF"/>
          <w:lang w:val="en-US" w:eastAsia="zh-CN"/>
        </w:rPr>
        <w:t>五、2024年度预算绩效管理情况说明</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（一）预算绩效管理工作开展情况</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val="en-US" w:eastAsia="zh-CN"/>
        </w:rPr>
      </w:pPr>
      <w:r>
        <w:rPr>
          <w:rFonts w:hint="eastAsia" w:ascii="Times New Roman" w:hAnsi="Times New Roman" w:eastAsia="方正仿宋_GBK" w:cs="Times New Roman"/>
          <w:b w:val="0"/>
          <w:bCs w:val="0"/>
          <w:sz w:val="32"/>
          <w:szCs w:val="32"/>
          <w:shd w:val="clear" w:color="auto" w:fill="FFFFFF"/>
          <w:lang w:val="en-US" w:eastAsia="zh-CN"/>
        </w:rPr>
        <w:t>根据预算绩效管理要求，我中心对2个项目开展了绩效自评，其中，以填报绩效自评表形式开展自评2项，涉及资金181.47万元。从评价情况来看2个项目都100%完成了预期绩效目标。</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（二）绩效自评结果</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val="en-US" w:eastAsia="zh-CN"/>
        </w:rPr>
      </w:pPr>
      <w:r>
        <w:rPr>
          <w:rFonts w:hint="eastAsia" w:ascii="Times New Roman" w:hAnsi="Times New Roman" w:eastAsia="方正仿宋_GBK" w:cs="Times New Roman"/>
          <w:b w:val="0"/>
          <w:bCs w:val="0"/>
          <w:sz w:val="32"/>
          <w:szCs w:val="32"/>
          <w:shd w:val="clear" w:color="auto" w:fill="FFFFFF"/>
          <w:lang w:val="en-US" w:eastAsia="zh-CN"/>
        </w:rPr>
        <w:t>1</w:t>
      </w:r>
      <w:r>
        <w:rPr>
          <w:rFonts w:hint="eastAsia"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lang w:val="en-US" w:eastAsia="zh-CN"/>
        </w:rPr>
        <w:t>绩效目标自评表</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val="en-US" w:eastAsia="zh-CN"/>
        </w:rPr>
      </w:pPr>
      <w:r>
        <w:rPr>
          <w:rFonts w:hint="eastAsia" w:ascii="Times New Roman" w:hAnsi="Times New Roman" w:eastAsia="方正仿宋_GBK" w:cs="Times New Roman"/>
          <w:b w:val="0"/>
          <w:bCs w:val="0"/>
          <w:sz w:val="32"/>
          <w:szCs w:val="32"/>
          <w:shd w:val="clear" w:color="auto" w:fill="FFFFFF"/>
          <w:lang w:val="en-US" w:eastAsia="zh-CN"/>
        </w:rPr>
        <w:t>（1）公开范围。整体绩效自评表（无），部分项目绩效自评表。</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val="en-US" w:eastAsia="zh-CN"/>
        </w:rPr>
      </w:pPr>
      <w:r>
        <w:rPr>
          <w:rFonts w:hint="eastAsia" w:ascii="Times New Roman" w:hAnsi="Times New Roman" w:eastAsia="方正仿宋_GBK" w:cs="Times New Roman"/>
          <w:b w:val="0"/>
          <w:bCs w:val="0"/>
          <w:sz w:val="32"/>
          <w:szCs w:val="32"/>
          <w:shd w:val="clear" w:color="auto" w:fill="FFFFFF"/>
          <w:lang w:val="en-US" w:eastAsia="zh-CN"/>
        </w:rPr>
        <w:t>（2）公开内容。详见公开表。</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val="en-US" w:eastAsia="zh-CN"/>
        </w:rPr>
      </w:pPr>
      <w:r>
        <w:rPr>
          <w:rFonts w:hint="eastAsia" w:ascii="Times New Roman" w:hAnsi="Times New Roman" w:eastAsia="方正仿宋_GBK" w:cs="Times New Roman"/>
          <w:b w:val="0"/>
          <w:bCs w:val="0"/>
          <w:sz w:val="32"/>
          <w:szCs w:val="32"/>
          <w:shd w:val="clear" w:color="auto" w:fill="FFFFFF"/>
          <w:lang w:val="en-US" w:eastAsia="zh-CN"/>
        </w:rPr>
        <w:t>2</w:t>
      </w:r>
      <w:r>
        <w:rPr>
          <w:rFonts w:hint="eastAsia"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lang w:val="en-US" w:eastAsia="zh-CN"/>
        </w:rPr>
        <w:t>绩效自评报告或案例</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val="en-US" w:eastAsia="zh-CN"/>
        </w:rPr>
      </w:pPr>
      <w:r>
        <w:rPr>
          <w:rFonts w:hint="eastAsia" w:ascii="Times New Roman" w:hAnsi="Times New Roman" w:eastAsia="方正仿宋_GBK" w:cs="Times New Roman"/>
          <w:b w:val="0"/>
          <w:bCs w:val="0"/>
          <w:sz w:val="32"/>
          <w:szCs w:val="32"/>
          <w:shd w:val="clear" w:color="auto" w:fill="FFFFFF"/>
          <w:lang w:val="en-US" w:eastAsia="zh-CN"/>
        </w:rPr>
        <w:t>本单位无绩效自评报告。</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val="en-US" w:eastAsia="zh-CN"/>
        </w:rPr>
      </w:pPr>
      <w:r>
        <w:rPr>
          <w:rFonts w:hint="eastAsia" w:ascii="Times New Roman" w:hAnsi="Times New Roman" w:eastAsia="方正仿宋_GBK" w:cs="Times New Roman"/>
          <w:b w:val="0"/>
          <w:bCs w:val="0"/>
          <w:sz w:val="32"/>
          <w:szCs w:val="32"/>
          <w:shd w:val="clear" w:color="auto" w:fill="FFFFFF"/>
          <w:lang w:val="en-US" w:eastAsia="zh-CN"/>
        </w:rPr>
        <w:t>3</w:t>
      </w:r>
      <w:r>
        <w:rPr>
          <w:rFonts w:hint="eastAsia"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关于绩效自评结果的说明</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val="en-US" w:eastAsia="zh-CN"/>
        </w:rPr>
      </w:pPr>
      <w:r>
        <w:rPr>
          <w:rFonts w:hint="eastAsia" w:ascii="Times New Roman" w:hAnsi="Times New Roman" w:eastAsia="方正仿宋_GBK" w:cs="Times New Roman"/>
          <w:b w:val="0"/>
          <w:bCs w:val="0"/>
          <w:sz w:val="32"/>
          <w:szCs w:val="32"/>
          <w:shd w:val="clear" w:color="auto" w:fill="FFFFFF"/>
          <w:lang w:val="en-US" w:eastAsia="zh-CN"/>
        </w:rPr>
        <w:t>全部项目都完成了绩效目标。</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（三）重点绩效评价结果</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val="en-US" w:eastAsia="zh-CN"/>
        </w:rPr>
      </w:pPr>
      <w:r>
        <w:rPr>
          <w:rFonts w:hint="eastAsia" w:ascii="Times New Roman" w:hAnsi="Times New Roman" w:eastAsia="方正仿宋_GBK" w:cs="Times New Roman"/>
          <w:b w:val="0"/>
          <w:bCs w:val="0"/>
          <w:sz w:val="32"/>
          <w:szCs w:val="32"/>
          <w:shd w:val="clear" w:color="auto" w:fill="FFFFFF"/>
          <w:lang w:val="en-US" w:eastAsia="zh-CN"/>
        </w:rPr>
        <w:t>本单位无项目开展重点绩效评价。</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黑体_GBK" w:hAnsi="方正黑体_GBK" w:eastAsia="方正黑体_GBK" w:cs="方正黑体_GBK"/>
          <w:b w:val="0"/>
          <w:bCs w:val="0"/>
          <w:sz w:val="32"/>
          <w:szCs w:val="32"/>
          <w:shd w:val="clear" w:color="auto" w:fill="FFFFFF"/>
        </w:rPr>
      </w:pPr>
      <w:r>
        <w:rPr>
          <w:rFonts w:hint="eastAsia" w:ascii="方正黑体_GBK" w:hAnsi="方正黑体_GBK" w:eastAsia="方正黑体_GBK" w:cs="方正黑体_GBK"/>
          <w:b w:val="0"/>
          <w:bCs w:val="0"/>
          <w:sz w:val="32"/>
          <w:szCs w:val="32"/>
          <w:shd w:val="clear" w:color="auto" w:fill="FFFFFF"/>
          <w:lang w:val="en-US" w:eastAsia="zh-CN"/>
        </w:rPr>
        <w:t>六、专业名词解释</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pacing w:val="-6"/>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（一）财政拨款收入：</w:t>
      </w:r>
      <w:r>
        <w:rPr>
          <w:rFonts w:hint="eastAsia" w:ascii="Times New Roman" w:hAnsi="Times New Roman" w:eastAsia="方正仿宋_GBK" w:cs="Times New Roman"/>
          <w:b w:val="0"/>
          <w:bCs w:val="0"/>
          <w:sz w:val="32"/>
          <w:szCs w:val="32"/>
          <w:shd w:val="clear" w:color="auto" w:fill="FFFFFF"/>
        </w:rPr>
        <w:t>指本年度从本级财政部门取得的财政拨款</w:t>
      </w:r>
      <w:r>
        <w:rPr>
          <w:rFonts w:hint="eastAsia" w:ascii="Times New Roman" w:hAnsi="Times New Roman" w:eastAsia="方正仿宋_GBK" w:cs="Times New Roman"/>
          <w:b w:val="0"/>
          <w:bCs w:val="0"/>
          <w:spacing w:val="-6"/>
          <w:sz w:val="32"/>
          <w:szCs w:val="32"/>
          <w:shd w:val="clear" w:color="auto" w:fill="FFFFFF"/>
        </w:rPr>
        <w:t>，包括一般公共预算财政拨款和政府性基金预算财政拨款。</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（二）事业收入：</w:t>
      </w:r>
      <w:r>
        <w:rPr>
          <w:rFonts w:hint="eastAsia" w:ascii="Times New Roman" w:hAnsi="Times New Roman" w:eastAsia="方正仿宋_GBK" w:cs="Times New Roman"/>
          <w:b w:val="0"/>
          <w:bCs w:val="0"/>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（三）经营收入：</w:t>
      </w:r>
      <w:r>
        <w:rPr>
          <w:rFonts w:hint="eastAsia" w:ascii="Times New Roman" w:hAnsi="Times New Roman" w:eastAsia="方正仿宋_GBK" w:cs="Times New Roman"/>
          <w:b w:val="0"/>
          <w:bCs w:val="0"/>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（四）其他收入：</w:t>
      </w:r>
      <w:r>
        <w:rPr>
          <w:rFonts w:hint="eastAsia" w:ascii="Times New Roman" w:hAnsi="Times New Roman" w:eastAsia="方正仿宋_GBK" w:cs="Times New Roman"/>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（五）使用非财政拨款结余（含专用结余）：</w:t>
      </w:r>
      <w:r>
        <w:rPr>
          <w:rFonts w:hint="eastAsia" w:ascii="Times New Roman" w:hAnsi="Times New Roman" w:eastAsia="方正仿宋_GBK" w:cs="Times New Roman"/>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（六）年初结转和结余：</w:t>
      </w:r>
      <w:r>
        <w:rPr>
          <w:rFonts w:hint="eastAsia" w:ascii="Times New Roman" w:hAnsi="Times New Roman" w:eastAsia="方正仿宋_GBK" w:cs="Times New Roman"/>
          <w:b w:val="0"/>
          <w:bCs w:val="0"/>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（七）结余分配：</w:t>
      </w:r>
      <w:r>
        <w:rPr>
          <w:rFonts w:hint="eastAsia" w:ascii="Times New Roman" w:hAnsi="Times New Roman" w:eastAsia="方正仿宋_GBK" w:cs="Times New Roman"/>
          <w:b w:val="0"/>
          <w:bCs w:val="0"/>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（八）年末结转和结余：</w:t>
      </w:r>
      <w:r>
        <w:rPr>
          <w:rFonts w:hint="eastAsia" w:ascii="Times New Roman" w:hAnsi="Times New Roman" w:eastAsia="方正仿宋_GBK" w:cs="Times New Roman"/>
          <w:b w:val="0"/>
          <w:bCs w:val="0"/>
          <w:sz w:val="32"/>
          <w:szCs w:val="32"/>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（九）基本支出：</w:t>
      </w:r>
      <w:r>
        <w:rPr>
          <w:rFonts w:hint="eastAsia" w:ascii="Times New Roman" w:hAnsi="Times New Roman" w:eastAsia="方正仿宋_GBK" w:cs="Times New Roman"/>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（十）项目支出：</w:t>
      </w:r>
      <w:r>
        <w:rPr>
          <w:rFonts w:hint="eastAsia" w:ascii="Times New Roman" w:hAnsi="Times New Roman" w:eastAsia="方正仿宋_GBK" w:cs="Times New Roman"/>
          <w:b w:val="0"/>
          <w:bCs w:val="0"/>
          <w:sz w:val="32"/>
          <w:szCs w:val="32"/>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（十一）经营支出：</w:t>
      </w:r>
      <w:r>
        <w:rPr>
          <w:rFonts w:hint="eastAsia" w:ascii="Times New Roman" w:hAnsi="Times New Roman" w:eastAsia="方正仿宋_GBK" w:cs="Times New Roman"/>
          <w:b w:val="0"/>
          <w:bCs w:val="0"/>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（十二）“三公”经费：</w:t>
      </w:r>
      <w:r>
        <w:rPr>
          <w:rFonts w:hint="eastAsia" w:ascii="Times New Roman" w:hAnsi="Times New Roman" w:eastAsia="方正仿宋_GBK" w:cs="Times New Roman"/>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（十三）机关运行经费：</w:t>
      </w:r>
      <w:r>
        <w:rPr>
          <w:rFonts w:hint="eastAsia" w:ascii="Times New Roman" w:hAnsi="Times New Roman" w:eastAsia="方正仿宋_GBK" w:cs="Times New Roman"/>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（十四）工资福利支出（支出经济分类科目类级）：</w:t>
      </w:r>
      <w:r>
        <w:rPr>
          <w:rFonts w:hint="eastAsia" w:ascii="Times New Roman" w:hAnsi="Times New Roman" w:eastAsia="方正仿宋_GBK" w:cs="Times New Roman"/>
          <w:b w:val="0"/>
          <w:bCs w:val="0"/>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（十五）商品和服务支出（支出经济分类科目类级）：</w:t>
      </w:r>
      <w:r>
        <w:rPr>
          <w:rFonts w:hint="eastAsia" w:ascii="Times New Roman" w:hAnsi="Times New Roman" w:eastAsia="方正仿宋_GBK" w:cs="Times New Roman"/>
          <w:b w:val="0"/>
          <w:bCs w:val="0"/>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（十六）对个人和家庭的补助（支出经济分类科目类级）：</w:t>
      </w:r>
      <w:r>
        <w:rPr>
          <w:rFonts w:hint="eastAsia" w:ascii="Times New Roman" w:hAnsi="Times New Roman" w:eastAsia="方正仿宋_GBK" w:cs="Times New Roman"/>
          <w:b w:val="0"/>
          <w:bCs w:val="0"/>
          <w:sz w:val="32"/>
          <w:szCs w:val="32"/>
          <w:shd w:val="clear" w:color="auto" w:fill="FFFFFF"/>
        </w:rPr>
        <w:t>反映用于对个人和家庭的补助支出。</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（十七）其他资本性支出（支出经济分类科目类级）：</w:t>
      </w:r>
      <w:r>
        <w:rPr>
          <w:rFonts w:hint="eastAsia" w:ascii="Times New Roman" w:hAnsi="Times New Roman" w:eastAsia="方正仿宋_GBK" w:cs="Times New Roman"/>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方正黑体_GBK" w:hAnsi="方正黑体_GBK" w:eastAsia="方正黑体_GBK" w:cs="方正黑体_GBK"/>
          <w:b w:val="0"/>
          <w:bCs w:val="0"/>
          <w:sz w:val="32"/>
          <w:szCs w:val="32"/>
          <w:shd w:val="clear" w:color="auto" w:fill="FFFFFF"/>
        </w:rPr>
      </w:pPr>
      <w:r>
        <w:rPr>
          <w:rFonts w:hint="eastAsia" w:ascii="方正黑体_GBK" w:hAnsi="方正黑体_GBK" w:eastAsia="方正黑体_GBK" w:cs="方正黑体_GBK"/>
          <w:b w:val="0"/>
          <w:bCs w:val="0"/>
          <w:sz w:val="32"/>
          <w:szCs w:val="32"/>
          <w:shd w:val="clear" w:color="auto" w:fill="FFFFFF"/>
          <w:lang w:val="en-US" w:eastAsia="zh-CN"/>
        </w:rPr>
        <w:t>七、决算公开联系方式及信息反馈渠道</w:t>
      </w:r>
    </w:p>
    <w:p>
      <w:pPr>
        <w:pStyle w:val="6"/>
        <w:keepNext w:val="0"/>
        <w:keepLines w:val="0"/>
        <w:pageBreakBefore w:val="0"/>
        <w:widowControl/>
        <w:kinsoku/>
        <w:wordWrap/>
        <w:overflowPunct/>
        <w:topLinePunct w:val="0"/>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val="en-US" w:eastAsia="zh-CN"/>
        </w:rPr>
      </w:pPr>
      <w:r>
        <w:rPr>
          <w:rFonts w:hint="eastAsia" w:ascii="Times New Roman" w:hAnsi="Times New Roman" w:eastAsia="方正仿宋_GBK" w:cs="Times New Roman"/>
          <w:b w:val="0"/>
          <w:bCs w:val="0"/>
          <w:sz w:val="32"/>
          <w:szCs w:val="32"/>
          <w:shd w:val="clear" w:color="auto" w:fill="FFFFFF"/>
        </w:rPr>
        <w:t>本单位决算公开信息反馈和联系方式：</w:t>
      </w:r>
      <w:r>
        <w:rPr>
          <w:rFonts w:hint="eastAsia" w:ascii="Times New Roman" w:hAnsi="Times New Roman" w:eastAsia="方正仿宋_GBK" w:cs="Times New Roman"/>
          <w:b w:val="0"/>
          <w:bCs w:val="0"/>
          <w:sz w:val="32"/>
          <w:szCs w:val="32"/>
          <w:shd w:val="clear" w:color="auto" w:fill="FFFFFF"/>
          <w:lang w:val="en-US" w:eastAsia="zh-CN"/>
        </w:rPr>
        <w:t>023—48663093。</w:t>
      </w:r>
    </w:p>
    <w:p>
      <w:pPr>
        <w:keepNext w:val="0"/>
        <w:keepLines w:val="0"/>
        <w:pageBreakBefore w:val="0"/>
        <w:widowControl/>
        <w:kinsoku/>
        <w:wordWrap/>
        <w:overflowPunct/>
        <w:topLinePunct w:val="0"/>
        <w:bidi w:val="0"/>
        <w:adjustRightInd/>
        <w:spacing w:line="576" w:lineRule="exact"/>
        <w:ind w:firstLine="640" w:firstLineChars="200"/>
        <w:jc w:val="both"/>
        <w:textAlignment w:val="auto"/>
        <w:rPr>
          <w:rFonts w:hint="eastAsia" w:ascii="方正仿宋_GBK" w:hAnsi="方正仿宋_GBK" w:eastAsia="方正仿宋_GBK" w:cs="方正仿宋_GBK"/>
          <w:b w:val="0"/>
          <w:bCs w:val="0"/>
          <w:sz w:val="32"/>
          <w:szCs w:val="32"/>
        </w:rPr>
      </w:pPr>
    </w:p>
    <w:sectPr>
      <w:headerReference r:id="rId3" w:type="default"/>
      <w:footerReference r:id="rId4" w:type="default"/>
      <w:pgSz w:w="11850" w:h="16783"/>
      <w:pgMar w:top="2098" w:right="1474" w:bottom="1984" w:left="1587" w:header="850" w:footer="1474" w:gutter="0"/>
      <w:pgNumType w:fmt="decimal"/>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7"/>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F4737B"/>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CDE17D1"/>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245045"/>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981BD5"/>
    <w:rsid w:val="23DA37D9"/>
    <w:rsid w:val="24B92327"/>
    <w:rsid w:val="24C14514"/>
    <w:rsid w:val="2533755C"/>
    <w:rsid w:val="25791755"/>
    <w:rsid w:val="26396DF4"/>
    <w:rsid w:val="26F00552"/>
    <w:rsid w:val="27167136"/>
    <w:rsid w:val="27B23302"/>
    <w:rsid w:val="29310A5F"/>
    <w:rsid w:val="29C37A35"/>
    <w:rsid w:val="2A076083"/>
    <w:rsid w:val="2A73162E"/>
    <w:rsid w:val="2A751F0B"/>
    <w:rsid w:val="2B167953"/>
    <w:rsid w:val="2B200583"/>
    <w:rsid w:val="2B220436"/>
    <w:rsid w:val="2B8209DE"/>
    <w:rsid w:val="2C6762A3"/>
    <w:rsid w:val="2EBF7B3E"/>
    <w:rsid w:val="2EDE1934"/>
    <w:rsid w:val="2FA7345B"/>
    <w:rsid w:val="2FCA4B37"/>
    <w:rsid w:val="2FE029D7"/>
    <w:rsid w:val="2FF06E00"/>
    <w:rsid w:val="305426AE"/>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5E0D0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BDF446D"/>
    <w:rsid w:val="4CCF773C"/>
    <w:rsid w:val="4DAC4ACA"/>
    <w:rsid w:val="4DBE01D2"/>
    <w:rsid w:val="4EC92552"/>
    <w:rsid w:val="4EFC6D10"/>
    <w:rsid w:val="4F0C6BA3"/>
    <w:rsid w:val="4F10477D"/>
    <w:rsid w:val="4F186D58"/>
    <w:rsid w:val="4FE563FC"/>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8D09B4"/>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 w:val="FF17B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7">
    <w:name w:val="p0"/>
    <w:basedOn w:val="1"/>
    <w:qFormat/>
    <w:uiPriority w:val="0"/>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2</TotalTime>
  <ScaleCrop>false</ScaleCrop>
  <LinksUpToDate>false</LinksUpToDate>
  <CharactersWithSpaces>26302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2025-06-26T15:40:00Z</dcterms:created>
  <dc:creator>Administrator</dc:creator>
  <cp:lastModifiedBy>Administrator</cp:lastModifiedBy>
  <cp:lastPrinted>2025-10-17T10:53:00Z</cp:lastPrinted>
  <dcterms:modified xsi:type="dcterms:W3CDTF">2026-04-08T07:51:44Z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BB46EABDBB2749749395447164B066B3_12</vt:lpwstr>
  </property>
</Properties>
</file>