
<file path=[Content_Types].xml><?xml version="1.0" encoding="utf-8"?>
<Types xmlns="http://schemas.openxmlformats.org/package/2006/content-types">
  <Default ContentType="application/vnd.openxmlformats-package.relationships+xml" Extension="rels"/>
  <Default ContentType="application/xml" Extension="xml"/>
  <Override ContentType="application/vnd.openxmlformats-officedocument.customXmlProperties+xml" PartName="/customXml/itemProps1.xml"/>
  <Override ContentType="application/vnd.openxmlformats-officedocument.extended-properties+xml" PartName="/docProps/app.xml"/>
  <Override ContentType="application/vnd.openxmlformats-package.core-properties+xml" PartName="/docProps/core.xml"/>
  <Override ContentType="application/vnd.openxmlformats-officedocument.custom-properties+xml" PartName="/docProps/custom.xml"/>
  <Override ContentType="application/vnd.openxmlformats-officedocument.wordprocessingml.document.main+xml" PartName="/word/document.xml"/>
  <Override ContentType="application/vnd.openxmlformats-officedocument.wordprocessingml.fontTable+xml" PartName="/word/fontTable.xml"/>
  <Override ContentType="application/vnd.openxmlformats-officedocument.wordprocessingml.footer+xml" PartName="/word/footer1.xml"/>
  <Override ContentType="application/vnd.openxmlformats-officedocument.wordprocessingml.header+xml" PartName="/word/header1.xml"/>
  <Override ContentType="application/vnd.openxmlformats-officedocument.wordprocessingml.numbering+xml" PartName="/word/numbering.xml"/>
  <Override ContentType="application/vnd.openxmlformats-officedocument.wordprocessingml.settings+xml" PartName="/word/settings.xml"/>
  <Override ContentType="application/vnd.openxmlformats-officedocument.wordprocessingml.styles+xml" PartName="/word/styles.xml"/>
  <Override ContentType="application/vnd.openxmlformats-officedocument.theme+xml" PartName="/word/theme/theme1.xml"/>
</Types>
</file>

<file path=_rels/.rels><?xml version="1.0" encoding="UTF-8" standalone="yes"?>
<Relationships xmlns="http://schemas.openxmlformats.org/package/2006/relationships"><Relationship Id="rId1" Type="http://schemas.openxmlformats.org/officeDocument/2006/relationships/extended-properties" Target="docProps/app.xml"/><Relationship Id="rId2" Type="http://schemas.openxmlformats.org/package/2006/relationships/metadata/core-properties" Target="docProps/core.xml"/><Relationship Id="rId4" Type="http://schemas.openxmlformats.org/officeDocument/2006/relationships/officeDocument" Target="word/document.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mc:Ignorable="w14 wp14">
  <w:body>
    <w:p>
      <w:pPr>
        <w:jc w:val="center"/>
        <w:rPr>
          <w:rFonts w:ascii="Times New Roman" w:hAnsi="Times New Roman" w:eastAsia="方正小标宋_GBK"/>
          <w:sz w:val="44"/>
          <w:szCs w:val="44"/>
        </w:rPr>
      </w:pPr>
      <w:r>
        <w:rPr>
          <w:rFonts w:hint="eastAsia" w:ascii="Times New Roman" w:hAnsi="Times New Roman" w:eastAsia="方正小标宋_GBK"/>
          <w:sz w:val="44"/>
          <w:szCs w:val="44"/>
        </w:rPr>
        <w:t>重庆市</w:t>
      </w:r>
      <w:r>
        <w:rPr>
          <w:rFonts w:hint="eastAsia" w:ascii="Times New Roman" w:hAnsi="Times New Roman" w:eastAsia="方正小标宋_GBK"/>
          <w:sz w:val="44"/>
          <w:szCs w:val="44"/>
          <w:lang w:eastAsia="zh-CN"/>
        </w:rPr>
        <w:t>綦江区商务局</w:t>
      </w:r>
      <w:r>
        <w:rPr>
          <w:rFonts w:hint="eastAsia" w:ascii="Times New Roman" w:hAnsi="Times New Roman" w:eastAsia="方正小标宋_GBK"/>
          <w:sz w:val="44"/>
          <w:szCs w:val="44"/>
        </w:rPr>
        <w:t>行政权力、责任事项目录</w:t>
      </w:r>
      <w:r>
        <w:rPr>
          <w:rFonts w:hint="eastAsia" w:ascii="Times New Roman" w:hAnsi="Times New Roman" w:eastAsia="方正小标宋_GBK"/>
          <w:sz w:val="44"/>
          <w:szCs w:val="44"/>
          <w:lang w:val="en-US" w:eastAsia="zh-CN"/>
        </w:rPr>
        <w:t>(</w:t>
      </w:r>
      <w:bookmarkStart w:id="0" w:name="_GoBack"/>
      <w:bookmarkEnd w:id="0"/>
      <w:r>
        <w:rPr>
          <w:rFonts w:hint="eastAsia" w:ascii="Times New Roman" w:hAnsi="Times New Roman" w:eastAsia="方正小标宋_GBK"/>
          <w:sz w:val="44"/>
          <w:szCs w:val="44"/>
          <w:lang w:val="en-US" w:eastAsia="zh-CN"/>
        </w:rPr>
        <w:t>审批类)</w:t>
      </w:r>
    </w:p>
    <w:tbl>
      <w:tblPr>
        <w:tblW w:w="14432" w:type="dxa"/>
        <w:tblInd w:w="91" w:type="dxa"/>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
      <w:tblGrid>
        <w:gridCol w:w="544"/>
        <w:gridCol w:w="1151"/>
        <w:gridCol w:w="668"/>
        <w:gridCol w:w="668"/>
        <w:gridCol w:w="1482"/>
        <w:gridCol w:w="1837"/>
        <w:gridCol w:w="1919"/>
        <w:gridCol w:w="2962"/>
        <w:gridCol w:w="1546"/>
        <w:gridCol w:w="1655"/>
      </w:tblGrid>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645" w:hRule="atLeast"/>
        </w:trPr>
        <w:tc>
          <w:tcPr>
            <w:tcW w:w="544" w:type="dxa"/>
            <w:tcBorders>
              <w:top w:val="single" w:color="auto" w:sz="4" w:space="0"/>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序号</w:t>
            </w:r>
          </w:p>
        </w:tc>
        <w:tc>
          <w:tcPr>
            <w:tcW w:w="1151"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实施主体</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hint="eastAsia"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权力</w:t>
            </w:r>
            <w:r>
              <w:rPr>
                <w:rFonts w:hint="eastAsia" w:ascii="Times New Roman" w:hAnsi="Times New Roman" w:eastAsia="方正黑体_GBK"/>
                <w:bCs/>
                <w:color w:val="auto"/>
                <w:kern w:val="0"/>
                <w:sz w:val="20"/>
                <w:szCs w:val="20"/>
                <w:lang w:eastAsia="zh-CN"/>
              </w:rPr>
              <w:t>编码</w:t>
            </w:r>
          </w:p>
        </w:tc>
        <w:tc>
          <w:tcPr>
            <w:tcW w:w="668"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权力类别</w:t>
            </w:r>
          </w:p>
        </w:tc>
        <w:tc>
          <w:tcPr>
            <w:tcW w:w="148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项目名称</w:t>
            </w:r>
          </w:p>
        </w:tc>
        <w:tc>
          <w:tcPr>
            <w:tcW w:w="1837"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子项</w:t>
            </w:r>
          </w:p>
        </w:tc>
        <w:tc>
          <w:tcPr>
            <w:tcW w:w="1919"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权力主要依据</w:t>
            </w:r>
          </w:p>
        </w:tc>
        <w:tc>
          <w:tcPr>
            <w:tcW w:w="2962"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追责情形</w:t>
            </w:r>
          </w:p>
        </w:tc>
        <w:tc>
          <w:tcPr>
            <w:tcW w:w="1546"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追责依据</w:t>
            </w:r>
          </w:p>
        </w:tc>
        <w:tc>
          <w:tcPr>
            <w:tcW w:w="1655" w:type="dxa"/>
            <w:tcBorders>
              <w:top w:val="single" w:color="auto" w:sz="4" w:space="0"/>
              <w:left w:val="nil"/>
              <w:bottom w:val="single" w:color="auto" w:sz="4" w:space="0"/>
              <w:right w:val="single" w:color="auto" w:sz="4" w:space="0"/>
            </w:tcBorders>
            <w:vAlign w:val="center"/>
          </w:tcPr>
          <w:p>
            <w:pPr>
              <w:widowControl/>
              <w:spacing w:line="240" w:lineRule="exact"/>
              <w:jc w:val="center"/>
              <w:rPr>
                <w:rFonts w:ascii="Times New Roman" w:hAnsi="Times New Roman" w:eastAsia="方正黑体_GBK"/>
                <w:bCs/>
                <w:color w:val="auto"/>
                <w:kern w:val="0"/>
                <w:sz w:val="20"/>
                <w:szCs w:val="20"/>
              </w:rPr>
            </w:pPr>
            <w:r>
              <w:rPr>
                <w:rFonts w:hint="eastAsia" w:ascii="Times New Roman" w:hAnsi="Times New Roman" w:eastAsia="方正黑体_GBK"/>
                <w:bCs/>
                <w:color w:val="auto"/>
                <w:kern w:val="0"/>
                <w:sz w:val="20"/>
                <w:szCs w:val="20"/>
              </w:rPr>
              <w:t>备注</w:t>
            </w: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45" w:hRule="atLeast"/>
        </w:trPr>
        <w:tc>
          <w:tcPr>
            <w:tcW w:w="54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1</w:t>
            </w:r>
          </w:p>
        </w:tc>
        <w:tc>
          <w:tcPr>
            <w:tcW w:w="1151"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lang w:eastAsia="zh-CN"/>
              </w:rPr>
            </w:pPr>
            <w:r>
              <w:rPr>
                <w:rFonts w:hint="eastAsia" w:ascii="Times New Roman" w:hAnsi="Times New Roman" w:eastAsia="方正仿宋_GBK"/>
                <w:color w:val="auto"/>
                <w:kern w:val="0"/>
                <w:sz w:val="20"/>
                <w:szCs w:val="20"/>
                <w:lang w:eastAsia="zh-CN"/>
              </w:rPr>
              <w:t>区商务局</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lang w:val="en-US" w:eastAsia="zh-CN"/>
              </w:rPr>
            </w:pPr>
            <w:r>
              <w:rPr>
                <w:rFonts w:hint="eastAsia" w:ascii="Times New Roman" w:hAnsi="Times New Roman" w:eastAsia="方正仿宋_GBK"/>
                <w:color w:val="auto"/>
                <w:kern w:val="0"/>
                <w:sz w:val="20"/>
                <w:szCs w:val="20"/>
                <w:lang w:val="en-US" w:eastAsia="zh-CN"/>
              </w:rPr>
              <w:t>69659949-A-001</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行政许可</w:t>
            </w:r>
          </w:p>
        </w:tc>
        <w:tc>
          <w:tcPr>
            <w:tcW w:w="148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外商投资企业质押或者担保合同审批</w:t>
            </w:r>
          </w:p>
        </w:tc>
        <w:tc>
          <w:tcPr>
            <w:tcW w:w="1837"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　</w:t>
            </w:r>
          </w:p>
        </w:tc>
        <w:tc>
          <w:tcPr>
            <w:tcW w:w="191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《外资企业法实施细则》（</w:t>
            </w:r>
            <w:r>
              <w:rPr>
                <w:rFonts w:ascii="Times New Roman" w:hAnsi="Times New Roman" w:eastAsia="方正仿宋_GBK"/>
                <w:color w:val="auto"/>
                <w:kern w:val="0"/>
                <w:sz w:val="20"/>
                <w:szCs w:val="20"/>
              </w:rPr>
              <w:t>2001</w:t>
            </w:r>
            <w:r>
              <w:rPr>
                <w:rFonts w:hint="eastAsia" w:ascii="Times New Roman" w:hAnsi="Times New Roman" w:eastAsia="方正仿宋_GBK"/>
                <w:color w:val="auto"/>
                <w:kern w:val="0"/>
                <w:sz w:val="20"/>
                <w:szCs w:val="20"/>
              </w:rPr>
              <w:t>年国务院令第</w:t>
            </w:r>
            <w:r>
              <w:rPr>
                <w:rFonts w:ascii="Times New Roman" w:hAnsi="Times New Roman" w:eastAsia="方正仿宋_GBK"/>
                <w:color w:val="auto"/>
                <w:kern w:val="0"/>
                <w:sz w:val="20"/>
                <w:szCs w:val="20"/>
              </w:rPr>
              <w:t>301</w:t>
            </w:r>
            <w:r>
              <w:rPr>
                <w:rFonts w:hint="eastAsia" w:ascii="Times New Roman" w:hAnsi="Times New Roman" w:eastAsia="方正仿宋_GBK"/>
                <w:color w:val="auto"/>
                <w:kern w:val="0"/>
                <w:sz w:val="20"/>
                <w:szCs w:val="20"/>
              </w:rPr>
              <w:t>号）第二十三条。</w:t>
            </w:r>
          </w:p>
        </w:tc>
        <w:tc>
          <w:tcPr>
            <w:tcW w:w="2962" w:type="dxa"/>
            <w:vMerge w:val="restart"/>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一、违反《行政许可法》等法律、法规、规章的追责情形</w:t>
            </w:r>
          </w:p>
          <w:p>
            <w:pPr>
              <w:widowControl/>
              <w:spacing w:line="240" w:lineRule="exact"/>
              <w:jc w:val="left"/>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 xml:space="preserve">   1.</w:t>
            </w:r>
            <w:r>
              <w:rPr>
                <w:rFonts w:hint="eastAsia" w:ascii="Times New Roman" w:hAnsi="Times New Roman" w:eastAsia="方正仿宋_GBK"/>
                <w:color w:val="auto"/>
                <w:kern w:val="0"/>
                <w:sz w:val="20"/>
                <w:szCs w:val="20"/>
              </w:rPr>
              <w:t>违规设立行政许可的。</w:t>
            </w:r>
            <w:r>
              <w:rPr>
                <w:rFonts w:ascii="Times New Roman" w:hAnsi="Times New Roman" w:eastAsia="方正仿宋_GBK"/>
                <w:color w:val="auto"/>
                <w:kern w:val="0"/>
                <w:sz w:val="20"/>
                <w:szCs w:val="20"/>
              </w:rPr>
              <w:t>2.</w:t>
            </w:r>
            <w:r>
              <w:rPr>
                <w:rFonts w:hint="eastAsia" w:ascii="Times New Roman" w:hAnsi="Times New Roman" w:eastAsia="方正仿宋_GBK"/>
                <w:color w:val="auto"/>
                <w:kern w:val="0"/>
                <w:sz w:val="20"/>
                <w:szCs w:val="20"/>
              </w:rPr>
              <w:t>对符合法定条件的行政许可申请不予受理的；不在办公场所公示依法应当公示的材料的；在受理、审查、决定行政许可过程中，未向申请人、利害关系人履行法定告知义务的；申请人提交的申请材料不齐全、不符合法定形式，不一次告知申请人必须补正的全部内容的；未依法说明不受理行政许可申请或者不予行政许可的理由的。</w:t>
            </w:r>
            <w:r>
              <w:rPr>
                <w:rFonts w:ascii="Times New Roman" w:hAnsi="Times New Roman" w:eastAsia="方正仿宋_GBK"/>
                <w:color w:val="auto"/>
                <w:kern w:val="0"/>
                <w:sz w:val="20"/>
                <w:szCs w:val="20"/>
              </w:rPr>
              <w:t>3.</w:t>
            </w:r>
            <w:r>
              <w:rPr>
                <w:rFonts w:hint="eastAsia" w:ascii="Times New Roman" w:hAnsi="Times New Roman" w:eastAsia="方正仿宋_GBK"/>
                <w:color w:val="auto"/>
                <w:kern w:val="0"/>
                <w:sz w:val="20"/>
                <w:szCs w:val="20"/>
              </w:rPr>
              <w:t>对不符合法定条件的申请人准予行政许可或者超越法定职权作出准予行政许可决定的；对符合法定条件的申请人不予行政许可或者不在法定期限内作出准予行政许可决定的。</w:t>
            </w:r>
            <w:r>
              <w:rPr>
                <w:rFonts w:ascii="Times New Roman" w:hAnsi="Times New Roman" w:eastAsia="方正仿宋_GBK"/>
                <w:color w:val="auto"/>
                <w:kern w:val="0"/>
                <w:sz w:val="20"/>
                <w:szCs w:val="20"/>
              </w:rPr>
              <w:t>4.</w:t>
            </w:r>
            <w:r>
              <w:rPr>
                <w:rFonts w:hint="eastAsia" w:ascii="Times New Roman" w:hAnsi="Times New Roman" w:eastAsia="方正仿宋_GBK"/>
                <w:color w:val="auto"/>
                <w:kern w:val="0"/>
                <w:sz w:val="20"/>
                <w:szCs w:val="20"/>
              </w:rPr>
              <w:t>实施行政许可擅自收费或不按照法定项目和标准收费的。</w:t>
            </w:r>
            <w:r>
              <w:rPr>
                <w:rFonts w:ascii="Times New Roman" w:hAnsi="Times New Roman" w:eastAsia="方正仿宋_GBK"/>
                <w:color w:val="auto"/>
                <w:kern w:val="0"/>
                <w:sz w:val="20"/>
                <w:szCs w:val="20"/>
              </w:rPr>
              <w:t>5.</w:t>
            </w:r>
            <w:r>
              <w:rPr>
                <w:rFonts w:hint="eastAsia" w:ascii="Times New Roman" w:hAnsi="Times New Roman" w:eastAsia="方正仿宋_GBK"/>
                <w:color w:val="auto"/>
                <w:kern w:val="0"/>
                <w:sz w:val="20"/>
                <w:szCs w:val="20"/>
              </w:rPr>
              <w:t>不依法履行监督职责或者监督不力，造成严重后果的。</w:t>
            </w:r>
          </w:p>
          <w:p>
            <w:pPr>
              <w:widowControl/>
              <w:spacing w:line="240" w:lineRule="exact"/>
              <w:jc w:val="left"/>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 xml:space="preserve">   </w:t>
            </w:r>
            <w:r>
              <w:rPr>
                <w:rFonts w:hint="eastAsia" w:ascii="Times New Roman" w:hAnsi="Times New Roman" w:eastAsia="方正仿宋_GBK"/>
                <w:color w:val="auto"/>
                <w:kern w:val="0"/>
                <w:sz w:val="20"/>
                <w:szCs w:val="20"/>
              </w:rPr>
              <w:t>二、违反《公务员法》、《行政监察法》、《行政机关公务员处分条例》、《事业单位工作人员处分暂行规定》等的追责情形。</w:t>
            </w:r>
          </w:p>
          <w:p>
            <w:pPr>
              <w:widowControl/>
              <w:spacing w:line="240" w:lineRule="exact"/>
              <w:jc w:val="left"/>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 xml:space="preserve">   </w:t>
            </w:r>
            <w:r>
              <w:rPr>
                <w:rFonts w:hint="eastAsia" w:ascii="Times New Roman" w:hAnsi="Times New Roman" w:eastAsia="方正仿宋_GBK"/>
                <w:color w:val="auto"/>
                <w:kern w:val="0"/>
                <w:sz w:val="20"/>
                <w:szCs w:val="20"/>
              </w:rPr>
              <w:t>三、各单项法律法规规定的追责情形</w:t>
            </w:r>
            <w:r>
              <w:rPr>
                <w:rFonts w:ascii="Times New Roman" w:hAnsi="Times New Roman" w:eastAsia="方正仿宋_GBK"/>
                <w:color w:val="auto"/>
                <w:kern w:val="0"/>
                <w:sz w:val="20"/>
                <w:szCs w:val="20"/>
              </w:rPr>
              <w:t>……</w:t>
            </w:r>
          </w:p>
          <w:p>
            <w:pPr>
              <w:spacing w:line="240" w:lineRule="exact"/>
              <w:jc w:val="left"/>
              <w:rPr>
                <w:rFonts w:ascii="Times New Roman" w:hAnsi="Times New Roman" w:eastAsia="方正仿宋_GBK"/>
                <w:color w:val="auto"/>
                <w:kern w:val="0"/>
                <w:sz w:val="20"/>
                <w:szCs w:val="20"/>
              </w:rPr>
            </w:pPr>
          </w:p>
        </w:tc>
        <w:tc>
          <w:tcPr>
            <w:tcW w:w="1546" w:type="dxa"/>
            <w:vMerge w:val="restart"/>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一、《行政许可法》及专项法律法规规章追责依据</w:t>
            </w:r>
          </w:p>
          <w:p>
            <w:pPr>
              <w:widowControl/>
              <w:spacing w:line="240" w:lineRule="exact"/>
              <w:jc w:val="left"/>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 xml:space="preserve">   </w:t>
            </w:r>
            <w:r>
              <w:rPr>
                <w:rFonts w:hint="eastAsia" w:ascii="Times New Roman" w:hAnsi="Times New Roman" w:eastAsia="方正仿宋_GBK"/>
                <w:color w:val="auto"/>
                <w:kern w:val="0"/>
                <w:sz w:val="20"/>
                <w:szCs w:val="20"/>
              </w:rPr>
              <w:t>《行政许可法》第七十一条至七十七条；</w:t>
            </w:r>
          </w:p>
          <w:p>
            <w:pPr>
              <w:widowControl/>
              <w:spacing w:line="240" w:lineRule="exact"/>
              <w:jc w:val="left"/>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 xml:space="preserve">    </w:t>
            </w:r>
            <w:r>
              <w:rPr>
                <w:rFonts w:hint="eastAsia" w:ascii="Times New Roman" w:hAnsi="Times New Roman" w:eastAsia="方正仿宋_GBK"/>
                <w:color w:val="auto"/>
                <w:kern w:val="0"/>
                <w:sz w:val="20"/>
                <w:szCs w:val="20"/>
              </w:rPr>
              <w:t>二、《公务员法》、《行政监察法》、《行政机关公务员处分条例》、《事业单位工作人员处分暂行规定》等法律、法规、规章；涉嫌犯罪的，依法追究刑事责任。中国共产党各级党组织和党员违反行政许可的有关规定的，适用《中国共产党纪律处分条例》、《关于实行党政领导干部问责的暂行规定》等有关党内法规。</w:t>
            </w:r>
          </w:p>
          <w:p>
            <w:pPr>
              <w:widowControl/>
              <w:spacing w:line="240" w:lineRule="exact"/>
              <w:jc w:val="left"/>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 xml:space="preserve">    </w:t>
            </w:r>
            <w:r>
              <w:rPr>
                <w:rFonts w:hint="eastAsia" w:ascii="Times New Roman" w:hAnsi="Times New Roman" w:eastAsia="方正仿宋_GBK"/>
                <w:color w:val="auto"/>
                <w:kern w:val="0"/>
                <w:sz w:val="20"/>
                <w:szCs w:val="20"/>
              </w:rPr>
              <w:t>三、各单项法律法规规定的追责依据</w:t>
            </w:r>
            <w:r>
              <w:rPr>
                <w:rFonts w:ascii="Times New Roman" w:hAnsi="Times New Roman" w:eastAsia="方正仿宋_GBK"/>
                <w:color w:val="auto"/>
                <w:kern w:val="0"/>
                <w:sz w:val="20"/>
                <w:szCs w:val="20"/>
              </w:rPr>
              <w:t>……</w:t>
            </w:r>
          </w:p>
        </w:tc>
        <w:tc>
          <w:tcPr>
            <w:tcW w:w="165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21" w:hRule="atLeast"/>
        </w:trPr>
        <w:tc>
          <w:tcPr>
            <w:tcW w:w="54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2</w:t>
            </w:r>
          </w:p>
        </w:tc>
        <w:tc>
          <w:tcPr>
            <w:tcW w:w="1151"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lang w:eastAsia="zh-CN"/>
              </w:rPr>
            </w:pPr>
            <w:r>
              <w:rPr>
                <w:rFonts w:hint="eastAsia" w:ascii="Times New Roman" w:hAnsi="Times New Roman" w:eastAsia="方正仿宋_GBK"/>
                <w:color w:val="auto"/>
                <w:kern w:val="0"/>
                <w:sz w:val="20"/>
                <w:szCs w:val="20"/>
                <w:lang w:eastAsia="zh-CN"/>
              </w:rPr>
              <w:t>区商务局</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lang w:val="en-US" w:eastAsia="zh-CN"/>
              </w:rPr>
              <w:t>69659949-A-002</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行政许可</w:t>
            </w:r>
          </w:p>
        </w:tc>
        <w:tc>
          <w:tcPr>
            <w:tcW w:w="148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液化石油气、二甲醚经营资格审批</w:t>
            </w:r>
          </w:p>
        </w:tc>
        <w:tc>
          <w:tcPr>
            <w:tcW w:w="1837" w:type="dxa"/>
            <w:tcBorders>
              <w:top w:val="nil"/>
              <w:left w:val="nil"/>
              <w:bottom w:val="single" w:color="auto" w:sz="4" w:space="0"/>
              <w:right w:val="single" w:color="auto" w:sz="4" w:space="0"/>
            </w:tcBorders>
            <w:vAlign w:val="center"/>
          </w:tcPr>
          <w:p>
            <w:pPr>
              <w:widowControl/>
              <w:numPr>
                <w:ilvl w:val="0"/>
                <w:numId w:val="1"/>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申办。</w:t>
            </w:r>
          </w:p>
          <w:p>
            <w:pPr>
              <w:widowControl/>
              <w:numPr>
                <w:ilvl w:val="0"/>
                <w:numId w:val="1"/>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变更。</w:t>
            </w:r>
          </w:p>
          <w:p>
            <w:pPr>
              <w:widowControl/>
              <w:numPr>
                <w:ilvl w:val="0"/>
                <w:numId w:val="1"/>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延期。</w:t>
            </w:r>
          </w:p>
        </w:tc>
        <w:tc>
          <w:tcPr>
            <w:tcW w:w="191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《重庆市液化石油气经营管理条例》第十三条</w:t>
            </w:r>
          </w:p>
        </w:tc>
        <w:tc>
          <w:tcPr>
            <w:tcW w:w="2962" w:type="dxa"/>
            <w:vMerge w:val="continue"/>
            <w:tcBorders>
              <w:left w:val="nil"/>
              <w:right w:val="single" w:color="auto" w:sz="4" w:space="0"/>
            </w:tcBorders>
            <w:vAlign w:val="center"/>
          </w:tcPr>
          <w:p>
            <w:pPr>
              <w:spacing w:line="240" w:lineRule="exact"/>
              <w:jc w:val="left"/>
              <w:rPr>
                <w:rFonts w:ascii="Times New Roman" w:hAnsi="Times New Roman" w:eastAsia="方正仿宋_GBK"/>
                <w:color w:val="auto"/>
                <w:kern w:val="0"/>
                <w:sz w:val="20"/>
                <w:szCs w:val="20"/>
              </w:rPr>
            </w:pPr>
          </w:p>
        </w:tc>
        <w:tc>
          <w:tcPr>
            <w:tcW w:w="1546"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65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21" w:hRule="atLeast"/>
        </w:trPr>
        <w:tc>
          <w:tcPr>
            <w:tcW w:w="54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3</w:t>
            </w:r>
          </w:p>
        </w:tc>
        <w:tc>
          <w:tcPr>
            <w:tcW w:w="1151"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lang w:eastAsia="zh-CN"/>
              </w:rPr>
            </w:pPr>
            <w:r>
              <w:rPr>
                <w:rFonts w:hint="eastAsia" w:ascii="Times New Roman" w:hAnsi="Times New Roman" w:eastAsia="方正仿宋_GBK"/>
                <w:color w:val="auto"/>
                <w:kern w:val="0"/>
                <w:sz w:val="20"/>
                <w:szCs w:val="20"/>
                <w:lang w:eastAsia="zh-CN"/>
              </w:rPr>
              <w:t>区商务局</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lang w:val="en-US" w:eastAsia="zh-CN"/>
              </w:rPr>
              <w:t>69659949-A-003</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行政许可</w:t>
            </w:r>
          </w:p>
        </w:tc>
        <w:tc>
          <w:tcPr>
            <w:tcW w:w="148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典当企业及分支机构设立、变更审批（初审）</w:t>
            </w:r>
          </w:p>
        </w:tc>
        <w:tc>
          <w:tcPr>
            <w:tcW w:w="1837" w:type="dxa"/>
            <w:tcBorders>
              <w:top w:val="nil"/>
              <w:left w:val="nil"/>
              <w:bottom w:val="single" w:color="auto" w:sz="4" w:space="0"/>
              <w:right w:val="single" w:color="auto" w:sz="4" w:space="0"/>
            </w:tcBorders>
            <w:vAlign w:val="center"/>
          </w:tcPr>
          <w:p>
            <w:pPr>
              <w:widowControl/>
              <w:numPr>
                <w:ilvl w:val="0"/>
                <w:numId w:val="2"/>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典当行设立申请</w:t>
            </w:r>
          </w:p>
          <w:p>
            <w:pPr>
              <w:widowControl/>
              <w:numPr>
                <w:ilvl w:val="0"/>
                <w:numId w:val="2"/>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开设分支机构申请</w:t>
            </w:r>
          </w:p>
        </w:tc>
        <w:tc>
          <w:tcPr>
            <w:tcW w:w="191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《典当管理办法》（商务部公安部令</w:t>
            </w:r>
            <w:r>
              <w:rPr>
                <w:rFonts w:ascii="Times New Roman" w:hAnsi="Times New Roman" w:eastAsia="方正仿宋_GBK"/>
                <w:color w:val="auto"/>
                <w:kern w:val="0"/>
                <w:sz w:val="20"/>
                <w:szCs w:val="20"/>
              </w:rPr>
              <w:t>2005</w:t>
            </w:r>
            <w:r>
              <w:rPr>
                <w:rFonts w:hint="eastAsia" w:ascii="Times New Roman" w:hAnsi="Times New Roman" w:eastAsia="方正仿宋_GBK"/>
                <w:color w:val="auto"/>
                <w:kern w:val="0"/>
                <w:sz w:val="20"/>
                <w:szCs w:val="20"/>
              </w:rPr>
              <w:t>年第</w:t>
            </w:r>
            <w:r>
              <w:rPr>
                <w:rFonts w:ascii="Times New Roman" w:hAnsi="Times New Roman" w:eastAsia="方正仿宋_GBK"/>
                <w:color w:val="auto"/>
                <w:kern w:val="0"/>
                <w:sz w:val="20"/>
                <w:szCs w:val="20"/>
              </w:rPr>
              <w:t>8</w:t>
            </w:r>
            <w:r>
              <w:rPr>
                <w:rFonts w:hint="eastAsia" w:ascii="Times New Roman" w:hAnsi="Times New Roman" w:eastAsia="方正仿宋_GBK"/>
                <w:color w:val="auto"/>
                <w:kern w:val="0"/>
                <w:sz w:val="20"/>
                <w:szCs w:val="20"/>
              </w:rPr>
              <w:t>号）第十五条</w:t>
            </w:r>
          </w:p>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《国务院关于第六批取消和调整行政审批项目的决定》（国发〔</w:t>
            </w:r>
            <w:r>
              <w:rPr>
                <w:rFonts w:ascii="Times New Roman" w:hAnsi="Times New Roman" w:eastAsia="方正仿宋_GBK"/>
                <w:color w:val="auto"/>
                <w:kern w:val="0"/>
                <w:sz w:val="20"/>
                <w:szCs w:val="20"/>
              </w:rPr>
              <w:t>2012</w:t>
            </w:r>
            <w:r>
              <w:rPr>
                <w:rFonts w:hint="eastAsia" w:ascii="Times New Roman" w:hAnsi="Times New Roman" w:eastAsia="方正仿宋_GBK"/>
                <w:color w:val="auto"/>
                <w:kern w:val="0"/>
                <w:sz w:val="20"/>
                <w:szCs w:val="20"/>
              </w:rPr>
              <w:t>〕</w:t>
            </w:r>
            <w:r>
              <w:rPr>
                <w:rFonts w:ascii="Times New Roman" w:hAnsi="Times New Roman" w:eastAsia="方正仿宋_GBK"/>
                <w:color w:val="auto"/>
                <w:kern w:val="0"/>
                <w:sz w:val="20"/>
                <w:szCs w:val="20"/>
              </w:rPr>
              <w:t>52</w:t>
            </w:r>
            <w:r>
              <w:rPr>
                <w:rFonts w:hint="eastAsia" w:ascii="Times New Roman" w:hAnsi="Times New Roman" w:eastAsia="方正仿宋_GBK"/>
                <w:color w:val="auto"/>
                <w:kern w:val="0"/>
                <w:sz w:val="20"/>
                <w:szCs w:val="20"/>
              </w:rPr>
              <w:t>号）第</w:t>
            </w:r>
            <w:r>
              <w:rPr>
                <w:rFonts w:ascii="Times New Roman" w:hAnsi="Times New Roman" w:eastAsia="方正仿宋_GBK"/>
                <w:color w:val="auto"/>
                <w:kern w:val="0"/>
                <w:sz w:val="20"/>
                <w:szCs w:val="20"/>
              </w:rPr>
              <w:t>28</w:t>
            </w:r>
            <w:r>
              <w:rPr>
                <w:rFonts w:hint="eastAsia" w:ascii="Times New Roman" w:hAnsi="Times New Roman" w:eastAsia="方正仿宋_GBK"/>
                <w:color w:val="auto"/>
                <w:kern w:val="0"/>
                <w:sz w:val="20"/>
                <w:szCs w:val="20"/>
              </w:rPr>
              <w:t>项</w:t>
            </w:r>
          </w:p>
        </w:tc>
        <w:tc>
          <w:tcPr>
            <w:tcW w:w="2962" w:type="dxa"/>
            <w:vMerge w:val="continue"/>
            <w:tcBorders>
              <w:left w:val="nil"/>
              <w:right w:val="single" w:color="auto" w:sz="4" w:space="0"/>
            </w:tcBorders>
            <w:vAlign w:val="center"/>
          </w:tcPr>
          <w:p>
            <w:pPr>
              <w:spacing w:line="240" w:lineRule="exact"/>
              <w:jc w:val="left"/>
              <w:rPr>
                <w:rFonts w:ascii="Times New Roman" w:hAnsi="Times New Roman" w:eastAsia="方正仿宋_GBK"/>
                <w:color w:val="auto"/>
                <w:kern w:val="0"/>
                <w:sz w:val="20"/>
                <w:szCs w:val="20"/>
              </w:rPr>
            </w:pPr>
          </w:p>
        </w:tc>
        <w:tc>
          <w:tcPr>
            <w:tcW w:w="1546"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65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21" w:hRule="atLeast"/>
        </w:trPr>
        <w:tc>
          <w:tcPr>
            <w:tcW w:w="54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4</w:t>
            </w:r>
          </w:p>
        </w:tc>
        <w:tc>
          <w:tcPr>
            <w:tcW w:w="1151"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lang w:eastAsia="zh-CN"/>
              </w:rPr>
            </w:pPr>
            <w:r>
              <w:rPr>
                <w:rFonts w:hint="eastAsia" w:ascii="Times New Roman" w:hAnsi="Times New Roman" w:eastAsia="方正仿宋_GBK"/>
                <w:color w:val="auto"/>
                <w:kern w:val="0"/>
                <w:sz w:val="20"/>
                <w:szCs w:val="20"/>
                <w:lang w:eastAsia="zh-CN"/>
              </w:rPr>
              <w:t>区商务局</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lang w:val="en-US" w:eastAsia="zh-CN"/>
              </w:rPr>
              <w:t>69659949-A-004</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行政许可</w:t>
            </w:r>
          </w:p>
        </w:tc>
        <w:tc>
          <w:tcPr>
            <w:tcW w:w="148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旧机动车鉴定评估机构设立审批</w:t>
            </w:r>
          </w:p>
        </w:tc>
        <w:tc>
          <w:tcPr>
            <w:tcW w:w="1837"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　</w:t>
            </w:r>
          </w:p>
        </w:tc>
        <w:tc>
          <w:tcPr>
            <w:tcW w:w="191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　《二手车流通管理办法》（商务部、公安部、工商总局、税务总局令</w:t>
            </w:r>
            <w:r>
              <w:rPr>
                <w:rFonts w:ascii="Times New Roman" w:hAnsi="Times New Roman" w:eastAsia="方正仿宋_GBK"/>
                <w:color w:val="auto"/>
                <w:kern w:val="0"/>
                <w:sz w:val="20"/>
                <w:szCs w:val="20"/>
              </w:rPr>
              <w:t>2005</w:t>
            </w:r>
            <w:r>
              <w:rPr>
                <w:rFonts w:hint="eastAsia" w:ascii="Times New Roman" w:hAnsi="Times New Roman" w:eastAsia="方正仿宋_GBK"/>
                <w:color w:val="auto"/>
                <w:kern w:val="0"/>
                <w:sz w:val="20"/>
                <w:szCs w:val="20"/>
              </w:rPr>
              <w:t>年第</w:t>
            </w:r>
            <w:r>
              <w:rPr>
                <w:rFonts w:ascii="Times New Roman" w:hAnsi="Times New Roman" w:eastAsia="方正仿宋_GBK"/>
                <w:color w:val="auto"/>
                <w:kern w:val="0"/>
                <w:sz w:val="20"/>
                <w:szCs w:val="20"/>
              </w:rPr>
              <w:t>2</w:t>
            </w:r>
            <w:r>
              <w:rPr>
                <w:rFonts w:hint="eastAsia" w:ascii="Times New Roman" w:hAnsi="Times New Roman" w:eastAsia="方正仿宋_GBK"/>
                <w:color w:val="auto"/>
                <w:kern w:val="0"/>
                <w:sz w:val="20"/>
                <w:szCs w:val="20"/>
              </w:rPr>
              <w:t>号</w:t>
            </w:r>
            <w:r>
              <w:rPr>
                <w:rFonts w:ascii="Times New Roman" w:hAnsi="Times New Roman" w:eastAsia="方正仿宋_GBK"/>
                <w:color w:val="auto"/>
                <w:kern w:val="0"/>
                <w:sz w:val="20"/>
                <w:szCs w:val="20"/>
              </w:rPr>
              <w:t xml:space="preserve"> </w:t>
            </w:r>
            <w:r>
              <w:rPr>
                <w:rFonts w:hint="eastAsia" w:ascii="Times New Roman" w:hAnsi="Times New Roman" w:eastAsia="方正仿宋_GBK"/>
                <w:color w:val="auto"/>
                <w:kern w:val="0"/>
                <w:sz w:val="20"/>
                <w:szCs w:val="20"/>
              </w:rPr>
              <w:t>）第十条</w:t>
            </w:r>
          </w:p>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《重庆市人民政府关于取消和下放一批行政审批项目等事项的决定》（渝府发〔</w:t>
            </w:r>
            <w:r>
              <w:rPr>
                <w:rFonts w:ascii="Times New Roman" w:hAnsi="Times New Roman" w:eastAsia="方正仿宋_GBK"/>
                <w:color w:val="auto"/>
                <w:kern w:val="0"/>
                <w:sz w:val="20"/>
                <w:szCs w:val="20"/>
              </w:rPr>
              <w:t>2013</w:t>
            </w:r>
            <w:r>
              <w:rPr>
                <w:rFonts w:hint="eastAsia" w:ascii="Times New Roman" w:hAnsi="Times New Roman" w:eastAsia="方正仿宋_GBK"/>
                <w:color w:val="auto"/>
                <w:kern w:val="0"/>
                <w:sz w:val="20"/>
                <w:szCs w:val="20"/>
              </w:rPr>
              <w:t>〕</w:t>
            </w:r>
            <w:r>
              <w:rPr>
                <w:rFonts w:ascii="Times New Roman" w:hAnsi="Times New Roman" w:eastAsia="方正仿宋_GBK"/>
                <w:color w:val="auto"/>
                <w:kern w:val="0"/>
                <w:sz w:val="20"/>
                <w:szCs w:val="20"/>
              </w:rPr>
              <w:t>50</w:t>
            </w:r>
            <w:r>
              <w:rPr>
                <w:rFonts w:hint="eastAsia" w:ascii="Times New Roman" w:hAnsi="Times New Roman" w:eastAsia="方正仿宋_GBK"/>
                <w:color w:val="auto"/>
                <w:kern w:val="0"/>
                <w:sz w:val="20"/>
                <w:szCs w:val="20"/>
              </w:rPr>
              <w:t>号）第</w:t>
            </w:r>
            <w:r>
              <w:rPr>
                <w:rFonts w:ascii="Times New Roman" w:hAnsi="Times New Roman" w:eastAsia="方正仿宋_GBK"/>
                <w:color w:val="auto"/>
                <w:kern w:val="0"/>
                <w:sz w:val="20"/>
                <w:szCs w:val="20"/>
              </w:rPr>
              <w:t>43</w:t>
            </w:r>
            <w:r>
              <w:rPr>
                <w:rFonts w:hint="eastAsia" w:ascii="Times New Roman" w:hAnsi="Times New Roman" w:eastAsia="方正仿宋_GBK"/>
                <w:color w:val="auto"/>
                <w:kern w:val="0"/>
                <w:sz w:val="20"/>
                <w:szCs w:val="20"/>
              </w:rPr>
              <w:t>项</w:t>
            </w:r>
          </w:p>
        </w:tc>
        <w:tc>
          <w:tcPr>
            <w:tcW w:w="2962"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546"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65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590" w:hRule="atLeast"/>
        </w:trPr>
        <w:tc>
          <w:tcPr>
            <w:tcW w:w="544" w:type="dxa"/>
            <w:tcBorders>
              <w:top w:val="nil"/>
              <w:left w:val="single" w:color="auto" w:sz="4" w:space="0"/>
              <w:bottom w:val="single" w:color="auto" w:sz="4" w:space="0"/>
              <w:right w:val="single" w:color="auto" w:sz="4" w:space="0"/>
            </w:tcBorders>
            <w:vAlign w:val="center"/>
          </w:tcPr>
          <w:p>
            <w:pPr>
              <w:widowControl/>
              <w:spacing w:line="240" w:lineRule="exact"/>
              <w:ind w:firstLine="31680" w:firstLineChars="50"/>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5</w:t>
            </w:r>
          </w:p>
        </w:tc>
        <w:tc>
          <w:tcPr>
            <w:tcW w:w="1151"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lang w:eastAsia="zh-CN"/>
              </w:rPr>
            </w:pPr>
            <w:r>
              <w:rPr>
                <w:rFonts w:hint="eastAsia" w:ascii="Times New Roman" w:hAnsi="Times New Roman" w:eastAsia="方正仿宋_GBK"/>
                <w:color w:val="auto"/>
                <w:kern w:val="0"/>
                <w:sz w:val="20"/>
                <w:szCs w:val="20"/>
                <w:lang w:eastAsia="zh-CN"/>
              </w:rPr>
              <w:t>区商务局</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lang w:val="en-US" w:eastAsia="zh-CN"/>
              </w:rPr>
              <w:t>69659949-A-005</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行政许可</w:t>
            </w:r>
          </w:p>
        </w:tc>
        <w:tc>
          <w:tcPr>
            <w:tcW w:w="148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拍卖企业分公司设立审批</w:t>
            </w:r>
          </w:p>
        </w:tc>
        <w:tc>
          <w:tcPr>
            <w:tcW w:w="1837"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　</w:t>
            </w:r>
          </w:p>
        </w:tc>
        <w:tc>
          <w:tcPr>
            <w:tcW w:w="191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　《拍卖法》第十一条</w:t>
            </w:r>
          </w:p>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《拍卖管理办法》（商务部令</w:t>
            </w:r>
            <w:r>
              <w:rPr>
                <w:rFonts w:ascii="Times New Roman" w:hAnsi="Times New Roman" w:eastAsia="方正仿宋_GBK"/>
                <w:color w:val="auto"/>
                <w:kern w:val="0"/>
                <w:sz w:val="20"/>
                <w:szCs w:val="20"/>
              </w:rPr>
              <w:t>2004</w:t>
            </w:r>
            <w:r>
              <w:rPr>
                <w:rFonts w:hint="eastAsia" w:ascii="Times New Roman" w:hAnsi="Times New Roman" w:eastAsia="方正仿宋_GBK"/>
                <w:color w:val="auto"/>
                <w:kern w:val="0"/>
                <w:sz w:val="20"/>
                <w:szCs w:val="20"/>
              </w:rPr>
              <w:t>年第</w:t>
            </w:r>
            <w:r>
              <w:rPr>
                <w:rFonts w:ascii="Times New Roman" w:hAnsi="Times New Roman" w:eastAsia="方正仿宋_GBK"/>
                <w:color w:val="auto"/>
                <w:kern w:val="0"/>
                <w:sz w:val="20"/>
                <w:szCs w:val="20"/>
              </w:rPr>
              <w:t>24</w:t>
            </w:r>
            <w:r>
              <w:rPr>
                <w:rFonts w:hint="eastAsia" w:ascii="Times New Roman" w:hAnsi="Times New Roman" w:eastAsia="方正仿宋_GBK"/>
                <w:color w:val="auto"/>
                <w:kern w:val="0"/>
                <w:sz w:val="20"/>
                <w:szCs w:val="20"/>
              </w:rPr>
              <w:t>号）第十三条</w:t>
            </w:r>
          </w:p>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《重庆市人民政府关于公布</w:t>
            </w:r>
            <w:r>
              <w:rPr>
                <w:rFonts w:ascii="Times New Roman" w:hAnsi="Times New Roman" w:eastAsia="方正仿宋_GBK"/>
                <w:color w:val="auto"/>
                <w:kern w:val="0"/>
                <w:sz w:val="20"/>
                <w:szCs w:val="20"/>
              </w:rPr>
              <w:t>2014</w:t>
            </w:r>
            <w:r>
              <w:rPr>
                <w:rFonts w:hint="eastAsia" w:ascii="Times New Roman" w:hAnsi="Times New Roman" w:eastAsia="方正仿宋_GBK"/>
                <w:color w:val="auto"/>
                <w:kern w:val="0"/>
                <w:sz w:val="20"/>
                <w:szCs w:val="20"/>
              </w:rPr>
              <w:t>年行政审批制度改革事项目录（第一批）的决定》（渝府发〔</w:t>
            </w:r>
            <w:r>
              <w:rPr>
                <w:rFonts w:ascii="Times New Roman" w:hAnsi="Times New Roman" w:eastAsia="方正仿宋_GBK"/>
                <w:color w:val="auto"/>
                <w:kern w:val="0"/>
                <w:sz w:val="20"/>
                <w:szCs w:val="20"/>
              </w:rPr>
              <w:t>2014</w:t>
            </w:r>
            <w:r>
              <w:rPr>
                <w:rFonts w:hint="eastAsia" w:ascii="Times New Roman" w:hAnsi="Times New Roman" w:eastAsia="方正仿宋_GBK"/>
                <w:color w:val="auto"/>
                <w:kern w:val="0"/>
                <w:sz w:val="20"/>
                <w:szCs w:val="20"/>
              </w:rPr>
              <w:t>〕</w:t>
            </w:r>
            <w:r>
              <w:rPr>
                <w:rFonts w:ascii="Times New Roman" w:hAnsi="Times New Roman" w:eastAsia="方正仿宋_GBK"/>
                <w:color w:val="auto"/>
                <w:kern w:val="0"/>
                <w:sz w:val="20"/>
                <w:szCs w:val="20"/>
              </w:rPr>
              <w:t>32</w:t>
            </w:r>
            <w:r>
              <w:rPr>
                <w:rFonts w:hint="eastAsia" w:ascii="Times New Roman" w:hAnsi="Times New Roman" w:eastAsia="方正仿宋_GBK"/>
                <w:color w:val="auto"/>
                <w:kern w:val="0"/>
                <w:sz w:val="20"/>
                <w:szCs w:val="20"/>
              </w:rPr>
              <w:t>号）第</w:t>
            </w:r>
            <w:r>
              <w:rPr>
                <w:rFonts w:ascii="Times New Roman" w:hAnsi="Times New Roman" w:eastAsia="方正仿宋_GBK"/>
                <w:color w:val="auto"/>
                <w:kern w:val="0"/>
                <w:sz w:val="20"/>
                <w:szCs w:val="20"/>
              </w:rPr>
              <w:t>39</w:t>
            </w:r>
            <w:r>
              <w:rPr>
                <w:rFonts w:hint="eastAsia" w:ascii="Times New Roman" w:hAnsi="Times New Roman" w:eastAsia="方正仿宋_GBK"/>
                <w:color w:val="auto"/>
                <w:kern w:val="0"/>
                <w:sz w:val="20"/>
                <w:szCs w:val="20"/>
              </w:rPr>
              <w:t>项</w:t>
            </w:r>
          </w:p>
        </w:tc>
        <w:tc>
          <w:tcPr>
            <w:tcW w:w="2962"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546"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65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30" w:hRule="atLeast"/>
        </w:trPr>
        <w:tc>
          <w:tcPr>
            <w:tcW w:w="54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6</w:t>
            </w:r>
          </w:p>
        </w:tc>
        <w:tc>
          <w:tcPr>
            <w:tcW w:w="1151"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区县粮食行政管理部门</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lang w:val="en-US" w:eastAsia="zh-CN"/>
              </w:rPr>
              <w:t>69659949-A-006</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行政许可</w:t>
            </w:r>
          </w:p>
        </w:tc>
        <w:tc>
          <w:tcPr>
            <w:tcW w:w="148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在县级工商部门登记的粮食企业收购资格认定</w:t>
            </w:r>
          </w:p>
        </w:tc>
        <w:tc>
          <w:tcPr>
            <w:tcW w:w="1837" w:type="dxa"/>
            <w:tcBorders>
              <w:top w:val="nil"/>
              <w:left w:val="nil"/>
              <w:bottom w:val="single" w:color="auto" w:sz="4" w:space="0"/>
              <w:right w:val="single" w:color="auto" w:sz="4" w:space="0"/>
            </w:tcBorders>
            <w:vAlign w:val="center"/>
          </w:tcPr>
          <w:p>
            <w:pPr>
              <w:widowControl/>
              <w:numPr>
                <w:ilvl w:val="0"/>
                <w:numId w:val="3"/>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申办。</w:t>
            </w:r>
            <w:r>
              <w:rPr>
                <w:rFonts w:ascii="Times New Roman" w:hAnsi="Times New Roman" w:eastAsia="方正仿宋_GBK"/>
                <w:color w:val="auto"/>
                <w:kern w:val="0"/>
                <w:sz w:val="20"/>
                <w:szCs w:val="20"/>
              </w:rPr>
              <w:t xml:space="preserve"> </w:t>
            </w:r>
          </w:p>
          <w:p>
            <w:pPr>
              <w:widowControl/>
              <w:numPr>
                <w:ilvl w:val="0"/>
                <w:numId w:val="3"/>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变更</w:t>
            </w:r>
          </w:p>
          <w:p>
            <w:pPr>
              <w:widowControl/>
              <w:numPr>
                <w:ilvl w:val="0"/>
                <w:numId w:val="3"/>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注销</w:t>
            </w:r>
          </w:p>
        </w:tc>
        <w:tc>
          <w:tcPr>
            <w:tcW w:w="191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《粮食流通管理条例》（</w:t>
            </w:r>
            <w:r>
              <w:rPr>
                <w:rFonts w:ascii="Times New Roman" w:hAnsi="Times New Roman" w:eastAsia="方正仿宋_GBK"/>
                <w:color w:val="auto"/>
                <w:kern w:val="0"/>
                <w:sz w:val="20"/>
                <w:szCs w:val="20"/>
              </w:rPr>
              <w:t>2004</w:t>
            </w:r>
            <w:r>
              <w:rPr>
                <w:rFonts w:hint="eastAsia" w:ascii="Times New Roman" w:hAnsi="Times New Roman" w:eastAsia="方正仿宋_GBK"/>
                <w:color w:val="auto"/>
                <w:kern w:val="0"/>
                <w:sz w:val="20"/>
                <w:szCs w:val="20"/>
              </w:rPr>
              <w:t>年国务院令第</w:t>
            </w:r>
            <w:r>
              <w:rPr>
                <w:rFonts w:ascii="Times New Roman" w:hAnsi="Times New Roman" w:eastAsia="方正仿宋_GBK"/>
                <w:color w:val="auto"/>
                <w:kern w:val="0"/>
                <w:sz w:val="20"/>
                <w:szCs w:val="20"/>
              </w:rPr>
              <w:t>407</w:t>
            </w:r>
            <w:r>
              <w:rPr>
                <w:rFonts w:hint="eastAsia" w:ascii="Times New Roman" w:hAnsi="Times New Roman" w:eastAsia="方正仿宋_GBK"/>
                <w:color w:val="auto"/>
                <w:kern w:val="0"/>
                <w:sz w:val="20"/>
                <w:szCs w:val="20"/>
              </w:rPr>
              <w:t>号）第九条。</w:t>
            </w:r>
          </w:p>
        </w:tc>
        <w:tc>
          <w:tcPr>
            <w:tcW w:w="2962"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546"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65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30" w:hRule="atLeast"/>
        </w:trPr>
        <w:tc>
          <w:tcPr>
            <w:tcW w:w="54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7</w:t>
            </w:r>
          </w:p>
        </w:tc>
        <w:tc>
          <w:tcPr>
            <w:tcW w:w="1151"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lang w:eastAsia="zh-CN"/>
              </w:rPr>
            </w:pPr>
            <w:r>
              <w:rPr>
                <w:rFonts w:hint="eastAsia" w:ascii="Times New Roman" w:hAnsi="Times New Roman" w:eastAsia="方正仿宋_GBK"/>
                <w:color w:val="auto"/>
                <w:kern w:val="0"/>
                <w:sz w:val="20"/>
                <w:szCs w:val="20"/>
                <w:lang w:eastAsia="zh-CN"/>
              </w:rPr>
              <w:t>区商务局</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lang w:val="en-US" w:eastAsia="zh-CN"/>
              </w:rPr>
              <w:t>69659949-A-007</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行政许可</w:t>
            </w:r>
          </w:p>
        </w:tc>
        <w:tc>
          <w:tcPr>
            <w:tcW w:w="148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外商投资企业合同、章程生效审批、变更审批、终止审批</w:t>
            </w:r>
          </w:p>
        </w:tc>
        <w:tc>
          <w:tcPr>
            <w:tcW w:w="1837" w:type="dxa"/>
            <w:tcBorders>
              <w:top w:val="nil"/>
              <w:left w:val="nil"/>
              <w:bottom w:val="single" w:color="auto" w:sz="4" w:space="0"/>
              <w:right w:val="single" w:color="auto" w:sz="4" w:space="0"/>
            </w:tcBorders>
            <w:vAlign w:val="center"/>
          </w:tcPr>
          <w:p>
            <w:pPr>
              <w:widowControl/>
              <w:numPr>
                <w:ilvl w:val="0"/>
                <w:numId w:val="4"/>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新设中外合资（作）经营企业合同、章程审批</w:t>
            </w:r>
          </w:p>
          <w:p>
            <w:pPr>
              <w:widowControl/>
              <w:numPr>
                <w:ilvl w:val="0"/>
                <w:numId w:val="4"/>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新设外资企业章程审批</w:t>
            </w:r>
          </w:p>
          <w:p>
            <w:pPr>
              <w:widowControl/>
              <w:numPr>
                <w:ilvl w:val="0"/>
                <w:numId w:val="4"/>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外商投资企业经营范围变更</w:t>
            </w:r>
          </w:p>
          <w:p>
            <w:pPr>
              <w:widowControl/>
              <w:numPr>
                <w:ilvl w:val="0"/>
                <w:numId w:val="4"/>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外商投资企业增资变更</w:t>
            </w:r>
          </w:p>
          <w:p>
            <w:pPr>
              <w:widowControl/>
              <w:numPr>
                <w:ilvl w:val="0"/>
                <w:numId w:val="4"/>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外商投资企业减资变更</w:t>
            </w:r>
          </w:p>
          <w:p>
            <w:pPr>
              <w:widowControl/>
              <w:numPr>
                <w:ilvl w:val="0"/>
                <w:numId w:val="4"/>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外商投资企业变更经营期限</w:t>
            </w:r>
          </w:p>
          <w:p>
            <w:pPr>
              <w:widowControl/>
              <w:numPr>
                <w:ilvl w:val="0"/>
                <w:numId w:val="4"/>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外商投资企业名称、地址、投资者名称变更备案</w:t>
            </w:r>
          </w:p>
          <w:p>
            <w:pPr>
              <w:widowControl/>
              <w:numPr>
                <w:ilvl w:val="0"/>
                <w:numId w:val="4"/>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合同、章程终止审批</w:t>
            </w:r>
          </w:p>
        </w:tc>
        <w:tc>
          <w:tcPr>
            <w:tcW w:w="191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《外资企业法》第六条</w:t>
            </w:r>
          </w:p>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《中外合资经营企业法》第三条、第十三条</w:t>
            </w:r>
          </w:p>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《中外合作经营企业法》第五条、第二十四条</w:t>
            </w:r>
          </w:p>
        </w:tc>
        <w:tc>
          <w:tcPr>
            <w:tcW w:w="2962"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546"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65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30" w:hRule="atLeast"/>
        </w:trPr>
        <w:tc>
          <w:tcPr>
            <w:tcW w:w="544" w:type="dxa"/>
            <w:tcBorders>
              <w:top w:val="nil"/>
              <w:left w:val="single" w:color="auto" w:sz="4" w:space="0"/>
              <w:bottom w:val="single" w:color="auto" w:sz="4" w:space="0"/>
              <w:right w:val="single" w:color="auto" w:sz="4" w:space="0"/>
            </w:tcBorders>
            <w:vAlign w:val="center"/>
          </w:tcPr>
          <w:p>
            <w:pPr>
              <w:widowControl/>
              <w:spacing w:line="240" w:lineRule="exact"/>
              <w:jc w:val="center"/>
              <w:rPr>
                <w:rFonts w:ascii="Times New Roman" w:hAnsi="Times New Roman" w:eastAsia="方正仿宋_GBK"/>
                <w:color w:val="auto"/>
                <w:kern w:val="0"/>
                <w:sz w:val="20"/>
                <w:szCs w:val="20"/>
              </w:rPr>
            </w:pPr>
            <w:r>
              <w:rPr>
                <w:rFonts w:ascii="Times New Roman" w:hAnsi="Times New Roman" w:eastAsia="方正仿宋_GBK"/>
                <w:color w:val="auto"/>
                <w:kern w:val="0"/>
                <w:sz w:val="20"/>
                <w:szCs w:val="20"/>
              </w:rPr>
              <w:t>8</w:t>
            </w:r>
          </w:p>
        </w:tc>
        <w:tc>
          <w:tcPr>
            <w:tcW w:w="1151"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lang w:eastAsia="zh-CN"/>
              </w:rPr>
            </w:pPr>
            <w:r>
              <w:rPr>
                <w:rFonts w:hint="eastAsia" w:ascii="Times New Roman" w:hAnsi="Times New Roman" w:eastAsia="方正仿宋_GBK"/>
                <w:color w:val="auto"/>
                <w:kern w:val="0"/>
                <w:sz w:val="20"/>
                <w:szCs w:val="20"/>
                <w:lang w:eastAsia="zh-CN"/>
              </w:rPr>
              <w:t>区商务局</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hint="eastAsia"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lang w:val="en-US" w:eastAsia="zh-CN"/>
              </w:rPr>
              <w:t>69659949-A-008</w:t>
            </w:r>
          </w:p>
        </w:tc>
        <w:tc>
          <w:tcPr>
            <w:tcW w:w="668"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行政许可</w:t>
            </w:r>
          </w:p>
        </w:tc>
        <w:tc>
          <w:tcPr>
            <w:tcW w:w="1482"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成品油零售及变更经营资格审批（初审）</w:t>
            </w:r>
          </w:p>
        </w:tc>
        <w:tc>
          <w:tcPr>
            <w:tcW w:w="1837" w:type="dxa"/>
            <w:tcBorders>
              <w:top w:val="nil"/>
              <w:left w:val="nil"/>
              <w:bottom w:val="single" w:color="auto" w:sz="4" w:space="0"/>
              <w:right w:val="single" w:color="auto" w:sz="4" w:space="0"/>
            </w:tcBorders>
            <w:vAlign w:val="center"/>
          </w:tcPr>
          <w:p>
            <w:pPr>
              <w:widowControl/>
              <w:numPr>
                <w:ilvl w:val="0"/>
                <w:numId w:val="5"/>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新建、迁建、原址扩建加油站预核准</w:t>
            </w:r>
          </w:p>
          <w:p>
            <w:pPr>
              <w:widowControl/>
              <w:numPr>
                <w:ilvl w:val="0"/>
                <w:numId w:val="5"/>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新建、迁建、原址扩建加油站竣工申请成品油零售经营许可</w:t>
            </w:r>
          </w:p>
          <w:p>
            <w:pPr>
              <w:widowControl/>
              <w:numPr>
                <w:ilvl w:val="0"/>
                <w:numId w:val="5"/>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成品油零售经营企业申请变更《成品油零售经营批准证书》</w:t>
            </w:r>
          </w:p>
          <w:p>
            <w:pPr>
              <w:widowControl/>
              <w:numPr>
                <w:ilvl w:val="0"/>
                <w:numId w:val="5"/>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加油站歇业、注销初审</w:t>
            </w:r>
          </w:p>
          <w:p>
            <w:pPr>
              <w:widowControl/>
              <w:numPr>
                <w:ilvl w:val="0"/>
                <w:numId w:val="5"/>
              </w:numPr>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加油站补办经营许可初审</w:t>
            </w:r>
          </w:p>
        </w:tc>
        <w:tc>
          <w:tcPr>
            <w:tcW w:w="1919"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《国务院对确需保留的行政审批项目设定行政许可的决定》（国务院令第</w:t>
            </w:r>
            <w:r>
              <w:rPr>
                <w:rFonts w:ascii="Times New Roman" w:hAnsi="Times New Roman" w:eastAsia="方正仿宋_GBK"/>
                <w:color w:val="auto"/>
                <w:kern w:val="0"/>
                <w:sz w:val="20"/>
                <w:szCs w:val="20"/>
              </w:rPr>
              <w:t>412</w:t>
            </w:r>
            <w:r>
              <w:rPr>
                <w:rFonts w:hint="eastAsia" w:ascii="Times New Roman" w:hAnsi="Times New Roman" w:eastAsia="方正仿宋_GBK"/>
                <w:color w:val="auto"/>
                <w:kern w:val="0"/>
                <w:sz w:val="20"/>
                <w:szCs w:val="20"/>
              </w:rPr>
              <w:t>号）第</w:t>
            </w:r>
            <w:r>
              <w:rPr>
                <w:rFonts w:ascii="Times New Roman" w:hAnsi="Times New Roman" w:eastAsia="方正仿宋_GBK"/>
                <w:color w:val="auto"/>
                <w:kern w:val="0"/>
                <w:sz w:val="20"/>
                <w:szCs w:val="20"/>
              </w:rPr>
              <w:t>183</w:t>
            </w:r>
            <w:r>
              <w:rPr>
                <w:rFonts w:hint="eastAsia" w:ascii="Times New Roman" w:hAnsi="Times New Roman" w:eastAsia="方正仿宋_GBK"/>
                <w:color w:val="auto"/>
                <w:kern w:val="0"/>
                <w:sz w:val="20"/>
                <w:szCs w:val="20"/>
              </w:rPr>
              <w:t>项</w:t>
            </w:r>
          </w:p>
          <w:p>
            <w:pPr>
              <w:widowControl/>
              <w:spacing w:line="240" w:lineRule="exact"/>
              <w:jc w:val="left"/>
              <w:rPr>
                <w:rFonts w:ascii="Times New Roman" w:hAnsi="Times New Roman" w:eastAsia="方正仿宋_GBK"/>
                <w:color w:val="auto"/>
                <w:kern w:val="0"/>
                <w:sz w:val="20"/>
                <w:szCs w:val="20"/>
              </w:rPr>
            </w:pPr>
            <w:r>
              <w:rPr>
                <w:rFonts w:hint="eastAsia" w:ascii="Times New Roman" w:hAnsi="Times New Roman" w:eastAsia="方正仿宋_GBK"/>
                <w:color w:val="auto"/>
                <w:kern w:val="0"/>
                <w:sz w:val="20"/>
                <w:szCs w:val="20"/>
              </w:rPr>
              <w:t>《成品油市场管理办法》（商务部令</w:t>
            </w:r>
            <w:r>
              <w:rPr>
                <w:rFonts w:ascii="Times New Roman" w:hAnsi="Times New Roman" w:eastAsia="方正仿宋_GBK"/>
                <w:color w:val="auto"/>
                <w:kern w:val="0"/>
                <w:sz w:val="20"/>
                <w:szCs w:val="20"/>
              </w:rPr>
              <w:t>2006</w:t>
            </w:r>
            <w:r>
              <w:rPr>
                <w:rFonts w:hint="eastAsia" w:ascii="Times New Roman" w:hAnsi="Times New Roman" w:eastAsia="方正仿宋_GBK"/>
                <w:color w:val="auto"/>
                <w:kern w:val="0"/>
                <w:sz w:val="20"/>
                <w:szCs w:val="20"/>
              </w:rPr>
              <w:t>年第</w:t>
            </w:r>
            <w:r>
              <w:rPr>
                <w:rFonts w:ascii="Times New Roman" w:hAnsi="Times New Roman" w:eastAsia="方正仿宋_GBK"/>
                <w:color w:val="auto"/>
                <w:kern w:val="0"/>
                <w:sz w:val="20"/>
                <w:szCs w:val="20"/>
              </w:rPr>
              <w:t>23</w:t>
            </w:r>
            <w:r>
              <w:rPr>
                <w:rFonts w:hint="eastAsia" w:ascii="Times New Roman" w:hAnsi="Times New Roman" w:eastAsia="方正仿宋_GBK"/>
                <w:color w:val="auto"/>
                <w:kern w:val="0"/>
                <w:sz w:val="20"/>
                <w:szCs w:val="20"/>
              </w:rPr>
              <w:t>号）第六条</w:t>
            </w:r>
          </w:p>
        </w:tc>
        <w:tc>
          <w:tcPr>
            <w:tcW w:w="2962"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546" w:type="dxa"/>
            <w:vMerge w:val="continue"/>
            <w:tcBorders>
              <w:left w:val="nil"/>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655"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r>
      <w:tr>
        <w:tblPrEx>
          <w:tblBorders>
            <w:top w:val="none" w:color="auto" w:sz="0" w:space="0"/>
            <w:left w:val="none" w:color="auto" w:sz="0" w:space="0"/>
            <w:bottom w:val="none" w:color="auto" w:sz="0" w:space="0"/>
            <w:right w:val="none" w:color="auto" w:sz="0" w:space="0"/>
            <w:insideH w:val="none" w:color="auto" w:sz="0" w:space="0"/>
            <w:insideV w:val="none" w:color="auto" w:sz="0" w:space="0"/>
          </w:tblBorders>
          <w:tblLayout w:type="fixed"/>
          <w:tblCellMar>
            <w:left w:w="108" w:type="dxa"/>
            <w:right w:w="108" w:type="dxa"/>
          </w:tblCellMar>
        </w:tblPrEx>
        <w:trPr>
          <w:trHeight w:val="930" w:hRule="atLeast"/>
        </w:trPr>
        <w:tc>
          <w:tcPr>
            <w:tcW w:w="544" w:type="dxa"/>
            <w:tcBorders>
              <w:top w:val="nil"/>
              <w:left w:val="single" w:color="auto" w:sz="4" w:space="0"/>
              <w:bottom w:val="single" w:color="auto" w:sz="4" w:space="0"/>
              <w:right w:val="single" w:color="auto" w:sz="4" w:space="0"/>
            </w:tcBorders>
            <w:vAlign w:val="center"/>
          </w:tcPr>
          <w:p>
            <w:pPr>
              <w:pStyle w:val="6"/>
              <w:widowControl/>
              <w:spacing w:line="260" w:lineRule="exact"/>
              <w:ind w:firstLine="0" w:firstLineChars="0"/>
              <w:rPr>
                <w:rFonts w:ascii="Times New Roman" w:hAnsi="Times New Roman"/>
                <w:color w:val="auto"/>
                <w:kern w:val="0"/>
                <w:sz w:val="22"/>
                <w:szCs w:val="22"/>
              </w:rPr>
            </w:pPr>
            <w:r>
              <w:rPr>
                <w:rFonts w:ascii="Times New Roman" w:hAnsi="Times New Roman"/>
                <w:color w:val="auto"/>
                <w:kern w:val="0"/>
                <w:sz w:val="22"/>
                <w:szCs w:val="22"/>
              </w:rPr>
              <w:t>9</w:t>
            </w:r>
          </w:p>
        </w:tc>
        <w:tc>
          <w:tcPr>
            <w:tcW w:w="1151" w:type="dxa"/>
            <w:tcBorders>
              <w:top w:val="nil"/>
              <w:left w:val="nil"/>
              <w:bottom w:val="single" w:color="auto" w:sz="4" w:space="0"/>
              <w:right w:val="single" w:color="auto" w:sz="4" w:space="0"/>
            </w:tcBorders>
            <w:vAlign w:val="center"/>
          </w:tcPr>
          <w:p>
            <w:pPr>
              <w:widowControl/>
              <w:spacing w:line="260" w:lineRule="exact"/>
              <w:jc w:val="center"/>
              <w:rPr>
                <w:rFonts w:hint="eastAsia" w:ascii="Times New Roman" w:hAnsi="Times New Roman" w:eastAsia="方正仿宋_GBK"/>
                <w:color w:val="auto"/>
                <w:kern w:val="0"/>
                <w:sz w:val="22"/>
                <w:szCs w:val="22"/>
                <w:lang w:eastAsia="zh-CN"/>
              </w:rPr>
            </w:pPr>
            <w:r>
              <w:rPr>
                <w:rFonts w:hint="eastAsia" w:ascii="Times New Roman" w:hAnsi="Times New Roman" w:eastAsia="方正仿宋_GBK"/>
                <w:color w:val="auto"/>
                <w:kern w:val="0"/>
                <w:sz w:val="22"/>
                <w:szCs w:val="22"/>
                <w:lang w:eastAsia="zh-CN"/>
              </w:rPr>
              <w:t>区商务局</w:t>
            </w:r>
          </w:p>
        </w:tc>
        <w:tc>
          <w:tcPr>
            <w:tcW w:w="668" w:type="dxa"/>
            <w:tcBorders>
              <w:top w:val="nil"/>
              <w:left w:val="nil"/>
              <w:bottom w:val="single" w:color="auto" w:sz="4" w:space="0"/>
              <w:right w:val="single" w:color="auto" w:sz="4" w:space="0"/>
            </w:tcBorders>
            <w:vAlign w:val="center"/>
          </w:tcPr>
          <w:p>
            <w:pPr>
              <w:widowControl/>
              <w:spacing w:line="260" w:lineRule="exact"/>
              <w:jc w:val="center"/>
              <w:rPr>
                <w:rFonts w:hint="eastAsia" w:ascii="Times New Roman" w:hAnsi="Times New Roman" w:eastAsia="方正仿宋_GBK"/>
                <w:color w:val="auto"/>
                <w:kern w:val="0"/>
                <w:sz w:val="22"/>
                <w:szCs w:val="22"/>
              </w:rPr>
            </w:pPr>
            <w:r>
              <w:rPr>
                <w:rFonts w:hint="eastAsia" w:ascii="Times New Roman" w:hAnsi="Times New Roman" w:eastAsia="方正仿宋_GBK"/>
                <w:color w:val="auto"/>
                <w:kern w:val="0"/>
                <w:sz w:val="20"/>
                <w:szCs w:val="20"/>
                <w:lang w:val="en-US" w:eastAsia="zh-CN"/>
              </w:rPr>
              <w:t>69659949-A-009</w:t>
            </w:r>
          </w:p>
        </w:tc>
        <w:tc>
          <w:tcPr>
            <w:tcW w:w="668" w:type="dxa"/>
            <w:tcBorders>
              <w:top w:val="nil"/>
              <w:left w:val="nil"/>
              <w:bottom w:val="single" w:color="auto" w:sz="4" w:space="0"/>
              <w:right w:val="single" w:color="auto" w:sz="4" w:space="0"/>
            </w:tcBorders>
            <w:vAlign w:val="center"/>
          </w:tcPr>
          <w:p>
            <w:pPr>
              <w:widowControl/>
              <w:spacing w:line="260" w:lineRule="exact"/>
              <w:jc w:val="center"/>
              <w:rPr>
                <w:rFonts w:ascii="Times New Roman" w:hAnsi="Times New Roman" w:eastAsia="方正仿宋_GBK"/>
                <w:color w:val="auto"/>
                <w:kern w:val="0"/>
                <w:sz w:val="22"/>
                <w:szCs w:val="22"/>
              </w:rPr>
            </w:pPr>
            <w:r>
              <w:rPr>
                <w:rFonts w:hint="eastAsia" w:ascii="Times New Roman" w:hAnsi="Times New Roman" w:eastAsia="方正仿宋_GBK"/>
                <w:color w:val="auto"/>
                <w:kern w:val="0"/>
                <w:sz w:val="22"/>
                <w:szCs w:val="22"/>
              </w:rPr>
              <w:t>行政许可</w:t>
            </w:r>
          </w:p>
        </w:tc>
        <w:tc>
          <w:tcPr>
            <w:tcW w:w="1482" w:type="dxa"/>
            <w:tcBorders>
              <w:top w:val="nil"/>
              <w:left w:val="nil"/>
              <w:bottom w:val="single" w:color="auto" w:sz="4" w:space="0"/>
              <w:right w:val="single" w:color="auto" w:sz="4" w:space="0"/>
            </w:tcBorders>
            <w:vAlign w:val="center"/>
          </w:tcPr>
          <w:p>
            <w:pPr>
              <w:widowControl/>
              <w:spacing w:line="260" w:lineRule="exact"/>
              <w:rPr>
                <w:rFonts w:ascii="Times New Roman" w:hAnsi="Times New Roman" w:eastAsia="方正仿宋_GBK"/>
                <w:color w:val="auto"/>
                <w:kern w:val="0"/>
                <w:sz w:val="22"/>
                <w:szCs w:val="22"/>
              </w:rPr>
            </w:pPr>
            <w:r>
              <w:rPr>
                <w:rFonts w:hint="eastAsia" w:ascii="Times New Roman" w:hAnsi="Times New Roman" w:eastAsia="方正仿宋_GBK"/>
                <w:color w:val="auto"/>
                <w:kern w:val="0"/>
                <w:sz w:val="22"/>
                <w:szCs w:val="22"/>
              </w:rPr>
              <w:t>对外贸易经营者备案登记</w:t>
            </w:r>
          </w:p>
        </w:tc>
        <w:tc>
          <w:tcPr>
            <w:tcW w:w="1837" w:type="dxa"/>
            <w:tcBorders>
              <w:top w:val="nil"/>
              <w:left w:val="nil"/>
              <w:bottom w:val="single" w:color="auto" w:sz="4" w:space="0"/>
              <w:right w:val="single" w:color="auto" w:sz="4" w:space="0"/>
            </w:tcBorders>
            <w:vAlign w:val="center"/>
          </w:tcPr>
          <w:p>
            <w:pPr>
              <w:widowControl/>
              <w:spacing w:line="240" w:lineRule="exact"/>
              <w:jc w:val="left"/>
              <w:rPr>
                <w:rFonts w:ascii="Times New Roman" w:hAnsi="Times New Roman" w:eastAsia="方正仿宋_GBK"/>
                <w:color w:val="auto"/>
                <w:kern w:val="0"/>
                <w:sz w:val="20"/>
                <w:szCs w:val="20"/>
              </w:rPr>
            </w:pPr>
          </w:p>
        </w:tc>
        <w:tc>
          <w:tcPr>
            <w:tcW w:w="1919" w:type="dxa"/>
            <w:tcBorders>
              <w:top w:val="nil"/>
              <w:left w:val="nil"/>
              <w:bottom w:val="single" w:color="auto" w:sz="4" w:space="0"/>
              <w:right w:val="single" w:color="auto" w:sz="4" w:space="0"/>
            </w:tcBorders>
            <w:vAlign w:val="center"/>
          </w:tcPr>
          <w:p>
            <w:pPr>
              <w:widowControl/>
              <w:spacing w:line="260" w:lineRule="exact"/>
              <w:jc w:val="left"/>
              <w:rPr>
                <w:rFonts w:ascii="Times New Roman" w:hAnsi="Times New Roman" w:eastAsia="方正仿宋_GBK"/>
                <w:color w:val="auto"/>
                <w:kern w:val="0"/>
                <w:sz w:val="22"/>
                <w:szCs w:val="22"/>
              </w:rPr>
            </w:pPr>
            <w:r>
              <w:rPr>
                <w:rFonts w:hint="eastAsia" w:ascii="Times New Roman" w:hAnsi="Times New Roman" w:eastAsia="方正仿宋_GBK"/>
                <w:color w:val="auto"/>
                <w:kern w:val="0"/>
                <w:sz w:val="22"/>
                <w:szCs w:val="22"/>
              </w:rPr>
              <w:t>《中华人民共和国对外贸易法》第九条</w:t>
            </w:r>
          </w:p>
          <w:p>
            <w:pPr>
              <w:widowControl/>
              <w:spacing w:line="260" w:lineRule="exact"/>
              <w:jc w:val="left"/>
              <w:rPr>
                <w:rFonts w:ascii="Times New Roman" w:hAnsi="Times New Roman" w:eastAsia="方正仿宋_GBK"/>
                <w:color w:val="auto"/>
                <w:kern w:val="0"/>
                <w:sz w:val="22"/>
                <w:szCs w:val="22"/>
              </w:rPr>
            </w:pPr>
            <w:r>
              <w:rPr>
                <w:rFonts w:hint="eastAsia" w:ascii="Times New Roman" w:hAnsi="Times New Roman" w:eastAsia="方正仿宋_GBK"/>
                <w:color w:val="auto"/>
                <w:kern w:val="0"/>
                <w:sz w:val="22"/>
                <w:szCs w:val="22"/>
              </w:rPr>
              <w:t>《对外贸易经营者备案登记办法》第二条、第九条</w:t>
            </w:r>
          </w:p>
          <w:p>
            <w:pPr>
              <w:widowControl/>
              <w:spacing w:line="260" w:lineRule="exact"/>
              <w:jc w:val="left"/>
              <w:rPr>
                <w:rFonts w:ascii="Times New Roman" w:hAnsi="Times New Roman" w:eastAsia="方正仿宋_GBK"/>
                <w:color w:val="auto"/>
                <w:kern w:val="0"/>
                <w:sz w:val="22"/>
                <w:szCs w:val="22"/>
              </w:rPr>
            </w:pPr>
            <w:r>
              <w:rPr>
                <w:rFonts w:hint="eastAsia" w:ascii="Times New Roman" w:hAnsi="Times New Roman" w:eastAsia="方正仿宋_GBK"/>
                <w:color w:val="auto"/>
                <w:kern w:val="0"/>
                <w:sz w:val="22"/>
                <w:szCs w:val="22"/>
              </w:rPr>
              <w:t>《重庆市人民政府关于公布</w:t>
            </w:r>
            <w:r>
              <w:rPr>
                <w:rFonts w:ascii="Times New Roman" w:hAnsi="Times New Roman" w:eastAsia="方正仿宋_GBK"/>
                <w:color w:val="auto"/>
                <w:kern w:val="0"/>
                <w:sz w:val="22"/>
                <w:szCs w:val="22"/>
              </w:rPr>
              <w:t>2014</w:t>
            </w:r>
            <w:r>
              <w:rPr>
                <w:rFonts w:hint="eastAsia" w:ascii="Times New Roman" w:hAnsi="Times New Roman" w:eastAsia="方正仿宋_GBK"/>
                <w:color w:val="auto"/>
                <w:kern w:val="0"/>
                <w:sz w:val="22"/>
                <w:szCs w:val="22"/>
              </w:rPr>
              <w:t>年行政审批制度改革事项目录（第一批）的决定》（渝府发〔</w:t>
            </w:r>
            <w:r>
              <w:rPr>
                <w:rFonts w:ascii="Times New Roman" w:hAnsi="Times New Roman" w:eastAsia="方正仿宋_GBK"/>
                <w:color w:val="auto"/>
                <w:kern w:val="0"/>
                <w:sz w:val="22"/>
                <w:szCs w:val="22"/>
              </w:rPr>
              <w:t>2014</w:t>
            </w:r>
            <w:r>
              <w:rPr>
                <w:rFonts w:hint="eastAsia" w:ascii="Times New Roman" w:hAnsi="Times New Roman" w:eastAsia="方正仿宋_GBK"/>
                <w:color w:val="auto"/>
                <w:kern w:val="0"/>
                <w:sz w:val="22"/>
                <w:szCs w:val="22"/>
              </w:rPr>
              <w:t>〕</w:t>
            </w:r>
            <w:r>
              <w:rPr>
                <w:rFonts w:ascii="Times New Roman" w:hAnsi="Times New Roman" w:eastAsia="方正仿宋_GBK"/>
                <w:color w:val="auto"/>
                <w:kern w:val="0"/>
                <w:sz w:val="22"/>
                <w:szCs w:val="22"/>
              </w:rPr>
              <w:t>32</w:t>
            </w:r>
            <w:r>
              <w:rPr>
                <w:rFonts w:hint="eastAsia" w:ascii="Times New Roman" w:hAnsi="Times New Roman" w:eastAsia="方正仿宋_GBK"/>
                <w:color w:val="auto"/>
                <w:kern w:val="0"/>
                <w:sz w:val="22"/>
                <w:szCs w:val="22"/>
              </w:rPr>
              <w:t>号）第</w:t>
            </w:r>
            <w:r>
              <w:rPr>
                <w:rFonts w:ascii="Times New Roman" w:hAnsi="Times New Roman" w:eastAsia="方正仿宋_GBK"/>
                <w:color w:val="auto"/>
                <w:kern w:val="0"/>
                <w:sz w:val="22"/>
                <w:szCs w:val="22"/>
              </w:rPr>
              <w:t>43</w:t>
            </w:r>
            <w:r>
              <w:rPr>
                <w:rFonts w:hint="eastAsia" w:ascii="Times New Roman" w:hAnsi="Times New Roman" w:eastAsia="方正仿宋_GBK"/>
                <w:color w:val="auto"/>
                <w:kern w:val="0"/>
                <w:sz w:val="22"/>
                <w:szCs w:val="22"/>
              </w:rPr>
              <w:t>项</w:t>
            </w:r>
          </w:p>
        </w:tc>
        <w:tc>
          <w:tcPr>
            <w:tcW w:w="2962" w:type="dxa"/>
            <w:vMerge w:val="continue"/>
            <w:tcBorders>
              <w:left w:val="nil"/>
              <w:bottom w:val="single" w:color="auto" w:sz="4" w:space="0"/>
              <w:right w:val="single" w:color="auto" w:sz="4" w:space="0"/>
            </w:tcBorders>
            <w:vAlign w:val="center"/>
          </w:tcPr>
          <w:p>
            <w:pPr>
              <w:widowControl/>
              <w:spacing w:line="260" w:lineRule="exact"/>
              <w:jc w:val="left"/>
              <w:rPr>
                <w:rFonts w:ascii="Times New Roman" w:hAnsi="Times New Roman" w:eastAsia="方正仿宋_GBK"/>
                <w:color w:val="auto"/>
                <w:kern w:val="0"/>
                <w:sz w:val="22"/>
                <w:szCs w:val="22"/>
              </w:rPr>
            </w:pPr>
          </w:p>
        </w:tc>
        <w:tc>
          <w:tcPr>
            <w:tcW w:w="1546" w:type="dxa"/>
            <w:vMerge w:val="continue"/>
            <w:tcBorders>
              <w:left w:val="nil"/>
              <w:bottom w:val="single" w:color="auto" w:sz="4" w:space="0"/>
              <w:right w:val="single" w:color="auto" w:sz="4" w:space="0"/>
            </w:tcBorders>
            <w:vAlign w:val="center"/>
          </w:tcPr>
          <w:p>
            <w:pPr>
              <w:widowControl/>
              <w:spacing w:line="260" w:lineRule="exact"/>
              <w:rPr>
                <w:rFonts w:ascii="Times New Roman" w:hAnsi="Times New Roman" w:eastAsia="方正仿宋_GBK"/>
                <w:color w:val="auto"/>
                <w:kern w:val="0"/>
                <w:sz w:val="22"/>
                <w:szCs w:val="22"/>
              </w:rPr>
            </w:pPr>
          </w:p>
        </w:tc>
        <w:tc>
          <w:tcPr>
            <w:tcW w:w="1655" w:type="dxa"/>
            <w:tcBorders>
              <w:top w:val="nil"/>
              <w:left w:val="nil"/>
              <w:bottom w:val="single" w:color="auto" w:sz="4" w:space="0"/>
              <w:right w:val="single" w:color="auto" w:sz="4" w:space="0"/>
            </w:tcBorders>
            <w:vAlign w:val="center"/>
          </w:tcPr>
          <w:p>
            <w:pPr>
              <w:widowControl/>
              <w:spacing w:line="260" w:lineRule="exact"/>
              <w:jc w:val="center"/>
              <w:rPr>
                <w:rFonts w:ascii="Times New Roman" w:hAnsi="Times New Roman"/>
                <w:color w:val="auto"/>
                <w:kern w:val="0"/>
                <w:sz w:val="22"/>
                <w:szCs w:val="22"/>
              </w:rPr>
            </w:pPr>
          </w:p>
        </w:tc>
      </w:tr>
    </w:tbl>
    <w:p>
      <w:pPr>
        <w:spacing w:line="40" w:lineRule="exact"/>
        <w:rPr>
          <w:rFonts w:ascii="Times New Roman" w:hAnsi="Times New Roman"/>
        </w:rPr>
      </w:pPr>
    </w:p>
    <w:p>
      <w:pPr>
        <w:widowControl/>
        <w:jc w:val="left"/>
        <w:rPr>
          <w:rFonts w:ascii="Times New Roman" w:hAnsi="Times New Roman"/>
        </w:rPr>
      </w:pPr>
    </w:p>
    <w:sectPr>
      <w:headerReference r:id="rId4" w:type="default"/>
      <w:footerReference r:id="rId5" w:type="default"/>
      <w:pgSz w:w="16838" w:h="11906" w:orient="landscape"/>
      <w:pgMar w:top="1247" w:right="1247" w:bottom="1247" w:left="1247" w:header="851" w:footer="992"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Calibri">
    <w:panose1 w:val="020F0502020204030204"/>
    <w:charset w:val="00"/>
    <w:family w:val="auto"/>
    <w:pitch w:val="default"/>
    <w:sig w:usb0="E10002FF" w:usb1="4000ACFF" w:usb2="00000009" w:usb3="00000000" w:csb0="2000019F" w:csb1="00000000"/>
  </w:font>
  <w:font w:name="方正小标宋_GBK">
    <w:panose1 w:val="03000509000000000000"/>
    <w:charset w:val="86"/>
    <w:family w:val="auto"/>
    <w:pitch w:val="default"/>
    <w:sig w:usb0="00000001" w:usb1="080E0000" w:usb2="00000000" w:usb3="00000000" w:csb0="00040000" w:csb1="00000000"/>
  </w:font>
  <w:font w:name="方正黑体_GBK">
    <w:panose1 w:val="03000509000000000000"/>
    <w:charset w:val="86"/>
    <w:family w:val="auto"/>
    <w:pitch w:val="default"/>
    <w:sig w:usb0="00000001" w:usb1="080E0000" w:usb2="00000000" w:usb3="00000000" w:csb0="00040000" w:csb1="00000000"/>
  </w:font>
  <w:font w:name="方正仿宋_GBK">
    <w:panose1 w:val="03000509000000000000"/>
    <w:charset w:val="86"/>
    <w:family w:val="auto"/>
    <w:pitch w:val="default"/>
    <w:sig w:usb0="00000001" w:usb1="080E0000" w:usb2="00000000" w:usb3="00000000" w:csb0="00040000"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3"/>
    </w:pPr>
    <w:r>
      <w:rPr>
        <w:rFonts w:ascii="Calibri" w:hAnsi="Calibri" w:eastAsia="宋体" w:cs="Times New Roman"/>
        <w:kern w:val="2"/>
        <w:sz w:val="18"/>
        <w:szCs w:val="24"/>
        <w:lang w:val="en-US" w:eastAsia="zh-CN" w:bidi="ar-SA"/>
      </w:rPr>
      <w:pict>
        <v:shape id="Quad Arrow 1" o:spid="_x0000_s1025" type="#_x0000_t202" style="position:absolute;left:0;margin-top:0pt;height:144pt;width:144pt;mso-position-horizontal:center;mso-position-horizontal-relative:margin;mso-wrap-style:none;rotation:0f;z-index:251658240;" o:ole="f" fillcolor="#FFFFFF" filled="f" o:preferrelative="t" stroked="f" coordorigin="0,0" coordsize="21600,21600">
          <v:fill on="f" color2="#FFFFFF" focus="0%"/>
          <v:imagedata gain="65536f" blacklevel="0f" gamma="0"/>
          <o:lock v:ext="edit" position="f" selection="f" grouping="f" rotation="f" cropping="f" text="f" aspectratio="f"/>
          <v:textbox inset="0.00pt,0.00pt,0.00pt,0.00pt" style="mso-fit-shape-to-text:t;">
            <w:txbxContent>
              <w:p>
                <w:pPr>
                  <w:snapToGrid w:val="0"/>
                  <w:rPr>
                    <w:sz w:val="18"/>
                  </w:rPr>
                </w:pPr>
                <w:r>
                  <w:fldChar w:fldCharType="begin"/>
                </w:r>
                <w:r>
                  <w:instrText xml:space="preserve"> PAGE  \* MERGEFORMAT </w:instrText>
                </w:r>
                <w:r>
                  <w:fldChar w:fldCharType="separate"/>
                </w:r>
                <w:r>
                  <w:t>1</w:t>
                </w:r>
                <w:r>
                  <w:fldChar w:fldCharType="end"/>
                </w:r>
              </w:p>
            </w:txbxContent>
          </v:textbox>
        </v:shape>
      </w:pic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pPr>
      <w:pStyle w:val="4"/>
      <w:pBdr>
        <w:top w:val="none" w:color="auto" w:sz="0" w:space="0"/>
        <w:left w:val="none" w:color="auto" w:sz="0" w:space="0"/>
        <w:bottom w:val="none" w:color="auto" w:sz="0" w:space="0"/>
        <w:right w:val="none" w:color="auto" w:sz="0" w:space="0"/>
      </w:pBd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1889098686">
    <w:nsid w:val="70995BBE"/>
    <w:multiLevelType w:val="multilevel"/>
    <w:tmpl w:val="70995BBE"/>
    <w:lvl w:ilvl="0" w:tentative="1">
      <w:start w:val="1"/>
      <w:numFmt w:val="decimal"/>
      <w:lvlText w:val="%1."/>
      <w:lvlJc w:val="left"/>
      <w:pPr>
        <w:tabs>
          <w:tab w:val="left" w:pos="360"/>
        </w:tabs>
        <w:ind w:left="360" w:hanging="360"/>
      </w:pPr>
      <w:rPr>
        <w:rFonts w:hint="default" w:cs="Times New Roman"/>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1744058719">
    <w:nsid w:val="67F4395F"/>
    <w:multiLevelType w:val="multilevel"/>
    <w:tmpl w:val="67F4395F"/>
    <w:lvl w:ilvl="0" w:tentative="1">
      <w:start w:val="1"/>
      <w:numFmt w:val="decimal"/>
      <w:lvlText w:val="%1."/>
      <w:lvlJc w:val="left"/>
      <w:pPr>
        <w:tabs>
          <w:tab w:val="left" w:pos="360"/>
        </w:tabs>
        <w:ind w:left="360" w:hanging="360"/>
      </w:pPr>
      <w:rPr>
        <w:rFonts w:hint="default" w:cs="Times New Roman"/>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824277664">
    <w:nsid w:val="31217AA0"/>
    <w:multiLevelType w:val="multilevel"/>
    <w:tmpl w:val="31217AA0"/>
    <w:lvl w:ilvl="0" w:tentative="1">
      <w:start w:val="1"/>
      <w:numFmt w:val="decimal"/>
      <w:lvlText w:val="%1."/>
      <w:lvlJc w:val="left"/>
      <w:pPr>
        <w:tabs>
          <w:tab w:val="left" w:pos="360"/>
        </w:tabs>
        <w:ind w:left="360" w:hanging="360"/>
      </w:pPr>
      <w:rPr>
        <w:rFonts w:hint="default" w:cs="Times New Roman"/>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529611653">
    <w:nsid w:val="1F913B85"/>
    <w:multiLevelType w:val="multilevel"/>
    <w:tmpl w:val="1F913B85"/>
    <w:lvl w:ilvl="0" w:tentative="1">
      <w:start w:val="1"/>
      <w:numFmt w:val="decimal"/>
      <w:lvlText w:val="%1."/>
      <w:lvlJc w:val="left"/>
      <w:pPr>
        <w:tabs>
          <w:tab w:val="left" w:pos="360"/>
        </w:tabs>
        <w:ind w:left="360" w:hanging="360"/>
      </w:pPr>
      <w:rPr>
        <w:rFonts w:hint="default" w:cs="Times New Roman"/>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abstractNum w:abstractNumId="1831873538">
    <w:nsid w:val="6D302C02"/>
    <w:multiLevelType w:val="multilevel"/>
    <w:tmpl w:val="6D302C02"/>
    <w:lvl w:ilvl="0" w:tentative="1">
      <w:start w:val="1"/>
      <w:numFmt w:val="decimal"/>
      <w:lvlText w:val="%1."/>
      <w:lvlJc w:val="left"/>
      <w:pPr>
        <w:tabs>
          <w:tab w:val="left" w:pos="360"/>
        </w:tabs>
        <w:ind w:left="360" w:hanging="360"/>
      </w:pPr>
      <w:rPr>
        <w:rFonts w:hint="default" w:cs="Times New Roman"/>
      </w:rPr>
    </w:lvl>
    <w:lvl w:ilvl="1" w:tentative="1">
      <w:start w:val="1"/>
      <w:numFmt w:val="lowerLetter"/>
      <w:lvlText w:val="%2)"/>
      <w:lvlJc w:val="left"/>
      <w:pPr>
        <w:tabs>
          <w:tab w:val="left" w:pos="840"/>
        </w:tabs>
        <w:ind w:left="840" w:hanging="420"/>
      </w:pPr>
      <w:rPr>
        <w:rFonts w:cs="Times New Roman"/>
      </w:rPr>
    </w:lvl>
    <w:lvl w:ilvl="2" w:tentative="1">
      <w:start w:val="1"/>
      <w:numFmt w:val="lowerRoman"/>
      <w:lvlText w:val="%3."/>
      <w:lvlJc w:val="right"/>
      <w:pPr>
        <w:tabs>
          <w:tab w:val="left" w:pos="1260"/>
        </w:tabs>
        <w:ind w:left="1260" w:hanging="420"/>
      </w:pPr>
      <w:rPr>
        <w:rFonts w:cs="Times New Roman"/>
      </w:rPr>
    </w:lvl>
    <w:lvl w:ilvl="3" w:tentative="1">
      <w:start w:val="1"/>
      <w:numFmt w:val="decimal"/>
      <w:lvlText w:val="%4."/>
      <w:lvlJc w:val="left"/>
      <w:pPr>
        <w:tabs>
          <w:tab w:val="left" w:pos="1680"/>
        </w:tabs>
        <w:ind w:left="1680" w:hanging="420"/>
      </w:pPr>
      <w:rPr>
        <w:rFonts w:cs="Times New Roman"/>
      </w:rPr>
    </w:lvl>
    <w:lvl w:ilvl="4" w:tentative="1">
      <w:start w:val="1"/>
      <w:numFmt w:val="lowerLetter"/>
      <w:lvlText w:val="%5)"/>
      <w:lvlJc w:val="left"/>
      <w:pPr>
        <w:tabs>
          <w:tab w:val="left" w:pos="2100"/>
        </w:tabs>
        <w:ind w:left="2100" w:hanging="420"/>
      </w:pPr>
      <w:rPr>
        <w:rFonts w:cs="Times New Roman"/>
      </w:rPr>
    </w:lvl>
    <w:lvl w:ilvl="5" w:tentative="1">
      <w:start w:val="1"/>
      <w:numFmt w:val="lowerRoman"/>
      <w:lvlText w:val="%6."/>
      <w:lvlJc w:val="right"/>
      <w:pPr>
        <w:tabs>
          <w:tab w:val="left" w:pos="2520"/>
        </w:tabs>
        <w:ind w:left="2520" w:hanging="420"/>
      </w:pPr>
      <w:rPr>
        <w:rFonts w:cs="Times New Roman"/>
      </w:rPr>
    </w:lvl>
    <w:lvl w:ilvl="6" w:tentative="1">
      <w:start w:val="1"/>
      <w:numFmt w:val="decimal"/>
      <w:lvlText w:val="%7."/>
      <w:lvlJc w:val="left"/>
      <w:pPr>
        <w:tabs>
          <w:tab w:val="left" w:pos="2940"/>
        </w:tabs>
        <w:ind w:left="2940" w:hanging="420"/>
      </w:pPr>
      <w:rPr>
        <w:rFonts w:cs="Times New Roman"/>
      </w:rPr>
    </w:lvl>
    <w:lvl w:ilvl="7" w:tentative="1">
      <w:start w:val="1"/>
      <w:numFmt w:val="lowerLetter"/>
      <w:lvlText w:val="%8)"/>
      <w:lvlJc w:val="left"/>
      <w:pPr>
        <w:tabs>
          <w:tab w:val="left" w:pos="3360"/>
        </w:tabs>
        <w:ind w:left="3360" w:hanging="420"/>
      </w:pPr>
      <w:rPr>
        <w:rFonts w:cs="Times New Roman"/>
      </w:rPr>
    </w:lvl>
    <w:lvl w:ilvl="8" w:tentative="1">
      <w:start w:val="1"/>
      <w:numFmt w:val="lowerRoman"/>
      <w:lvlText w:val="%9."/>
      <w:lvlJc w:val="right"/>
      <w:pPr>
        <w:tabs>
          <w:tab w:val="left" w:pos="3780"/>
        </w:tabs>
        <w:ind w:left="3780" w:hanging="420"/>
      </w:pPr>
      <w:rPr>
        <w:rFonts w:cs="Times New Roman"/>
      </w:rPr>
    </w:lvl>
  </w:abstractNum>
  <w:num w:numId="1">
    <w:abstractNumId w:val="1744058719"/>
  </w:num>
  <w:num w:numId="2">
    <w:abstractNumId w:val="1831873538"/>
  </w:num>
  <w:num w:numId="3">
    <w:abstractNumId w:val="1889098686"/>
  </w:num>
  <w:num w:numId="4">
    <w:abstractNumId w:val="824277664"/>
  </w:num>
  <w:num w:numId="5">
    <w:abstractNumId w:val="52961165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90"/>
  <w:bordersDoNotSurroundHeader w:val="1"/>
  <w:bordersDoNotSurroundFooter w:val="1"/>
  <w:documentProtection w:enforcement="0"/>
  <w:defaultTabStop w:val="420"/>
  <w:drawingGridHorizontalSpacing w:val="0"/>
  <w:drawingGridVerticalSpacing w:val="156"/>
  <w:displayHorizontalDrawingGridEvery w:val="0"/>
  <w:displayVerticalDrawingGridEvery w:val="2"/>
  <w:characterSpacingControl w:val="compressPunctuation"/>
  <w:noLineBreaksAfter w:lang="zh-CN" w:val="$([{£¥·‘“〈《「『【〔〖〝﹙﹛﹝＄（．［｛￡￥"/>
  <w:noLineBreaksBefore w:lang="zh-CN" w:val="!%),.:;&gt;?]}¢¨°·ˇˉ―‖’”…‰′″›℃∶、。〃〉》」』】〕〗〞︶︺︾﹀﹄﹚﹜﹞！＂％＇），．：；？］｀｜｝～￠"/>
  <w:compat>
    <w:spaceForUL/>
    <w:balanceSingleByteDoubleByteWidth/>
    <w:doNotLeaveBackslashAlone/>
    <w:ulTrailSpace/>
    <w:splitPgBreakAndParaMark/>
    <w:doNotExpandShiftReturn/>
    <w:adjustLineHeightInTable/>
    <w:useFELayout/>
    <w:useNormalStyleForList/>
    <w:doNotUseIndentAsNumberingTabStop/>
    <w:allowSpaceOfSameStyleInTable/>
    <w:doNotSuppressIndentation/>
    <w:doNotAutofitConstrainedTables/>
    <w:autofitToFirstFixedWidthCell/>
    <w:displayHangulFixedWidth/>
    <w:doNotVertAlignCellWithSp/>
    <w:doNotBreakConstrainedForcedTable/>
    <w:doNotVertAlignInTxbx/>
    <w:useAnsiKerningPairs/>
    <w:cachedColBalance/>
  </w:compat>
  <w:uiCompat97To2003/>
  <w:shapeDefaults>
    <o:shapedefaults fillcolor="#9CBEE0" fill="t" stroke="t">
      <v:fill type="gradient" on="t" color2="#BBD5F0" focus="0%" focussize="0f,0f" focusposition="0f,0f">
        <o:fill type="gradientUnscaled" v:ext="backwardCompatible"/>
      </v:fill>
      <v:stroke weight="1.25pt" color="#739CC3" color2="#FFFFFF" miterlimit="2"/>
    </o:shapedefaults>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lang w:val="en-US" w:eastAsia="zh-CN" w:bidi="ar-SA"/>
      </w:rPr>
    </w:rPrDefault>
  </w:docDefaults>
  <w:latentStyles w:count="156"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nhideWhenUsed="0" w:uiPriority="99"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iPriority="0" w:name="index 1" w:locked="1"/>
    <w:lsdException w:uiPriority="0" w:name="index 2" w:locked="1"/>
    <w:lsdException w:uiPriority="0" w:name="index 3" w:locked="1"/>
    <w:lsdException w:uiPriority="0" w:name="index 4" w:locked="1"/>
    <w:lsdException w:uiPriority="0" w:name="index 5" w:locked="1"/>
    <w:lsdException w:uiPriority="0" w:name="index 6" w:locked="1"/>
    <w:lsdException w:uiPriority="0" w:name="index 7" w:locked="1"/>
    <w:lsdException w:uiPriority="0" w:name="index 8" w:locked="1"/>
    <w:lsdException w:uiPriority="0" w:name="index 9" w:locked="1"/>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iPriority="0" w:name="Normal Indent" w:locked="1"/>
    <w:lsdException w:uiPriority="0" w:name="footnote text" w:locked="1"/>
    <w:lsdException w:uiPriority="0" w:name="annotation text" w:locked="1"/>
    <w:lsdException w:unhideWhenUsed="0" w:uiPriority="99" w:semiHidden="0" w:name="header"/>
    <w:lsdException w:unhideWhenUsed="0" w:uiPriority="99" w:semiHidden="0" w:name="footer"/>
    <w:lsdException w:uiPriority="0" w:name="index heading" w:locked="1"/>
    <w:lsdException w:qFormat="1" w:uiPriority="0" w:name="caption"/>
    <w:lsdException w:uiPriority="0" w:name="table of figures" w:locked="1"/>
    <w:lsdException w:uiPriority="0" w:name="envelope address" w:locked="1"/>
    <w:lsdException w:uiPriority="0" w:name="envelope return" w:locked="1"/>
    <w:lsdException w:uiPriority="0" w:name="footnote reference" w:locked="1"/>
    <w:lsdException w:uiPriority="0" w:name="annotation reference" w:locked="1"/>
    <w:lsdException w:uiPriority="0" w:name="line number" w:locked="1"/>
    <w:lsdException w:uiPriority="0" w:name="page number" w:locked="1"/>
    <w:lsdException w:uiPriority="0" w:name="endnote reference" w:locked="1"/>
    <w:lsdException w:uiPriority="0" w:name="endnote text" w:locked="1"/>
    <w:lsdException w:uiPriority="0" w:name="table of authorities" w:locked="1"/>
    <w:lsdException w:uiPriority="0" w:name="macro" w:locked="1"/>
    <w:lsdException w:uiPriority="0" w:name="toa heading" w:locked="1"/>
    <w:lsdException w:uiPriority="0" w:name="List" w:locked="1"/>
    <w:lsdException w:uiPriority="0" w:name="List Bullet" w:locked="1"/>
    <w:lsdException w:uiPriority="0" w:name="List Number" w:locked="1"/>
    <w:lsdException w:uiPriority="0" w:name="List 2" w:locked="1"/>
    <w:lsdException w:uiPriority="0" w:name="List 3" w:locked="1"/>
    <w:lsdException w:uiPriority="0" w:name="List 4" w:locked="1"/>
    <w:lsdException w:uiPriority="0" w:name="List 5" w:locked="1"/>
    <w:lsdException w:uiPriority="0" w:name="List Bullet 2" w:locked="1"/>
    <w:lsdException w:uiPriority="0" w:name="List Bullet 3" w:locked="1"/>
    <w:lsdException w:uiPriority="0" w:name="List Bullet 4" w:locked="1"/>
    <w:lsdException w:uiPriority="0" w:name="List Bullet 5" w:locked="1"/>
    <w:lsdException w:uiPriority="0" w:name="List Number 2" w:locked="1"/>
    <w:lsdException w:uiPriority="0" w:name="List Number 3" w:locked="1"/>
    <w:lsdException w:uiPriority="0" w:name="List Number 4" w:locked="1"/>
    <w:lsdException w:uiPriority="0" w:name="List Number 5" w:locked="1"/>
    <w:lsdException w:qFormat="1" w:unhideWhenUsed="0" w:uiPriority="0" w:semiHidden="0" w:name="Title"/>
    <w:lsdException w:uiPriority="0" w:name="Closing" w:locked="1"/>
    <w:lsdException w:uiPriority="0" w:name="Signature" w:locked="1"/>
    <w:lsdException w:unhideWhenUsed="0" w:uiPriority="99" w:name="Default Paragraph Font"/>
    <w:lsdException w:uiPriority="0" w:name="Body Text" w:locked="1"/>
    <w:lsdException w:uiPriority="0" w:name="Body Text Indent" w:locked="1"/>
    <w:lsdException w:uiPriority="0" w:name="List Continue" w:locked="1"/>
    <w:lsdException w:uiPriority="0" w:name="List Continue 2" w:locked="1"/>
    <w:lsdException w:uiPriority="0" w:name="List Continue 3" w:locked="1"/>
    <w:lsdException w:uiPriority="0" w:name="List Continue 4" w:locked="1"/>
    <w:lsdException w:uiPriority="0" w:name="List Continue 5" w:locked="1"/>
    <w:lsdException w:uiPriority="0" w:name="Message Header" w:locked="1"/>
    <w:lsdException w:qFormat="1" w:unhideWhenUsed="0" w:uiPriority="0" w:semiHidden="0" w:name="Subtitle"/>
    <w:lsdException w:uiPriority="0" w:name="Salutation" w:locked="1"/>
    <w:lsdException w:uiPriority="0" w:name="Date" w:locked="1"/>
    <w:lsdException w:uiPriority="0" w:name="Body Text First Indent" w:locked="1"/>
    <w:lsdException w:uiPriority="0" w:name="Body Text First Indent 2" w:locked="1"/>
    <w:lsdException w:uiPriority="0" w:name="Note Heading" w:locked="1"/>
    <w:lsdException w:uiPriority="0" w:name="Body Text 2" w:locked="1"/>
    <w:lsdException w:uiPriority="0" w:name="Body Text 3" w:locked="1"/>
    <w:lsdException w:uiPriority="0" w:name="Body Text Indent 2" w:locked="1"/>
    <w:lsdException w:uiPriority="0" w:name="Body Text Indent 3" w:locked="1"/>
    <w:lsdException w:uiPriority="0" w:name="Block Text" w:locked="1"/>
    <w:lsdException w:uiPriority="0" w:name="Hyperlink" w:locked="1"/>
    <w:lsdException w:uiPriority="0" w:name="FollowedHyperlink" w:locked="1"/>
    <w:lsdException w:qFormat="1" w:unhideWhenUsed="0" w:uiPriority="0" w:semiHidden="0" w:name="Strong"/>
    <w:lsdException w:qFormat="1" w:unhideWhenUsed="0" w:uiPriority="0" w:semiHidden="0" w:name="Emphasis"/>
    <w:lsdException w:uiPriority="0" w:name="Document Map" w:locked="1"/>
    <w:lsdException w:uiPriority="0" w:name="Plain Text" w:locked="1"/>
    <w:lsdException w:uiPriority="0" w:name="E-mail Signature" w:locked="1"/>
    <w:lsdException w:uiPriority="0" w:name="Normal (Web)" w:locked="1"/>
    <w:lsdException w:uiPriority="0" w:name="HTML Acronym" w:locked="1"/>
    <w:lsdException w:uiPriority="0" w:name="HTML Address" w:locked="1"/>
    <w:lsdException w:uiPriority="0" w:name="HTML Cite" w:locked="1"/>
    <w:lsdException w:uiPriority="0" w:name="HTML Code" w:locked="1"/>
    <w:lsdException w:uiPriority="0" w:name="HTML Definition" w:locked="1"/>
    <w:lsdException w:uiPriority="0" w:name="HTML Keyboard" w:locked="1"/>
    <w:lsdException w:uiPriority="0" w:name="HTML Preformatted" w:locked="1"/>
    <w:lsdException w:uiPriority="0" w:name="HTML Sample" w:locked="1"/>
    <w:lsdException w:uiPriority="0" w:name="HTML Typewriter" w:locked="1"/>
    <w:lsdException w:uiPriority="0" w:name="HTML Variable" w:locked="1"/>
    <w:lsdException w:uiPriority="0" w:name="annotation subject" w:locked="1"/>
    <w:lsdException w:uiPriority="0" w:name="Balloon Text" w:locked="1"/>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paragraph" w:styleId="2">
    <w:name w:val="heading 3"/>
    <w:basedOn w:val="1"/>
    <w:next w:val="1"/>
    <w:link w:val="7"/>
    <w:qFormat/>
    <w:uiPriority w:val="99"/>
    <w:pPr>
      <w:spacing w:beforeAutospacing="1" w:afterAutospacing="1"/>
      <w:jc w:val="left"/>
      <w:outlineLvl w:val="2"/>
    </w:pPr>
    <w:rPr>
      <w:rFonts w:ascii="宋体" w:hAnsi="宋体"/>
      <w:b/>
      <w:color w:val="333333"/>
      <w:kern w:val="0"/>
      <w:sz w:val="24"/>
    </w:rPr>
  </w:style>
  <w:style w:type="character" w:default="1" w:styleId="5">
    <w:name w:val="Default Paragraph Font"/>
    <w:semiHidden/>
    <w:uiPriority w:val="99"/>
  </w:style>
  <w:style w:type="paragraph" w:styleId="3">
    <w:name w:val="footer"/>
    <w:basedOn w:val="1"/>
    <w:link w:val="8"/>
    <w:uiPriority w:val="99"/>
    <w:pPr>
      <w:tabs>
        <w:tab w:val="center" w:pos="4153"/>
        <w:tab w:val="right" w:pos="8306"/>
      </w:tabs>
      <w:snapToGrid w:val="0"/>
      <w:jc w:val="left"/>
    </w:pPr>
    <w:rPr>
      <w:sz w:val="18"/>
    </w:rPr>
  </w:style>
  <w:style w:type="paragraph" w:styleId="4">
    <w:name w:val="header"/>
    <w:basedOn w:val="1"/>
    <w:link w:val="9"/>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paragraph" w:customStyle="1" w:styleId="6">
    <w:name w:val="List Paragraph1"/>
    <w:basedOn w:val="1"/>
    <w:uiPriority w:val="99"/>
    <w:pPr>
      <w:ind w:firstLine="420" w:firstLineChars="200"/>
    </w:pPr>
  </w:style>
  <w:style w:type="character" w:customStyle="1" w:styleId="7">
    <w:name w:val="Heading 3 Char"/>
    <w:basedOn w:val="5"/>
    <w:link w:val="2"/>
    <w:semiHidden/>
    <w:locked/>
    <w:uiPriority w:val="99"/>
    <w:rPr>
      <w:rFonts w:ascii="Calibri" w:hAnsi="Calibri" w:cs="Times New Roman"/>
      <w:b/>
      <w:bCs/>
      <w:sz w:val="32"/>
      <w:szCs w:val="32"/>
    </w:rPr>
  </w:style>
  <w:style w:type="character" w:customStyle="1" w:styleId="8">
    <w:name w:val="Footer Char"/>
    <w:basedOn w:val="5"/>
    <w:link w:val="3"/>
    <w:semiHidden/>
    <w:locked/>
    <w:uiPriority w:val="99"/>
    <w:rPr>
      <w:rFonts w:ascii="Calibri" w:hAnsi="Calibri" w:cs="Times New Roman"/>
      <w:sz w:val="18"/>
      <w:szCs w:val="18"/>
    </w:rPr>
  </w:style>
  <w:style w:type="character" w:customStyle="1" w:styleId="9">
    <w:name w:val="Header Char"/>
    <w:basedOn w:val="5"/>
    <w:link w:val="4"/>
    <w:semiHidden/>
    <w:locked/>
    <w:uiPriority w:val="99"/>
    <w:rPr>
      <w:rFonts w:ascii="Calibri" w:hAnsi="Calibri" w:cs="Times New Roman"/>
      <w:sz w:val="18"/>
      <w:szCs w:val="18"/>
    </w:rPr>
  </w:style>
</w:styles>
</file>

<file path=word/_rels/document.xml.rels><?xml version="1.0" encoding="UTF-8" standalone="yes"?>
<Relationships xmlns="http://schemas.openxmlformats.org/package/2006/relationships"><Relationship Id="rId1" Type="http://schemas.openxmlformats.org/officeDocument/2006/relationships/fontTable" Target="fontTable.xml"/><Relationship Id="rId2" Type="http://schemas.openxmlformats.org/officeDocument/2006/relationships/styles" Target="styles.xml"/><Relationship Id="rId3" Type="http://schemas.openxmlformats.org/officeDocument/2006/relationships/settings" Target="settings.xml"/><Relationship Id="rId4" Type="http://schemas.openxmlformats.org/officeDocument/2006/relationships/header" Target="header1.xml"/><Relationship Id="rId5" Type="http://schemas.openxmlformats.org/officeDocument/2006/relationships/footer" Target="footer1.xml"/><Relationship Id="rId6" Type="http://schemas.openxmlformats.org/officeDocument/2006/relationships/theme" Target="theme/theme1.xml"/><Relationship Id="rId7" Type="http://schemas.openxmlformats.org/officeDocument/2006/relationships/customXml" Target="../customXml/item1.xml"/><Relationship Id="rId8" Type="http://schemas.openxmlformats.org/officeDocument/2006/relationships/numbering" Target="numbering.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Arab" typeface="Times New Roman"/>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Times New Roman"/>
        <a:font script="Jpan" typeface="ＭＳ Ｐゴシック"/>
        <a:font script="Khmr" typeface="MoolBoran"/>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Times New Roman"/>
        <a:font script="Yiii" typeface="Microsoft Yi Baiti"/>
      </a:majorFont>
      <a:minorFont>
        <a:latin typeface="Calibri"/>
        <a:ea typeface=""/>
        <a:cs typeface=""/>
        <a:font script="Arab" typeface="Arial"/>
        <a:font script="Beng" typeface="Vrinda"/>
        <a:font script="Cans" typeface="Euphemia"/>
        <a:font script="Cher" typeface="Plantagenet Cherokee"/>
        <a:font script="Deva" typeface="Mangal"/>
        <a:font script="Ethi" typeface="Nyala"/>
        <a:font script="Geor" typeface="Sylfaen"/>
        <a:font script="Gujr" typeface="Shruti"/>
        <a:font script="Guru" typeface="Raavi"/>
        <a:font script="Hang" typeface="맑은 고딕"/>
        <a:font script="Hans" typeface="宋体"/>
        <a:font script="Hant" typeface="新細明體"/>
        <a:font script="Hebr" typeface="Arial"/>
        <a:font script="Jpan" typeface="ＭＳ Ｐゴシック"/>
        <a:font script="Khmr" typeface="DaunPenh"/>
        <a:font script="Knda" typeface="Tunga"/>
        <a:font script="Laoo" typeface="DokChampa"/>
        <a:font script="Mlym" typeface="Kartika"/>
        <a:font script="Mong" typeface="Mongolian Baiti"/>
        <a:font script="Orya" typeface="Kalinga"/>
        <a:font script="Sinh" typeface="Iskoola Pota"/>
        <a:font script="Syrc" typeface="Estrangelo Edessa"/>
        <a:font script="Taml" typeface="Latha"/>
        <a:font script="Telu" typeface="Gautami"/>
        <a:font script="Thaa" typeface="MV Boli"/>
        <a:font script="Thai" typeface="Tahoma"/>
        <a:font script="Tibt" typeface="Microsoft Himalaya"/>
        <a:font script="Uigh" typeface="Microsoft Uighur"/>
        <a:font script="Viet" typeface="Arial"/>
        <a:font script="Yiii" typeface="Microsoft Yi Baiti"/>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atMod val="350000"/>
                <a:shade val="99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Normal_Wordconv</Template>
  <Company>Microsoft</Company>
  <Pages>5</Pages>
  <Words>353</Words>
  <Characters>2016</Characters>
  <Lines>0</Lines>
  <Paragraphs>0</Paragraphs>
  <ScaleCrop>false</ScaleCrop>
  <LinksUpToDate>false</LinksUpToDate>
  <CharactersWithSpaces>0</CharactersWithSpaces>
  <Application>WPS Office 专业版_9.1.0.4688_{F1E327BC-269C-435d-A152-05C5408002CA}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2016-08-15T03:33:00Z</dcterms:created>
  <dc:creator>Administrator</dc:creator>
  <cp:lastModifiedBy>Administrator</cp:lastModifiedBy>
  <cp:lastPrinted>2016-08-15T03:42:00Z</cp:lastPrinted>
  <dcterms:modified xsi:type="dcterms:W3CDTF">2016-09-30T08:58:47Z</dcterms:modified>
  <dc:title>重庆市区县（自治县）</dc:title>
  <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2052-9.1.0.4688</vt:lpwstr>
  </property>
</Properties>
</file>