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pStyle w:val="2"/>
      </w:pPr>
    </w:p>
    <w:p>
      <w:pPr>
        <w:rPr>
          <w:highlight w:val="none"/>
        </w:rPr>
      </w:pPr>
    </w:p>
    <w:p>
      <w:pPr>
        <w:jc w:val="right"/>
        <w:rPr>
          <w:rFonts w:hint="eastAsia"/>
        </w:rPr>
      </w:pPr>
      <w:r>
        <w:rPr>
          <w:rFonts w:hint="eastAsia"/>
          <w:highlight w:val="none"/>
          <w:lang w:eastAsia="zh-CN"/>
        </w:rPr>
        <w:t>綦江府办发〔2025〕21号</w:t>
      </w:r>
    </w:p>
    <w:p>
      <w:pPr>
        <w:pStyle w:val="2"/>
      </w:pPr>
      <w:bookmarkStart w:id="0" w:name="_GoBack"/>
      <w:bookmarkEnd w:id="0"/>
    </w:p>
    <w:p>
      <w:pPr>
        <w:rPr>
          <w:highlight w:val="none"/>
        </w:rPr>
      </w:pP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eastAsia" w:ascii="方正小标宋_GBK" w:hAnsi="方正小标宋_GBK" w:eastAsia="方正小标宋_GBK" w:cs="方正小标宋_GBK"/>
          <w:bCs/>
          <w:color w:val="auto"/>
          <w:spacing w:val="0"/>
          <w:sz w:val="44"/>
          <w:szCs w:val="44"/>
          <w:highlight w:val="none"/>
          <w:lang w:eastAsia="zh-CN" w:bidi="ar"/>
        </w:rPr>
      </w:pPr>
      <w:r>
        <w:rPr>
          <w:rFonts w:hint="eastAsia" w:ascii="方正小标宋_GBK" w:hAnsi="方正小标宋_GBK" w:eastAsia="方正小标宋_GBK" w:cs="方正小标宋_GBK"/>
          <w:bCs/>
          <w:color w:val="auto"/>
          <w:spacing w:val="0"/>
          <w:sz w:val="44"/>
          <w:szCs w:val="44"/>
          <w:highlight w:val="none"/>
          <w:lang w:eastAsia="zh-CN" w:bidi="ar"/>
        </w:rPr>
        <w:t>重庆市綦江区人民政府办公室</w:t>
      </w: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eastAsia" w:ascii="方正小标宋_GBK" w:hAnsi="方正小标宋_GBK" w:eastAsia="方正小标宋_GBK" w:cs="方正小标宋_GBK"/>
          <w:bCs/>
          <w:color w:val="auto"/>
          <w:spacing w:val="0"/>
          <w:sz w:val="44"/>
          <w:szCs w:val="44"/>
          <w:highlight w:val="none"/>
          <w:lang w:eastAsia="zh-CN" w:bidi="ar"/>
        </w:rPr>
      </w:pPr>
      <w:r>
        <w:rPr>
          <w:rFonts w:hint="eastAsia" w:ascii="方正小标宋_GBK" w:hAnsi="方正小标宋_GBK" w:eastAsia="方正小标宋_GBK" w:cs="方正小标宋_GBK"/>
          <w:bCs/>
          <w:color w:val="auto"/>
          <w:spacing w:val="0"/>
          <w:sz w:val="44"/>
          <w:szCs w:val="44"/>
          <w:highlight w:val="none"/>
          <w:lang w:eastAsia="zh-CN" w:bidi="ar"/>
        </w:rPr>
        <w:t>关于印发《綦江区提升农村饮水质量专项行动</w:t>
      </w: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eastAsia" w:ascii="方正小标宋_GBK" w:hAnsi="方正小标宋_GBK" w:eastAsia="方正小标宋_GBK" w:cs="方正小标宋_GBK"/>
          <w:bCs/>
          <w:color w:val="auto"/>
          <w:spacing w:val="0"/>
          <w:sz w:val="44"/>
          <w:szCs w:val="44"/>
          <w:highlight w:val="none"/>
          <w:lang w:eastAsia="zh-CN" w:bidi="ar"/>
        </w:rPr>
      </w:pPr>
      <w:r>
        <w:rPr>
          <w:rFonts w:hint="eastAsia" w:ascii="方正小标宋_GBK" w:hAnsi="方正小标宋_GBK" w:eastAsia="方正小标宋_GBK" w:cs="方正小标宋_GBK"/>
          <w:bCs/>
          <w:color w:val="auto"/>
          <w:spacing w:val="0"/>
          <w:sz w:val="44"/>
          <w:szCs w:val="44"/>
          <w:highlight w:val="none"/>
          <w:lang w:eastAsia="zh-CN" w:bidi="ar"/>
        </w:rPr>
        <w:t>实施方案（</w:t>
      </w:r>
      <w:r>
        <w:rPr>
          <w:rFonts w:hint="default" w:ascii="Times New Roman" w:hAnsi="Times New Roman" w:eastAsia="方正小标宋_GBK" w:cs="Times New Roman"/>
          <w:bCs/>
          <w:color w:val="auto"/>
          <w:spacing w:val="0"/>
          <w:sz w:val="44"/>
          <w:szCs w:val="44"/>
          <w:highlight w:val="none"/>
          <w:lang w:eastAsia="zh-CN" w:bidi="ar"/>
        </w:rPr>
        <w:t>2025—2027年</w:t>
      </w:r>
      <w:r>
        <w:rPr>
          <w:rFonts w:hint="eastAsia" w:ascii="方正小标宋_GBK" w:hAnsi="方正小标宋_GBK" w:eastAsia="方正小标宋_GBK" w:cs="方正小标宋_GBK"/>
          <w:bCs/>
          <w:color w:val="auto"/>
          <w:spacing w:val="0"/>
          <w:sz w:val="44"/>
          <w:szCs w:val="44"/>
          <w:highlight w:val="none"/>
          <w:lang w:eastAsia="zh-CN" w:bidi="ar"/>
        </w:rPr>
        <w:t>）》的通知</w:t>
      </w: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eastAsia" w:ascii="方正仿宋_GBK" w:hAnsi="方正仿宋_GBK" w:eastAsia="方正仿宋_GBK" w:cs="方正仿宋_GBK"/>
          <w:bCs/>
          <w:color w:val="auto"/>
          <w:spacing w:val="-4"/>
          <w:sz w:val="32"/>
          <w:szCs w:val="32"/>
          <w:highlight w:val="none"/>
          <w:lang w:eastAsia="zh-CN" w:bidi="ar"/>
        </w:rPr>
      </w:pPr>
    </w:p>
    <w:p>
      <w:pPr>
        <w:keepNext w:val="0"/>
        <w:keepLines w:val="0"/>
        <w:pageBreakBefore w:val="0"/>
        <w:widowControl w:val="0"/>
        <w:kinsoku/>
        <w:wordWrap/>
        <w:overflowPunct w:val="0"/>
        <w:topLinePunct w:val="0"/>
        <w:autoSpaceDE/>
        <w:autoSpaceDN/>
        <w:bidi w:val="0"/>
        <w:adjustRightInd/>
        <w:snapToGrid w:val="0"/>
        <w:spacing w:line="576" w:lineRule="exact"/>
        <w:jc w:val="both"/>
        <w:textAlignment w:val="auto"/>
        <w:outlineLvl w:val="0"/>
        <w:rPr>
          <w:rFonts w:hint="eastAsia"/>
          <w:highlight w:val="none"/>
          <w:lang w:eastAsia="zh-CN"/>
        </w:rPr>
      </w:pPr>
      <w:r>
        <w:rPr>
          <w:rFonts w:hint="eastAsia" w:ascii="方正仿宋_GBK" w:hAnsi="方正仿宋_GBK" w:cs="方正仿宋_GBK"/>
          <w:bCs/>
          <w:color w:val="auto"/>
          <w:spacing w:val="-4"/>
          <w:sz w:val="32"/>
          <w:szCs w:val="32"/>
          <w:highlight w:val="none"/>
          <w:lang w:eastAsia="zh-CN" w:bidi="ar"/>
        </w:rPr>
        <w:t>各</w:t>
      </w:r>
      <w:r>
        <w:rPr>
          <w:rFonts w:hint="eastAsia" w:ascii="方正仿宋_GBK" w:hAnsi="方正仿宋_GBK" w:eastAsia="方正仿宋_GBK" w:cs="方正仿宋_GBK"/>
          <w:bCs/>
          <w:color w:val="auto"/>
          <w:spacing w:val="-4"/>
          <w:sz w:val="32"/>
          <w:szCs w:val="32"/>
          <w:highlight w:val="none"/>
          <w:lang w:eastAsia="zh-CN" w:bidi="ar"/>
        </w:rPr>
        <w:t>街道办事处、</w:t>
      </w:r>
      <w:r>
        <w:rPr>
          <w:rFonts w:hint="eastAsia" w:ascii="方正仿宋_GBK" w:hAnsi="方正仿宋_GBK" w:cs="方正仿宋_GBK"/>
          <w:bCs/>
          <w:color w:val="auto"/>
          <w:spacing w:val="-4"/>
          <w:sz w:val="32"/>
          <w:szCs w:val="32"/>
          <w:highlight w:val="none"/>
          <w:lang w:eastAsia="zh-CN" w:bidi="ar"/>
        </w:rPr>
        <w:t>各</w:t>
      </w:r>
      <w:r>
        <w:rPr>
          <w:rFonts w:hint="eastAsia" w:ascii="方正仿宋_GBK" w:hAnsi="方正仿宋_GBK" w:eastAsia="方正仿宋_GBK" w:cs="方正仿宋_GBK"/>
          <w:bCs/>
          <w:color w:val="auto"/>
          <w:spacing w:val="-4"/>
          <w:sz w:val="32"/>
          <w:szCs w:val="32"/>
          <w:highlight w:val="none"/>
          <w:lang w:eastAsia="zh-CN" w:bidi="ar"/>
        </w:rPr>
        <w:t>镇人民政府，各相关部门，有关单位：</w:t>
      </w:r>
    </w:p>
    <w:p>
      <w:pPr>
        <w:keepNext w:val="0"/>
        <w:keepLines w:val="0"/>
        <w:pageBreakBefore w:val="0"/>
        <w:widowControl w:val="0"/>
        <w:kinsoku/>
        <w:wordWrap/>
        <w:overflowPunct w:val="0"/>
        <w:topLinePunct w:val="0"/>
        <w:autoSpaceDE/>
        <w:autoSpaceDN/>
        <w:bidi w:val="0"/>
        <w:adjustRightInd/>
        <w:snapToGrid w:val="0"/>
        <w:spacing w:line="576" w:lineRule="exact"/>
        <w:ind w:firstLine="616" w:firstLineChars="200"/>
        <w:jc w:val="both"/>
        <w:textAlignment w:val="auto"/>
        <w:outlineLvl w:val="0"/>
        <w:rPr>
          <w:rFonts w:hint="default" w:ascii="Times New Roman" w:hAnsi="Times New Roman" w:eastAsia="方正仿宋_GBK" w:cs="Times New Roman"/>
          <w:bCs/>
          <w:color w:val="auto"/>
          <w:spacing w:val="-4"/>
          <w:sz w:val="32"/>
          <w:szCs w:val="32"/>
          <w:highlight w:val="none"/>
          <w:lang w:eastAsia="zh-CN" w:bidi="ar"/>
        </w:rPr>
      </w:pPr>
      <w:r>
        <w:rPr>
          <w:rFonts w:hint="eastAsia" w:ascii="方正仿宋_GBK" w:hAnsi="方正仿宋_GBK" w:eastAsia="方正仿宋_GBK" w:cs="方正仿宋_GBK"/>
          <w:bCs/>
          <w:color w:val="auto"/>
          <w:spacing w:val="-4"/>
          <w:sz w:val="32"/>
          <w:szCs w:val="32"/>
          <w:highlight w:val="none"/>
          <w:lang w:eastAsia="zh-CN" w:bidi="ar"/>
        </w:rPr>
        <w:t>《綦江区提升农村饮水质量专项行动实施方案（</w:t>
      </w:r>
      <w:r>
        <w:rPr>
          <w:rFonts w:hint="default" w:ascii="Times New Roman" w:hAnsi="Times New Roman" w:eastAsia="方正仿宋_GBK" w:cs="Times New Roman"/>
          <w:bCs/>
          <w:color w:val="auto"/>
          <w:spacing w:val="-4"/>
          <w:sz w:val="32"/>
          <w:szCs w:val="32"/>
          <w:highlight w:val="none"/>
          <w:lang w:eastAsia="zh-CN" w:bidi="ar"/>
        </w:rPr>
        <w:t>2025—2027年）》经区政府同意，现印发给你们，请认真贯彻执行。</w:t>
      </w: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default" w:ascii="Times New Roman" w:hAnsi="Times New Roman" w:eastAsia="方正仿宋_GBK" w:cs="Times New Roman"/>
          <w:bCs/>
          <w:color w:val="auto"/>
          <w:spacing w:val="-4"/>
          <w:sz w:val="32"/>
          <w:szCs w:val="32"/>
          <w:highlight w:val="none"/>
          <w:lang w:eastAsia="zh-CN" w:bidi="ar"/>
        </w:rPr>
      </w:pP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default" w:ascii="Times New Roman" w:hAnsi="Times New Roman" w:eastAsia="方正仿宋_GBK" w:cs="Times New Roman"/>
          <w:bCs/>
          <w:color w:val="auto"/>
          <w:spacing w:val="-4"/>
          <w:sz w:val="32"/>
          <w:szCs w:val="32"/>
          <w:highlight w:val="none"/>
          <w:lang w:eastAsia="zh-CN" w:bidi="ar"/>
        </w:rPr>
      </w:pP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0"/>
        <w:rPr>
          <w:rFonts w:hint="default" w:ascii="Times New Roman" w:hAnsi="Times New Roman" w:eastAsia="方正仿宋_GBK" w:cs="Times New Roman"/>
          <w:bCs/>
          <w:color w:val="auto"/>
          <w:spacing w:val="-4"/>
          <w:sz w:val="32"/>
          <w:szCs w:val="32"/>
          <w:highlight w:val="none"/>
          <w:lang w:eastAsia="zh-CN" w:bidi="ar"/>
        </w:rPr>
      </w:pPr>
      <w:r>
        <w:rPr>
          <w:rFonts w:hint="default" w:ascii="Times New Roman" w:hAnsi="Times New Roman" w:cs="Times New Roman"/>
          <w:bCs/>
          <w:color w:val="auto"/>
          <w:spacing w:val="-4"/>
          <w:sz w:val="32"/>
          <w:szCs w:val="32"/>
          <w:highlight w:val="none"/>
          <w:lang w:val="en-US" w:eastAsia="zh-CN" w:bidi="ar"/>
        </w:rPr>
        <w:t xml:space="preserve">                   </w:t>
      </w:r>
      <w:r>
        <w:rPr>
          <w:rFonts w:hint="eastAsia" w:ascii="Times New Roman" w:hAnsi="Times New Roman" w:cs="Times New Roman"/>
          <w:bCs/>
          <w:color w:val="auto"/>
          <w:spacing w:val="-4"/>
          <w:sz w:val="32"/>
          <w:szCs w:val="32"/>
          <w:highlight w:val="none"/>
          <w:lang w:val="en-US" w:eastAsia="zh-CN" w:bidi="ar"/>
        </w:rPr>
        <w:t xml:space="preserve">    </w:t>
      </w:r>
      <w:r>
        <w:rPr>
          <w:rFonts w:hint="default" w:ascii="Times New Roman" w:hAnsi="Times New Roman" w:cs="Times New Roman"/>
          <w:bCs/>
          <w:color w:val="auto"/>
          <w:spacing w:val="-4"/>
          <w:sz w:val="32"/>
          <w:szCs w:val="32"/>
          <w:highlight w:val="none"/>
          <w:lang w:val="en-US" w:eastAsia="zh-CN" w:bidi="ar"/>
        </w:rPr>
        <w:t xml:space="preserve">    </w:t>
      </w:r>
      <w:r>
        <w:rPr>
          <w:rFonts w:hint="eastAsia" w:ascii="Times New Roman" w:hAnsi="Times New Roman" w:cs="Times New Roman"/>
          <w:bCs/>
          <w:color w:val="auto"/>
          <w:spacing w:val="-4"/>
          <w:sz w:val="32"/>
          <w:szCs w:val="32"/>
          <w:highlight w:val="none"/>
          <w:lang w:val="en-US" w:eastAsia="zh-CN" w:bidi="ar"/>
        </w:rPr>
        <w:t>重庆市</w:t>
      </w:r>
      <w:r>
        <w:rPr>
          <w:rFonts w:hint="default" w:ascii="Times New Roman" w:hAnsi="Times New Roman" w:eastAsia="方正仿宋_GBK" w:cs="Times New Roman"/>
          <w:bCs/>
          <w:color w:val="auto"/>
          <w:spacing w:val="-4"/>
          <w:sz w:val="32"/>
          <w:szCs w:val="32"/>
          <w:highlight w:val="none"/>
          <w:lang w:eastAsia="zh-CN" w:bidi="ar"/>
        </w:rPr>
        <w:t>綦江区人民政府办公室　　　</w:t>
      </w:r>
    </w:p>
    <w:p>
      <w:pPr>
        <w:keepNext w:val="0"/>
        <w:keepLines w:val="0"/>
        <w:pageBreakBefore w:val="0"/>
        <w:widowControl w:val="0"/>
        <w:kinsoku/>
        <w:wordWrap/>
        <w:overflowPunct w:val="0"/>
        <w:topLinePunct w:val="0"/>
        <w:autoSpaceDE/>
        <w:autoSpaceDN/>
        <w:bidi w:val="0"/>
        <w:adjustRightInd/>
        <w:snapToGrid w:val="0"/>
        <w:spacing w:line="576" w:lineRule="exact"/>
        <w:ind w:right="1264" w:rightChars="400"/>
        <w:jc w:val="right"/>
        <w:textAlignment w:val="auto"/>
        <w:outlineLvl w:val="0"/>
        <w:rPr>
          <w:rFonts w:hint="eastAsia" w:ascii="方正仿宋_GBK" w:hAnsi="方正仿宋_GBK" w:eastAsia="方正仿宋_GBK" w:cs="方正仿宋_GBK"/>
          <w:bCs/>
          <w:color w:val="auto"/>
          <w:spacing w:val="-4"/>
          <w:sz w:val="32"/>
          <w:szCs w:val="32"/>
          <w:highlight w:val="none"/>
          <w:lang w:eastAsia="zh-CN" w:bidi="ar"/>
        </w:rPr>
      </w:pPr>
      <w:r>
        <w:rPr>
          <w:rFonts w:hint="default" w:ascii="Times New Roman" w:hAnsi="Times New Roman" w:cs="Times New Roman"/>
          <w:bCs/>
          <w:color w:val="auto"/>
          <w:spacing w:val="-4"/>
          <w:sz w:val="32"/>
          <w:szCs w:val="32"/>
          <w:highlight w:val="none"/>
          <w:lang w:val="en-US" w:eastAsia="zh-CN" w:bidi="ar"/>
        </w:rPr>
        <w:t xml:space="preserve">                       </w:t>
      </w:r>
      <w:r>
        <w:rPr>
          <w:rFonts w:hint="default" w:ascii="Times New Roman" w:hAnsi="Times New Roman" w:eastAsia="方正仿宋_GBK" w:cs="Times New Roman"/>
          <w:bCs/>
          <w:color w:val="auto"/>
          <w:spacing w:val="-4"/>
          <w:sz w:val="32"/>
          <w:szCs w:val="32"/>
          <w:highlight w:val="none"/>
          <w:lang w:eastAsia="zh-CN" w:bidi="ar"/>
        </w:rPr>
        <w:t>2025年</w:t>
      </w:r>
      <w:r>
        <w:rPr>
          <w:rFonts w:hint="eastAsia" w:cs="Times New Roman"/>
          <w:bCs/>
          <w:color w:val="auto"/>
          <w:spacing w:val="-4"/>
          <w:sz w:val="32"/>
          <w:szCs w:val="32"/>
          <w:highlight w:val="none"/>
          <w:lang w:val="en-US" w:eastAsia="zh-CN" w:bidi="ar"/>
        </w:rPr>
        <w:t>9</w:t>
      </w:r>
      <w:r>
        <w:rPr>
          <w:rFonts w:hint="default" w:ascii="Times New Roman" w:hAnsi="Times New Roman" w:eastAsia="方正仿宋_GBK" w:cs="Times New Roman"/>
          <w:bCs/>
          <w:color w:val="auto"/>
          <w:spacing w:val="-4"/>
          <w:sz w:val="32"/>
          <w:szCs w:val="32"/>
          <w:highlight w:val="none"/>
          <w:lang w:eastAsia="zh-CN" w:bidi="ar"/>
        </w:rPr>
        <w:t>月</w:t>
      </w:r>
      <w:r>
        <w:rPr>
          <w:rFonts w:hint="eastAsia" w:cs="Times New Roman"/>
          <w:bCs/>
          <w:color w:val="auto"/>
          <w:spacing w:val="-4"/>
          <w:sz w:val="32"/>
          <w:szCs w:val="32"/>
          <w:highlight w:val="none"/>
          <w:lang w:val="en-US" w:eastAsia="zh-CN" w:bidi="ar"/>
        </w:rPr>
        <w:t>8</w:t>
      </w:r>
      <w:r>
        <w:rPr>
          <w:rFonts w:hint="default" w:ascii="Times New Roman" w:hAnsi="Times New Roman" w:eastAsia="方正仿宋_GBK" w:cs="Times New Roman"/>
          <w:bCs/>
          <w:color w:val="auto"/>
          <w:spacing w:val="-4"/>
          <w:sz w:val="32"/>
          <w:szCs w:val="32"/>
          <w:highlight w:val="none"/>
          <w:lang w:eastAsia="zh-CN" w:bidi="ar"/>
        </w:rPr>
        <w:t>日　</w:t>
      </w:r>
      <w:r>
        <w:rPr>
          <w:rFonts w:hint="eastAsia" w:ascii="方正仿宋_GBK" w:hAnsi="方正仿宋_GBK" w:eastAsia="方正仿宋_GBK" w:cs="方正仿宋_GBK"/>
          <w:bCs/>
          <w:color w:val="auto"/>
          <w:spacing w:val="-4"/>
          <w:sz w:val="32"/>
          <w:szCs w:val="32"/>
          <w:highlight w:val="none"/>
          <w:lang w:eastAsia="zh-CN" w:bidi="ar"/>
        </w:rPr>
        <w:t>　　　</w:t>
      </w:r>
    </w:p>
    <w:p>
      <w:pPr>
        <w:keepNext w:val="0"/>
        <w:keepLines w:val="0"/>
        <w:pageBreakBefore w:val="0"/>
        <w:widowControl w:val="0"/>
        <w:kinsoku/>
        <w:wordWrap/>
        <w:overflowPunct w:val="0"/>
        <w:topLinePunct w:val="0"/>
        <w:autoSpaceDE/>
        <w:autoSpaceDN/>
        <w:bidi w:val="0"/>
        <w:adjustRightInd/>
        <w:snapToGrid w:val="0"/>
        <w:spacing w:line="576" w:lineRule="exact"/>
        <w:ind w:firstLine="616" w:firstLineChars="200"/>
        <w:jc w:val="both"/>
        <w:textAlignment w:val="auto"/>
        <w:outlineLvl w:val="0"/>
        <w:rPr>
          <w:rFonts w:hint="eastAsia" w:ascii="方正仿宋_GBK" w:hAnsi="方正仿宋_GBK" w:eastAsia="方正仿宋_GBK" w:cs="方正仿宋_GBK"/>
          <w:bCs/>
          <w:color w:val="auto"/>
          <w:spacing w:val="-4"/>
          <w:sz w:val="32"/>
          <w:szCs w:val="32"/>
          <w:highlight w:val="none"/>
          <w:lang w:eastAsia="zh-CN" w:bidi="ar"/>
        </w:rPr>
      </w:pPr>
      <w:r>
        <w:rPr>
          <w:rFonts w:hint="eastAsia" w:ascii="方正仿宋_GBK" w:hAnsi="方正仿宋_GBK" w:eastAsia="方正仿宋_GBK" w:cs="方正仿宋_GBK"/>
          <w:bCs/>
          <w:color w:val="auto"/>
          <w:spacing w:val="-4"/>
          <w:sz w:val="32"/>
          <w:szCs w:val="32"/>
          <w:highlight w:val="none"/>
          <w:lang w:eastAsia="zh-CN" w:bidi="ar"/>
        </w:rPr>
        <w:t>（此件公开发布）</w:t>
      </w:r>
    </w:p>
    <w:p>
      <w:pPr>
        <w:pageBreakBefore w:val="0"/>
        <w:widowControl w:val="0"/>
        <w:kinsoku/>
        <w:wordWrap/>
        <w:overflowPunct w:val="0"/>
        <w:topLinePunct w:val="0"/>
        <w:autoSpaceDE/>
        <w:autoSpaceDN/>
        <w:bidi w:val="0"/>
        <w:adjustRightInd/>
        <w:snapToGrid w:val="0"/>
        <w:spacing w:line="400" w:lineRule="exact"/>
        <w:jc w:val="center"/>
        <w:textAlignment w:val="auto"/>
        <w:outlineLvl w:val="0"/>
        <w:rPr>
          <w:rFonts w:hint="eastAsia" w:ascii="方正小标宋_GBK" w:eastAsia="方正小标宋_GBK" w:cs="方正小标宋_GBK"/>
          <w:bCs/>
          <w:color w:val="auto"/>
          <w:spacing w:val="-4"/>
          <w:sz w:val="44"/>
          <w:szCs w:val="44"/>
          <w:highlight w:val="none"/>
          <w:lang w:eastAsia="zh-CN" w:bidi="ar"/>
        </w:rPr>
      </w:pPr>
    </w:p>
    <w:p>
      <w:pPr>
        <w:pStyle w:val="2"/>
        <w:pageBreakBefore w:val="0"/>
        <w:widowControl w:val="0"/>
        <w:kinsoku/>
        <w:wordWrap/>
        <w:topLinePunct w:val="0"/>
        <w:autoSpaceDE/>
        <w:autoSpaceDN/>
        <w:bidi w:val="0"/>
        <w:adjustRightInd/>
        <w:spacing w:before="0" w:beforeLines="0" w:after="0" w:afterLines="0" w:line="400" w:lineRule="exact"/>
        <w:textAlignment w:val="auto"/>
        <w:rPr>
          <w:rFonts w:hint="eastAsia"/>
          <w:highlight w:val="none"/>
          <w:lang w:eastAsia="zh-CN"/>
        </w:rPr>
      </w:pPr>
    </w:p>
    <w:p>
      <w:pPr>
        <w:keepNext w:val="0"/>
        <w:keepLines w:val="0"/>
        <w:pageBreakBefore w:val="0"/>
        <w:widowControl w:val="0"/>
        <w:kinsoku/>
        <w:wordWrap/>
        <w:overflowPunct w:val="0"/>
        <w:topLinePunct w:val="0"/>
        <w:autoSpaceDE/>
        <w:autoSpaceDN/>
        <w:bidi w:val="0"/>
        <w:snapToGrid w:val="0"/>
        <w:spacing w:line="576" w:lineRule="exact"/>
        <w:jc w:val="center"/>
        <w:textAlignment w:val="auto"/>
        <w:outlineLvl w:val="0"/>
        <w:rPr>
          <w:rFonts w:hint="eastAsia" w:ascii="方正小标宋_GBK" w:eastAsia="方正小标宋_GBK"/>
          <w:bCs/>
          <w:color w:val="auto"/>
          <w:spacing w:val="0"/>
          <w:sz w:val="44"/>
          <w:szCs w:val="44"/>
          <w:highlight w:val="none"/>
        </w:rPr>
      </w:pPr>
      <w:r>
        <w:rPr>
          <w:rFonts w:hint="eastAsia" w:ascii="方正小标宋_GBK" w:eastAsia="方正小标宋_GBK" w:cs="方正小标宋_GBK"/>
          <w:bCs/>
          <w:color w:val="auto"/>
          <w:spacing w:val="0"/>
          <w:sz w:val="44"/>
          <w:szCs w:val="44"/>
          <w:highlight w:val="none"/>
          <w:lang w:eastAsia="zh-CN" w:bidi="ar"/>
        </w:rPr>
        <w:t>綦江区</w:t>
      </w:r>
      <w:r>
        <w:rPr>
          <w:rFonts w:hint="eastAsia" w:ascii="方正小标宋_GBK" w:eastAsia="方正小标宋_GBK" w:cs="方正小标宋_GBK"/>
          <w:bCs/>
          <w:color w:val="auto"/>
          <w:spacing w:val="0"/>
          <w:sz w:val="44"/>
          <w:szCs w:val="44"/>
          <w:highlight w:val="none"/>
          <w:lang w:bidi="ar"/>
        </w:rPr>
        <w:t>提升农村饮水质量专项行动实施方案</w:t>
      </w:r>
    </w:p>
    <w:p>
      <w:pPr>
        <w:keepNext w:val="0"/>
        <w:keepLines w:val="0"/>
        <w:pageBreakBefore w:val="0"/>
        <w:widowControl w:val="0"/>
        <w:kinsoku/>
        <w:wordWrap/>
        <w:overflowPunct w:val="0"/>
        <w:topLinePunct w:val="0"/>
        <w:autoSpaceDE/>
        <w:autoSpaceDN/>
        <w:bidi w:val="0"/>
        <w:snapToGrid w:val="0"/>
        <w:spacing w:line="576" w:lineRule="exact"/>
        <w:jc w:val="center"/>
        <w:textAlignment w:val="auto"/>
        <w:rPr>
          <w:rFonts w:hint="eastAsia" w:ascii="方正楷体_GBK" w:hAnsi="方正楷体_GBK" w:eastAsia="方正楷体_GBK" w:cs="方正楷体_GBK"/>
          <w:color w:val="auto"/>
          <w:spacing w:val="0"/>
          <w:highlight w:val="none"/>
          <w:lang w:val="en-US" w:eastAsia="zh-CN"/>
        </w:rPr>
      </w:pPr>
      <w:r>
        <w:rPr>
          <w:rFonts w:hint="eastAsia" w:ascii="方正小标宋_GBK" w:eastAsia="方正小标宋_GBK" w:cs="方正小标宋_GBK"/>
          <w:bCs/>
          <w:color w:val="auto"/>
          <w:spacing w:val="0"/>
          <w:sz w:val="44"/>
          <w:szCs w:val="44"/>
          <w:highlight w:val="none"/>
          <w:lang w:bidi="ar"/>
        </w:rPr>
        <w:t>（</w:t>
      </w:r>
      <w:r>
        <w:rPr>
          <w:rFonts w:hint="default" w:ascii="Times New Roman" w:hAnsi="Times New Roman" w:eastAsia="方正小标宋_GBK" w:cs="Times New Roman"/>
          <w:bCs/>
          <w:color w:val="auto"/>
          <w:spacing w:val="0"/>
          <w:sz w:val="44"/>
          <w:szCs w:val="44"/>
          <w:highlight w:val="none"/>
          <w:lang w:bidi="ar"/>
        </w:rPr>
        <w:t>2025—2027</w:t>
      </w:r>
      <w:r>
        <w:rPr>
          <w:rFonts w:hint="eastAsia" w:ascii="方正小标宋_GBK" w:eastAsia="方正小标宋_GBK" w:cs="方正小标宋_GBK"/>
          <w:bCs/>
          <w:color w:val="auto"/>
          <w:spacing w:val="0"/>
          <w:sz w:val="44"/>
          <w:szCs w:val="44"/>
          <w:highlight w:val="none"/>
          <w:lang w:bidi="ar"/>
        </w:rPr>
        <w:t>年）</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bidi="ar"/>
        </w:rPr>
      </w:pP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color w:val="auto"/>
          <w:highlight w:val="none"/>
        </w:rPr>
      </w:pPr>
      <w:r>
        <w:rPr>
          <w:rFonts w:hint="eastAsia" w:hAnsi="方正仿宋_GBK" w:cs="方正仿宋_GBK"/>
          <w:color w:val="auto"/>
          <w:highlight w:val="none"/>
          <w:lang w:bidi="ar"/>
        </w:rPr>
        <w:t>为加快提升我</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农村饮水保障能力和水平，推动农村饮水高质量发展，巩固拓展脱贫攻坚成果同乡村振兴有效衔接，依据《重庆市</w:t>
      </w:r>
      <w:r>
        <w:rPr>
          <w:rFonts w:hint="eastAsia" w:hAnsi="方正仿宋_GBK" w:cs="方正仿宋_GBK"/>
          <w:color w:val="auto"/>
          <w:highlight w:val="none"/>
          <w:lang w:eastAsia="zh-CN" w:bidi="ar"/>
        </w:rPr>
        <w:t>人民政府办公厅关于印发重庆市</w:t>
      </w:r>
      <w:r>
        <w:rPr>
          <w:rFonts w:hint="eastAsia" w:hAnsi="方正仿宋_GBK" w:cs="方正仿宋_GBK"/>
          <w:color w:val="auto"/>
          <w:highlight w:val="none"/>
          <w:lang w:bidi="ar"/>
        </w:rPr>
        <w:t>提升农村饮水质量专项行动方案</w:t>
      </w:r>
      <w:r>
        <w:rPr>
          <w:rFonts w:hint="eastAsia" w:hAnsi="方正仿宋_GBK" w:cs="方正仿宋_GBK"/>
          <w:color w:val="auto"/>
          <w:highlight w:val="none"/>
          <w:lang w:eastAsia="zh-CN" w:bidi="ar"/>
        </w:rPr>
        <w:t>（</w:t>
      </w:r>
      <w:r>
        <w:rPr>
          <w:rFonts w:hint="eastAsia" w:hAnsi="方正仿宋_GBK" w:cs="方正仿宋_GBK"/>
          <w:color w:val="auto"/>
          <w:highlight w:val="none"/>
          <w:lang w:val="en-US" w:eastAsia="zh-CN" w:bidi="ar"/>
        </w:rPr>
        <w:t>2025—2027</w:t>
      </w:r>
      <w:r>
        <w:rPr>
          <w:rFonts w:hint="eastAsia" w:hAnsi="方正仿宋_GBK" w:cs="方正仿宋_GBK"/>
          <w:color w:val="auto"/>
          <w:highlight w:val="none"/>
          <w:lang w:eastAsia="zh-CN" w:bidi="ar"/>
        </w:rPr>
        <w:t>）的通知</w:t>
      </w:r>
      <w:r>
        <w:rPr>
          <w:rFonts w:hint="eastAsia" w:hAnsi="方正仿宋_GBK" w:cs="方正仿宋_GBK"/>
          <w:color w:val="auto"/>
          <w:highlight w:val="none"/>
          <w:lang w:bidi="ar"/>
        </w:rPr>
        <w:t>》（渝府办发〔</w:t>
      </w:r>
      <w:r>
        <w:rPr>
          <w:rFonts w:hint="eastAsia"/>
          <w:color w:val="auto"/>
          <w:highlight w:val="none"/>
          <w:lang w:bidi="ar"/>
        </w:rPr>
        <w:t>2025</w:t>
      </w:r>
      <w:r>
        <w:rPr>
          <w:rFonts w:hint="eastAsia" w:hAnsi="方正仿宋_GBK" w:cs="方正仿宋_GBK"/>
          <w:color w:val="auto"/>
          <w:highlight w:val="none"/>
          <w:lang w:bidi="ar"/>
        </w:rPr>
        <w:t>〕</w:t>
      </w:r>
      <w:r>
        <w:rPr>
          <w:rFonts w:hint="eastAsia"/>
          <w:color w:val="auto"/>
          <w:highlight w:val="none"/>
          <w:lang w:bidi="ar"/>
        </w:rPr>
        <w:t>24</w:t>
      </w:r>
      <w:r>
        <w:rPr>
          <w:rFonts w:hint="eastAsia" w:hAnsi="方正仿宋_GBK" w:cs="方正仿宋_GBK"/>
          <w:color w:val="auto"/>
          <w:highlight w:val="none"/>
          <w:lang w:bidi="ar"/>
        </w:rPr>
        <w:t>号）</w:t>
      </w:r>
      <w:r>
        <w:rPr>
          <w:rFonts w:hint="eastAsia" w:hAnsi="方正仿宋_GBK" w:cs="方正仿宋_GBK"/>
          <w:color w:val="auto"/>
          <w:highlight w:val="none"/>
          <w:lang w:eastAsia="zh-CN" w:bidi="ar"/>
        </w:rPr>
        <w:t>精神，</w:t>
      </w:r>
      <w:r>
        <w:rPr>
          <w:rFonts w:hint="eastAsia" w:hAnsi="方正仿宋_GBK" w:cs="方正仿宋_GBK"/>
          <w:color w:val="auto"/>
          <w:highlight w:val="none"/>
          <w:lang w:bidi="ar"/>
        </w:rPr>
        <w:t>结合</w:t>
      </w:r>
      <w:r>
        <w:rPr>
          <w:rFonts w:hint="eastAsia" w:hAnsi="方正仿宋_GBK" w:cs="方正仿宋_GBK"/>
          <w:color w:val="auto"/>
          <w:highlight w:val="none"/>
          <w:lang w:eastAsia="zh-CN" w:bidi="ar"/>
        </w:rPr>
        <w:t>我区</w:t>
      </w:r>
      <w:r>
        <w:rPr>
          <w:rFonts w:hint="eastAsia" w:hAnsi="方正仿宋_GBK" w:cs="方正仿宋_GBK"/>
          <w:color w:val="auto"/>
          <w:highlight w:val="none"/>
          <w:lang w:bidi="ar"/>
        </w:rPr>
        <w:t>实际，特制定本专项行动实施方案。</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方正黑体_GBK" w:eastAsia="方正黑体_GBK"/>
          <w:color w:val="auto"/>
          <w:highlight w:val="none"/>
        </w:rPr>
      </w:pPr>
      <w:r>
        <w:rPr>
          <w:rFonts w:hint="eastAsia" w:ascii="方正黑体_GBK" w:eastAsia="方正黑体_GBK" w:cs="方正黑体_GBK"/>
          <w:color w:val="auto"/>
          <w:highlight w:val="none"/>
          <w:lang w:bidi="ar"/>
        </w:rPr>
        <w:t>一、总体要求</w:t>
      </w:r>
    </w:p>
    <w:p>
      <w:pPr>
        <w:keepNext w:val="0"/>
        <w:keepLines w:val="0"/>
        <w:pageBreakBefore w:val="0"/>
        <w:widowControl w:val="0"/>
        <w:shd w:val="clear" w:color="auto" w:fill="auto"/>
        <w:kinsoku/>
        <w:wordWrap/>
        <w:overflowPunct/>
        <w:topLinePunct w:val="0"/>
        <w:autoSpaceDE/>
        <w:autoSpaceDN/>
        <w:bidi w:val="0"/>
        <w:spacing w:line="576" w:lineRule="exact"/>
        <w:ind w:firstLine="632" w:firstLineChars="200"/>
        <w:jc w:val="both"/>
        <w:textAlignment w:val="auto"/>
        <w:rPr>
          <w:rFonts w:hint="eastAsia"/>
          <w:color w:val="auto"/>
          <w:highlight w:val="none"/>
        </w:rPr>
      </w:pPr>
      <w:r>
        <w:rPr>
          <w:rFonts w:hint="eastAsia" w:ascii="方正仿宋_GBK" w:hAnsi="方正仿宋_GBK" w:eastAsia="方正仿宋_GBK" w:cs="方正仿宋_GBK"/>
          <w:sz w:val="32"/>
          <w:szCs w:val="32"/>
          <w:highlight w:val="none"/>
        </w:rPr>
        <w:t>以习近平新时代中国特色社会主义思想为指导，按照城乡融合、分类施策、建管并重的原则，统筹推进城乡供水一体化、集中供水规模化、小型供水规范化建设，全面推行农村饮水县域统管，提升农村饮水保障服务能力，确保农村居民长期稳定喝上“放心水”。</w:t>
      </w:r>
      <w:r>
        <w:rPr>
          <w:rFonts w:hint="eastAsia" w:hAnsi="方正仿宋_GBK" w:cs="方正仿宋_GBK"/>
          <w:color w:val="auto"/>
          <w:highlight w:val="none"/>
          <w:lang w:eastAsia="zh-CN" w:bidi="ar"/>
        </w:rPr>
        <w:t>到</w:t>
      </w:r>
      <w:r>
        <w:rPr>
          <w:rFonts w:hint="eastAsia" w:hAnsi="方正仿宋_GBK" w:cs="方正仿宋_GBK"/>
          <w:color w:val="auto"/>
          <w:highlight w:val="none"/>
          <w:lang w:val="en-US" w:eastAsia="zh-CN" w:bidi="ar"/>
        </w:rPr>
        <w:t>2027年底，有效解决特殊干旱年份整村连片缺水问题，基本解决抗风险能力较弱的农村地区饮水问题</w:t>
      </w:r>
      <w:r>
        <w:rPr>
          <w:rFonts w:hint="default" w:hAnsi="方正仿宋_GBK" w:cs="方正仿宋_GBK"/>
          <w:color w:val="auto"/>
          <w:highlight w:val="none"/>
          <w:lang w:eastAsia="zh-CN" w:bidi="ar"/>
        </w:rPr>
        <w:t>，大幅</w:t>
      </w:r>
      <w:r>
        <w:rPr>
          <w:rFonts w:hint="eastAsia" w:hAnsi="方正仿宋_GBK" w:cs="方正仿宋_GBK"/>
          <w:color w:val="auto"/>
          <w:highlight w:val="none"/>
          <w:lang w:val="en-US" w:eastAsia="zh-CN" w:bidi="ar"/>
        </w:rPr>
        <w:t>提升农村饮水质量，惠及农村人口68.5万人。特殊年份因旱缺水人口控制在</w:t>
      </w:r>
      <w:r>
        <w:rPr>
          <w:rFonts w:hint="eastAsia" w:hAnsi="方正仿宋_GBK" w:cs="方正仿宋_GBK"/>
          <w:color w:val="auto"/>
          <w:sz w:val="32"/>
          <w:szCs w:val="32"/>
          <w:highlight w:val="none"/>
          <w:lang w:val="en-US" w:eastAsia="zh-CN" w:bidi="ar"/>
        </w:rPr>
        <w:t>2</w:t>
      </w:r>
      <w:r>
        <w:rPr>
          <w:rFonts w:hint="default" w:ascii="Times New Roman" w:hAnsi="Times New Roman" w:eastAsia="方正仿宋_GBK" w:cs="Times New Roman"/>
          <w:color w:val="auto"/>
          <w:sz w:val="32"/>
          <w:szCs w:val="32"/>
          <w:highlight w:val="none"/>
          <w:lang w:val="en-US" w:eastAsia="zh-CN" w:bidi="ar"/>
        </w:rPr>
        <w:t>‰</w:t>
      </w:r>
      <w:r>
        <w:rPr>
          <w:rFonts w:hint="eastAsia" w:hAnsi="方正仿宋_GBK" w:cs="方正仿宋_GBK"/>
          <w:color w:val="auto"/>
          <w:highlight w:val="none"/>
          <w:lang w:val="en-US" w:eastAsia="zh-CN" w:bidi="ar"/>
        </w:rPr>
        <w:t>以内，</w:t>
      </w:r>
      <w:r>
        <w:rPr>
          <w:rFonts w:hint="eastAsia" w:hAnsi="方正仿宋_GBK" w:cs="方正仿宋_GBK"/>
          <w:color w:val="auto"/>
          <w:highlight w:val="none"/>
          <w:lang w:bidi="ar"/>
        </w:rPr>
        <w:t>重点水源工程覆盖率达</w:t>
      </w:r>
      <w:r>
        <w:rPr>
          <w:rFonts w:hint="eastAsia"/>
          <w:color w:val="auto"/>
          <w:highlight w:val="none"/>
          <w:lang w:val="en-US" w:eastAsia="zh-CN" w:bidi="ar"/>
        </w:rPr>
        <w:t>92</w:t>
      </w:r>
      <w:r>
        <w:rPr>
          <w:rFonts w:hint="eastAsia"/>
          <w:color w:val="auto"/>
          <w:highlight w:val="none"/>
          <w:lang w:bidi="ar"/>
        </w:rPr>
        <w:t>%</w:t>
      </w:r>
      <w:r>
        <w:rPr>
          <w:rFonts w:hint="eastAsia" w:hAnsi="方正仿宋_GBK" w:cs="方正仿宋_GBK"/>
          <w:color w:val="auto"/>
          <w:highlight w:val="none"/>
          <w:lang w:eastAsia="zh-CN" w:bidi="ar"/>
        </w:rPr>
        <w:t>，</w:t>
      </w:r>
      <w:r>
        <w:rPr>
          <w:rFonts w:hint="eastAsia" w:hAnsi="方正仿宋_GBK" w:cs="方正仿宋_GBK"/>
          <w:color w:val="auto"/>
          <w:highlight w:val="none"/>
          <w:lang w:bidi="ar"/>
        </w:rPr>
        <w:t>规模化水厂覆盖率达</w:t>
      </w:r>
      <w:r>
        <w:rPr>
          <w:rFonts w:hint="eastAsia"/>
          <w:color w:val="auto"/>
          <w:highlight w:val="none"/>
          <w:lang w:val="en-US" w:eastAsia="zh-CN" w:bidi="ar"/>
        </w:rPr>
        <w:t>90</w:t>
      </w:r>
      <w:r>
        <w:rPr>
          <w:rFonts w:hint="eastAsia"/>
          <w:color w:val="auto"/>
          <w:highlight w:val="none"/>
          <w:lang w:bidi="ar"/>
        </w:rPr>
        <w:t>%</w:t>
      </w:r>
      <w:r>
        <w:rPr>
          <w:rFonts w:hint="eastAsia" w:hAnsi="方正仿宋_GBK" w:cs="方正仿宋_GBK"/>
          <w:color w:val="auto"/>
          <w:highlight w:val="none"/>
          <w:lang w:eastAsia="zh-CN" w:bidi="ar"/>
        </w:rPr>
        <w:t>，</w:t>
      </w:r>
      <w:r>
        <w:rPr>
          <w:rFonts w:hint="eastAsia" w:hAnsi="方正仿宋_GBK" w:cs="方正仿宋_GBK"/>
          <w:color w:val="auto"/>
          <w:highlight w:val="none"/>
          <w:lang w:bidi="ar"/>
        </w:rPr>
        <w:t>自来水普及率达</w:t>
      </w:r>
      <w:r>
        <w:rPr>
          <w:rFonts w:hint="eastAsia"/>
          <w:color w:val="auto"/>
          <w:highlight w:val="none"/>
          <w:lang w:val="en-US" w:eastAsia="zh-CN" w:bidi="ar"/>
        </w:rPr>
        <w:t>95</w:t>
      </w:r>
      <w:r>
        <w:rPr>
          <w:rFonts w:hint="eastAsia"/>
          <w:color w:val="auto"/>
          <w:highlight w:val="none"/>
          <w:lang w:bidi="ar"/>
        </w:rPr>
        <w:t>%</w:t>
      </w:r>
      <w:r>
        <w:rPr>
          <w:rFonts w:hint="eastAsia" w:hAnsi="方正仿宋_GBK" w:cs="方正仿宋_GBK"/>
          <w:color w:val="auto"/>
          <w:highlight w:val="none"/>
          <w:lang w:eastAsia="zh-CN" w:bidi="ar"/>
        </w:rPr>
        <w:t>，</w:t>
      </w:r>
      <w:r>
        <w:rPr>
          <w:rFonts w:hint="eastAsia" w:hAnsi="方正仿宋_GBK" w:cs="方正仿宋_GBK"/>
          <w:color w:val="auto"/>
          <w:highlight w:val="none"/>
          <w:lang w:bidi="ar"/>
        </w:rPr>
        <w:t>规模化水厂在线监测率</w:t>
      </w:r>
      <w:r>
        <w:rPr>
          <w:rFonts w:hint="eastAsia"/>
          <w:color w:val="auto"/>
          <w:highlight w:val="none"/>
          <w:lang w:bidi="ar"/>
        </w:rPr>
        <w:t>100%</w:t>
      </w:r>
      <w:r>
        <w:rPr>
          <w:rFonts w:hint="eastAsia"/>
          <w:color w:val="auto"/>
          <w:highlight w:val="none"/>
          <w:lang w:eastAsia="zh-CN" w:bidi="ar"/>
        </w:rPr>
        <w:t>，全面实现</w:t>
      </w:r>
      <w:r>
        <w:rPr>
          <w:rFonts w:hint="eastAsia" w:hAnsi="方正仿宋_GBK" w:cs="方正仿宋_GBK"/>
          <w:color w:val="auto"/>
          <w:highlight w:val="none"/>
          <w:lang w:eastAsia="zh-CN" w:bidi="ar"/>
        </w:rPr>
        <w:t>农村供水工程县域统管</w:t>
      </w:r>
      <w:r>
        <w:rPr>
          <w:rFonts w:hint="eastAsia" w:hAnsi="方正仿宋_GBK" w:cs="方正仿宋_GBK"/>
          <w:color w:val="auto"/>
          <w:highlight w:val="none"/>
          <w:lang w:bidi="ar"/>
        </w:rPr>
        <w:t>。</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方正黑体_GBK" w:eastAsia="方正黑体_GBK" w:cs="方正黑体_GBK"/>
          <w:color w:val="auto"/>
          <w:highlight w:val="none"/>
          <w:lang w:bidi="ar"/>
        </w:rPr>
      </w:pPr>
      <w:r>
        <w:rPr>
          <w:rFonts w:hint="eastAsia" w:ascii="方正黑体_GBK" w:eastAsia="方正黑体_GBK" w:cs="方正黑体_GBK"/>
          <w:color w:val="auto"/>
          <w:highlight w:val="none"/>
          <w:lang w:eastAsia="zh-CN" w:bidi="ar"/>
        </w:rPr>
        <w:t>二</w:t>
      </w:r>
      <w:r>
        <w:rPr>
          <w:rFonts w:hint="eastAsia" w:ascii="方正黑体_GBK" w:eastAsia="方正黑体_GBK" w:cs="方正黑体_GBK"/>
          <w:color w:val="auto"/>
          <w:highlight w:val="none"/>
          <w:lang w:bidi="ar"/>
        </w:rPr>
        <w:t>、重点任务</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方正仿宋_GBK" w:hAnsi="方正仿宋_GBK" w:eastAsia="方正仿宋_GBK" w:cs="方正仿宋_GBK"/>
          <w:color w:val="auto"/>
          <w:highlight w:val="none"/>
          <w:lang w:bidi="ar"/>
        </w:rPr>
      </w:pPr>
      <w:r>
        <w:rPr>
          <w:rFonts w:hint="eastAsia" w:ascii="方正仿宋_GBK" w:hAnsi="方正仿宋_GBK" w:eastAsia="方正仿宋_GBK" w:cs="方正仿宋_GBK"/>
          <w:color w:val="auto"/>
          <w:highlight w:val="none"/>
          <w:lang w:bidi="ar"/>
        </w:rPr>
        <w:t>按照“</w:t>
      </w:r>
      <w:r>
        <w:rPr>
          <w:rFonts w:hint="eastAsia" w:ascii="方正仿宋_GBK" w:hAnsi="方正仿宋_GBK" w:eastAsia="方正仿宋_GBK" w:cs="方正仿宋_GBK"/>
          <w:color w:val="auto"/>
          <w:kern w:val="2"/>
          <w:sz w:val="32"/>
          <w:szCs w:val="32"/>
          <w:highlight w:val="none"/>
          <w:shd w:val="clear" w:color="auto" w:fill="auto"/>
          <w:lang w:eastAsia="zh-CN" w:bidi="ar"/>
        </w:rPr>
        <w:t>系统规划、分步实施、分类施策</w:t>
      </w:r>
      <w:r>
        <w:rPr>
          <w:rFonts w:hint="eastAsia" w:ascii="方正仿宋_GBK" w:hAnsi="方正仿宋_GBK" w:eastAsia="方正仿宋_GBK" w:cs="方正仿宋_GBK"/>
          <w:color w:val="auto"/>
          <w:highlight w:val="none"/>
          <w:lang w:bidi="ar"/>
        </w:rPr>
        <w:t>”原则，</w:t>
      </w:r>
      <w:r>
        <w:rPr>
          <w:rFonts w:hint="eastAsia" w:ascii="方正仿宋_GBK" w:hAnsi="方正仿宋_GBK" w:cs="方正仿宋_GBK"/>
          <w:color w:val="auto"/>
          <w:highlight w:val="none"/>
          <w:lang w:eastAsia="zh-CN" w:bidi="ar"/>
        </w:rPr>
        <w:t>绘就农村供水规划建设“一张图”，着力构建城乡供水“一张网”、逐步实现供水监管“一张屏”。实施水源连通，</w:t>
      </w:r>
      <w:r>
        <w:rPr>
          <w:rFonts w:hint="eastAsia" w:ascii="方正仿宋_GBK" w:hAnsi="方正仿宋_GBK" w:eastAsia="方正仿宋_GBK" w:cs="方正仿宋_GBK"/>
          <w:color w:val="auto"/>
          <w:highlight w:val="none"/>
          <w:lang w:bidi="ar"/>
        </w:rPr>
        <w:t>因地制宜开展规模化供水工程和小型集中供水工程规范化建设与改造，</w:t>
      </w:r>
      <w:r>
        <w:rPr>
          <w:rFonts w:hint="eastAsia" w:ascii="方正仿宋_GBK" w:hAnsi="方正仿宋_GBK" w:cs="方正仿宋_GBK"/>
          <w:color w:val="auto"/>
          <w:highlight w:val="none"/>
          <w:lang w:eastAsia="zh-CN" w:bidi="ar"/>
        </w:rPr>
        <w:t>实施规模化水厂水质在线监测和农村供水工程县域统管</w:t>
      </w:r>
      <w:r>
        <w:rPr>
          <w:rFonts w:hint="eastAsia" w:ascii="方正仿宋_GBK" w:hAnsi="方正仿宋_GBK" w:eastAsia="方正仿宋_GBK" w:cs="方正仿宋_GBK"/>
          <w:color w:val="auto"/>
          <w:highlight w:val="none"/>
          <w:lang w:bidi="ar"/>
        </w:rPr>
        <w:t>。</w:t>
      </w:r>
    </w:p>
    <w:p>
      <w:pPr>
        <w:keepNext w:val="0"/>
        <w:keepLines w:val="0"/>
        <w:pageBreakBefore w:val="0"/>
        <w:widowControl w:val="0"/>
        <w:numPr>
          <w:ilvl w:val="0"/>
          <w:numId w:val="1"/>
        </w:numPr>
        <w:kinsoku/>
        <w:wordWrap/>
        <w:overflowPunct w:val="0"/>
        <w:topLinePunct w:val="0"/>
        <w:autoSpaceDE/>
        <w:autoSpaceDN/>
        <w:bidi w:val="0"/>
        <w:spacing w:line="576" w:lineRule="exact"/>
        <w:ind w:firstLine="632" w:firstLineChars="200"/>
        <w:textAlignment w:val="auto"/>
        <w:rPr>
          <w:rFonts w:hint="eastAsia"/>
          <w:color w:val="auto"/>
          <w:highlight w:val="none"/>
        </w:rPr>
      </w:pPr>
      <w:r>
        <w:rPr>
          <w:rFonts w:hint="eastAsia" w:ascii="方正楷体_GBK" w:eastAsia="方正楷体_GBK" w:cs="方正楷体_GBK"/>
          <w:color w:val="auto"/>
          <w:highlight w:val="none"/>
          <w:lang w:bidi="ar"/>
        </w:rPr>
        <w:t>水源提升行动。</w:t>
      </w:r>
      <w:r>
        <w:rPr>
          <w:rFonts w:hint="eastAsia" w:hAnsi="方正仿宋_GBK" w:cs="方正仿宋_GBK"/>
          <w:color w:val="auto"/>
          <w:highlight w:val="none"/>
          <w:lang w:bidi="ar"/>
        </w:rPr>
        <w:t>结合</w:t>
      </w:r>
      <w:r>
        <w:rPr>
          <w:rFonts w:hint="eastAsia" w:hAnsi="方正仿宋_GBK" w:cs="方正仿宋_GBK"/>
          <w:color w:val="auto"/>
          <w:highlight w:val="none"/>
          <w:lang w:eastAsia="zh-CN" w:bidi="ar"/>
        </w:rPr>
        <w:t>綦江</w:t>
      </w:r>
      <w:r>
        <w:rPr>
          <w:rFonts w:hint="eastAsia" w:hAnsi="方正仿宋_GBK" w:cs="方正仿宋_GBK"/>
          <w:color w:val="auto"/>
          <w:highlight w:val="none"/>
          <w:lang w:bidi="ar"/>
        </w:rPr>
        <w:t>水网建设规划</w:t>
      </w:r>
      <w:r>
        <w:rPr>
          <w:rFonts w:hint="eastAsia" w:hAnsi="方正仿宋_GBK" w:cs="方正仿宋_GBK"/>
          <w:color w:val="auto"/>
          <w:highlight w:val="none"/>
          <w:lang w:eastAsia="zh-CN" w:bidi="ar"/>
        </w:rPr>
        <w:t>和渝南水塔建设</w:t>
      </w:r>
      <w:r>
        <w:rPr>
          <w:rFonts w:hint="eastAsia" w:hAnsi="方正仿宋_GBK" w:cs="方正仿宋_GBK"/>
          <w:color w:val="auto"/>
          <w:highlight w:val="none"/>
          <w:lang w:bidi="ar"/>
        </w:rPr>
        <w:t>，在水资源丰富且制约性相对较小的区域，坚持宜大则大、宜中则中、宜小则小的原则规划水源提升工程，形成</w:t>
      </w:r>
      <w:r>
        <w:rPr>
          <w:rFonts w:hint="eastAsia"/>
          <w:color w:val="auto"/>
          <w:highlight w:val="none"/>
          <w:lang w:bidi="ar"/>
        </w:rPr>
        <w:t>“</w:t>
      </w:r>
      <w:r>
        <w:rPr>
          <w:rFonts w:hint="eastAsia" w:hAnsi="方正仿宋_GBK" w:cs="方正仿宋_GBK"/>
          <w:color w:val="auto"/>
          <w:highlight w:val="none"/>
          <w:lang w:bidi="ar"/>
        </w:rPr>
        <w:t>多点支撑、调蓄自如</w:t>
      </w:r>
      <w:r>
        <w:rPr>
          <w:rFonts w:hint="eastAsia"/>
          <w:color w:val="auto"/>
          <w:highlight w:val="none"/>
          <w:lang w:bidi="ar"/>
        </w:rPr>
        <w:t>”</w:t>
      </w:r>
      <w:r>
        <w:rPr>
          <w:rFonts w:hint="eastAsia" w:hAnsi="方正仿宋_GBK" w:cs="方正仿宋_GBK"/>
          <w:color w:val="auto"/>
          <w:highlight w:val="none"/>
          <w:lang w:bidi="ar"/>
        </w:rPr>
        <w:t>的水资源配置布局。综合采取优质水源置换、新建蓄引提（调）水工程、水源连通等措施，着力解决水源调蓄调配能力不足、易旱区域季节性缺水等问题。全</w:t>
      </w:r>
      <w:r>
        <w:rPr>
          <w:rFonts w:hint="eastAsia" w:hAnsi="方正仿宋_GBK" w:cs="方正仿宋_GBK"/>
          <w:color w:val="auto"/>
          <w:highlight w:val="none"/>
          <w:lang w:eastAsia="zh-CN" w:bidi="ar"/>
        </w:rPr>
        <w:t>区</w:t>
      </w:r>
      <w:r>
        <w:rPr>
          <w:rFonts w:hint="eastAsia"/>
          <w:color w:val="auto"/>
          <w:highlight w:val="none"/>
          <w:lang w:bidi="ar"/>
        </w:rPr>
        <w:t>2025—2027</w:t>
      </w:r>
      <w:r>
        <w:rPr>
          <w:rFonts w:hint="eastAsia" w:hAnsi="方正仿宋_GBK" w:cs="方正仿宋_GBK"/>
          <w:color w:val="auto"/>
          <w:highlight w:val="none"/>
          <w:lang w:bidi="ar"/>
        </w:rPr>
        <w:t>年规划实施水源提升工程</w:t>
      </w:r>
      <w:r>
        <w:rPr>
          <w:rFonts w:hint="eastAsia"/>
          <w:color w:val="auto"/>
          <w:highlight w:val="none"/>
          <w:lang w:val="en-US" w:eastAsia="zh-CN" w:bidi="ar"/>
        </w:rPr>
        <w:t>17</w:t>
      </w:r>
      <w:r>
        <w:rPr>
          <w:rFonts w:hint="eastAsia" w:hAnsi="方正仿宋_GBK" w:cs="方正仿宋_GBK"/>
          <w:color w:val="auto"/>
          <w:highlight w:val="none"/>
          <w:lang w:bidi="ar"/>
        </w:rPr>
        <w:t>处（</w:t>
      </w:r>
      <w:r>
        <w:rPr>
          <w:rFonts w:hint="default" w:hAnsi="方正仿宋_GBK" w:cs="方正仿宋_GBK"/>
          <w:color w:val="auto"/>
          <w:highlight w:val="none"/>
          <w:lang w:bidi="ar"/>
        </w:rPr>
        <w:t>含</w:t>
      </w:r>
      <w:r>
        <w:rPr>
          <w:rFonts w:hint="eastAsia" w:hAnsi="方正仿宋_GBK" w:cs="方正仿宋_GBK"/>
          <w:color w:val="auto"/>
          <w:highlight w:val="none"/>
          <w:lang w:bidi="ar"/>
        </w:rPr>
        <w:t>新建及整治水源工程）</w:t>
      </w:r>
      <w:r>
        <w:rPr>
          <w:rFonts w:hint="eastAsia" w:hAnsi="方正仿宋_GBK" w:cs="方正仿宋_GBK"/>
          <w:color w:val="auto"/>
          <w:highlight w:val="none"/>
          <w:lang w:eastAsia="zh-CN" w:bidi="ar"/>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32" w:firstLineChars="200"/>
        <w:textAlignment w:val="auto"/>
        <w:rPr>
          <w:rFonts w:hint="eastAsia"/>
          <w:color w:val="auto"/>
          <w:highlight w:val="none"/>
        </w:rPr>
      </w:pPr>
      <w:r>
        <w:rPr>
          <w:rFonts w:hint="eastAsia" w:ascii="方正楷体_GBK" w:eastAsia="方正楷体_GBK" w:cs="方正楷体_GBK"/>
          <w:color w:val="auto"/>
          <w:highlight w:val="none"/>
          <w:lang w:bidi="ar"/>
        </w:rPr>
        <w:t>（二）</w:t>
      </w:r>
      <w:r>
        <w:rPr>
          <w:rFonts w:hint="eastAsia" w:ascii="方正楷体_GBK" w:eastAsia="方正楷体_GBK" w:cs="方正楷体_GBK"/>
          <w:color w:val="auto"/>
          <w:spacing w:val="-4"/>
          <w:highlight w:val="none"/>
          <w:lang w:bidi="ar"/>
        </w:rPr>
        <w:t>水厂提升行动。</w:t>
      </w:r>
      <w:r>
        <w:rPr>
          <w:rFonts w:hint="eastAsia" w:hAnsi="方正仿宋_GBK" w:cs="方正仿宋_GBK"/>
          <w:color w:val="auto"/>
          <w:spacing w:val="-4"/>
          <w:highlight w:val="none"/>
          <w:lang w:bidi="ar"/>
        </w:rPr>
        <w:t>坚持</w:t>
      </w:r>
      <w:r>
        <w:rPr>
          <w:rFonts w:hint="eastAsia" w:hAnsi="方正仿宋_GBK" w:cs="方正仿宋_GBK"/>
          <w:color w:val="auto"/>
          <w:spacing w:val="-4"/>
          <w:highlight w:val="none"/>
          <w:lang w:eastAsia="zh-CN" w:bidi="ar"/>
        </w:rPr>
        <w:t>“大水厂、大管网、大供区”</w:t>
      </w:r>
      <w:r>
        <w:rPr>
          <w:rFonts w:hint="eastAsia" w:hAnsi="方正仿宋_GBK" w:cs="方正仿宋_GBK"/>
          <w:color w:val="auto"/>
          <w:spacing w:val="-4"/>
          <w:highlight w:val="none"/>
          <w:lang w:bidi="ar"/>
        </w:rPr>
        <w:t>，重点实施</w:t>
      </w:r>
      <w:r>
        <w:rPr>
          <w:rFonts w:hint="eastAsia" w:hAnsi="方正仿宋_GBK" w:cs="方正仿宋_GBK"/>
          <w:color w:val="auto"/>
          <w:spacing w:val="-4"/>
          <w:highlight w:val="none"/>
          <w:lang w:eastAsia="zh-CN" w:bidi="ar"/>
        </w:rPr>
        <w:t>改扩建或新建一批规模化水厂。在</w:t>
      </w:r>
      <w:r>
        <w:rPr>
          <w:rFonts w:hint="eastAsia" w:hAnsi="方正仿宋_GBK" w:cs="方正仿宋_GBK"/>
          <w:color w:val="auto"/>
          <w:spacing w:val="-4"/>
          <w:highlight w:val="none"/>
          <w:lang w:bidi="ar"/>
        </w:rPr>
        <w:t>规模化供水</w:t>
      </w:r>
      <w:r>
        <w:rPr>
          <w:rFonts w:hint="eastAsia" w:hAnsi="方正仿宋_GBK" w:cs="方正仿宋_GBK"/>
          <w:color w:val="auto"/>
          <w:spacing w:val="-4"/>
          <w:highlight w:val="none"/>
          <w:lang w:eastAsia="zh-CN" w:bidi="ar"/>
        </w:rPr>
        <w:t>无法覆盖</w:t>
      </w:r>
      <w:r>
        <w:rPr>
          <w:rFonts w:hint="eastAsia" w:hAnsi="方正仿宋_GBK" w:cs="方正仿宋_GBK"/>
          <w:color w:val="auto"/>
          <w:spacing w:val="-4"/>
          <w:highlight w:val="none"/>
          <w:lang w:bidi="ar"/>
        </w:rPr>
        <w:t>的</w:t>
      </w:r>
      <w:r>
        <w:rPr>
          <w:rFonts w:hint="eastAsia" w:hAnsi="方正仿宋_GBK" w:cs="方正仿宋_GBK"/>
          <w:color w:val="auto"/>
          <w:spacing w:val="-4"/>
          <w:highlight w:val="none"/>
          <w:lang w:eastAsia="zh-CN" w:bidi="ar"/>
        </w:rPr>
        <w:t>区域</w:t>
      </w:r>
      <w:r>
        <w:rPr>
          <w:rFonts w:hint="eastAsia" w:hAnsi="方正仿宋_GBK" w:cs="方正仿宋_GBK"/>
          <w:color w:val="auto"/>
          <w:spacing w:val="-4"/>
          <w:highlight w:val="none"/>
          <w:lang w:bidi="ar"/>
        </w:rPr>
        <w:t>，推进小型集中供水工程规范化建设和改造，进一步优化农村供水工程布局</w:t>
      </w:r>
      <w:r>
        <w:rPr>
          <w:rFonts w:hint="eastAsia" w:hAnsi="方正仿宋_GBK" w:cs="方正仿宋_GBK"/>
          <w:color w:val="auto"/>
          <w:spacing w:val="-4"/>
          <w:highlight w:val="none"/>
          <w:lang w:eastAsia="zh-CN" w:bidi="ar"/>
        </w:rPr>
        <w:t>，提升供水保障能力</w:t>
      </w:r>
      <w:r>
        <w:rPr>
          <w:rFonts w:hint="eastAsia" w:hAnsi="方正仿宋_GBK" w:cs="方正仿宋_GBK"/>
          <w:color w:val="auto"/>
          <w:spacing w:val="-4"/>
          <w:highlight w:val="none"/>
          <w:lang w:bidi="ar"/>
        </w:rPr>
        <w:t>。全</w:t>
      </w:r>
      <w:r>
        <w:rPr>
          <w:rFonts w:hint="eastAsia" w:hAnsi="方正仿宋_GBK" w:cs="方正仿宋_GBK"/>
          <w:color w:val="auto"/>
          <w:spacing w:val="-4"/>
          <w:highlight w:val="none"/>
          <w:lang w:eastAsia="zh-CN" w:bidi="ar"/>
        </w:rPr>
        <w:t>区</w:t>
      </w:r>
      <w:r>
        <w:rPr>
          <w:rFonts w:hint="eastAsia"/>
          <w:color w:val="auto"/>
          <w:spacing w:val="-4"/>
          <w:highlight w:val="none"/>
          <w:lang w:bidi="ar"/>
        </w:rPr>
        <w:t>2025—2027</w:t>
      </w:r>
      <w:r>
        <w:rPr>
          <w:rFonts w:hint="eastAsia" w:hAnsi="方正仿宋_GBK" w:cs="方正仿宋_GBK"/>
          <w:color w:val="auto"/>
          <w:highlight w:val="none"/>
          <w:lang w:bidi="ar"/>
        </w:rPr>
        <w:t>年规划实施水厂提升工程</w:t>
      </w:r>
      <w:r>
        <w:rPr>
          <w:rFonts w:hint="eastAsia"/>
          <w:color w:val="auto"/>
          <w:highlight w:val="none"/>
          <w:lang w:val="en-US" w:eastAsia="zh-CN" w:bidi="ar"/>
        </w:rPr>
        <w:t>17</w:t>
      </w:r>
      <w:r>
        <w:rPr>
          <w:rFonts w:hint="eastAsia" w:hAnsi="方正仿宋_GBK" w:cs="方正仿宋_GBK"/>
          <w:color w:val="auto"/>
          <w:highlight w:val="none"/>
          <w:lang w:bidi="ar"/>
        </w:rPr>
        <w:t>处。</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color w:val="auto"/>
          <w:highlight w:val="none"/>
        </w:rPr>
      </w:pPr>
      <w:r>
        <w:rPr>
          <w:rFonts w:hint="eastAsia" w:ascii="方正楷体_GBK" w:eastAsia="方正楷体_GBK" w:cs="方正楷体_GBK"/>
          <w:color w:val="auto"/>
          <w:highlight w:val="none"/>
          <w:lang w:bidi="ar"/>
        </w:rPr>
        <w:t>（三）管网提升行动。</w:t>
      </w:r>
      <w:r>
        <w:rPr>
          <w:rFonts w:hint="eastAsia" w:hAnsi="方正仿宋_GBK" w:cs="方正仿宋_GBK"/>
          <w:color w:val="auto"/>
          <w:highlight w:val="none"/>
          <w:lang w:bidi="ar"/>
        </w:rPr>
        <w:t>合理布设输配水管网及附属设施，加快老旧供水管网改造，着力解决管网输配水能力不足、老化破损等问题。加快城镇及规模化水厂管网延伸，强化水源至水厂之间、</w:t>
      </w:r>
      <w:r>
        <w:rPr>
          <w:rFonts w:hint="eastAsia" w:hAnsi="方正仿宋_GBK" w:cs="方正仿宋_GBK"/>
          <w:color w:val="auto"/>
          <w:highlight w:val="none"/>
          <w:lang w:eastAsia="zh-CN" w:bidi="ar"/>
        </w:rPr>
        <w:t>水源</w:t>
      </w:r>
      <w:r>
        <w:rPr>
          <w:rFonts w:hint="default" w:hAnsi="方正仿宋_GBK" w:cs="方正仿宋_GBK"/>
          <w:color w:val="auto"/>
          <w:highlight w:val="none"/>
          <w:lang w:eastAsia="zh-CN" w:bidi="ar"/>
        </w:rPr>
        <w:t>与水源</w:t>
      </w:r>
      <w:r>
        <w:rPr>
          <w:rFonts w:hint="eastAsia" w:hAnsi="方正仿宋_GBK" w:cs="方正仿宋_GBK"/>
          <w:color w:val="auto"/>
          <w:highlight w:val="none"/>
          <w:lang w:bidi="ar"/>
        </w:rPr>
        <w:t>之间、水厂</w:t>
      </w:r>
      <w:r>
        <w:rPr>
          <w:rFonts w:hint="default" w:hAnsi="方正仿宋_GBK" w:cs="方正仿宋_GBK"/>
          <w:color w:val="auto"/>
          <w:highlight w:val="none"/>
          <w:lang w:bidi="ar"/>
        </w:rPr>
        <w:t>与水厂</w:t>
      </w:r>
      <w:r>
        <w:rPr>
          <w:rFonts w:hint="eastAsia" w:hAnsi="方正仿宋_GBK" w:cs="方正仿宋_GBK"/>
          <w:color w:val="auto"/>
          <w:highlight w:val="none"/>
          <w:lang w:bidi="ar"/>
        </w:rPr>
        <w:t>之间的管网连通。全</w:t>
      </w:r>
      <w:r>
        <w:rPr>
          <w:rFonts w:hint="eastAsia" w:hAnsi="方正仿宋_GBK" w:cs="方正仿宋_GBK"/>
          <w:color w:val="auto"/>
          <w:highlight w:val="none"/>
          <w:lang w:eastAsia="zh-CN" w:bidi="ar"/>
        </w:rPr>
        <w:t>区</w:t>
      </w:r>
      <w:r>
        <w:rPr>
          <w:rFonts w:hint="eastAsia"/>
          <w:color w:val="auto"/>
          <w:highlight w:val="none"/>
          <w:lang w:bidi="ar"/>
        </w:rPr>
        <w:t>2025—2027</w:t>
      </w:r>
      <w:r>
        <w:rPr>
          <w:rFonts w:hint="eastAsia" w:hAnsi="方正仿宋_GBK" w:cs="方正仿宋_GBK"/>
          <w:color w:val="auto"/>
          <w:highlight w:val="none"/>
          <w:lang w:bidi="ar"/>
        </w:rPr>
        <w:t>年新建提水泵站</w:t>
      </w:r>
      <w:r>
        <w:rPr>
          <w:rFonts w:hint="eastAsia"/>
          <w:color w:val="auto"/>
          <w:highlight w:val="none"/>
          <w:lang w:val="en-US" w:eastAsia="zh-CN" w:bidi="ar"/>
        </w:rPr>
        <w:t>52</w:t>
      </w:r>
      <w:r>
        <w:rPr>
          <w:rFonts w:hint="eastAsia" w:hAnsi="方正仿宋_GBK" w:cs="方正仿宋_GBK"/>
          <w:color w:val="auto"/>
          <w:highlight w:val="none"/>
          <w:lang w:bidi="ar"/>
        </w:rPr>
        <w:t>座</w:t>
      </w:r>
      <w:r>
        <w:rPr>
          <w:rFonts w:hint="eastAsia" w:hAnsi="方正仿宋_GBK" w:cs="方正仿宋_GBK"/>
          <w:color w:val="auto"/>
          <w:highlight w:val="none"/>
          <w:lang w:eastAsia="zh-CN" w:bidi="ar"/>
        </w:rPr>
        <w:t>，</w:t>
      </w:r>
      <w:r>
        <w:rPr>
          <w:rFonts w:hint="eastAsia" w:ascii="方正仿宋_GBK" w:hAnsi="方正仿宋_GBK" w:eastAsia="方正仿宋_GBK" w:cs="方正仿宋_GBK"/>
          <w:sz w:val="32"/>
          <w:szCs w:val="32"/>
          <w:highlight w:val="none"/>
        </w:rPr>
        <w:t>建设管</w:t>
      </w:r>
      <w:r>
        <w:rPr>
          <w:rFonts w:hint="eastAsia" w:ascii="方正仿宋_GBK" w:hAnsi="方正仿宋_GBK" w:cs="方正仿宋_GBK"/>
          <w:sz w:val="32"/>
          <w:szCs w:val="32"/>
          <w:highlight w:val="none"/>
          <w:lang w:val="en-US" w:eastAsia="zh-CN"/>
        </w:rPr>
        <w:t>网</w:t>
      </w:r>
      <w:r>
        <w:rPr>
          <w:rFonts w:hint="eastAsia" w:ascii="方正仿宋_GBK" w:hAnsi="方正仿宋_GBK" w:eastAsia="方正仿宋_GBK" w:cs="方正仿宋_GBK"/>
          <w:sz w:val="32"/>
          <w:szCs w:val="32"/>
          <w:highlight w:val="none"/>
        </w:rPr>
        <w:t>长度</w:t>
      </w:r>
      <w:r>
        <w:rPr>
          <w:rFonts w:hint="eastAsia"/>
          <w:color w:val="auto"/>
          <w:highlight w:val="none"/>
          <w:lang w:val="en-US" w:eastAsia="zh-CN" w:bidi="ar"/>
        </w:rPr>
        <w:t>2036.99</w:t>
      </w:r>
      <w:r>
        <w:rPr>
          <w:rFonts w:hint="eastAsia"/>
          <w:color w:val="auto"/>
          <w:highlight w:val="none"/>
          <w:lang w:eastAsia="zh-CN" w:bidi="ar"/>
        </w:rPr>
        <w:t>公里</w:t>
      </w:r>
      <w:r>
        <w:rPr>
          <w:rFonts w:hint="eastAsia" w:hAnsi="方正仿宋_GBK" w:cs="方正仿宋_GBK"/>
          <w:color w:val="auto"/>
          <w:highlight w:val="none"/>
          <w:lang w:bidi="ar"/>
        </w:rPr>
        <w:t>。</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eastAsia="zh-CN" w:bidi="ar"/>
        </w:rPr>
      </w:pPr>
      <w:r>
        <w:rPr>
          <w:rFonts w:hint="eastAsia" w:ascii="方正楷体_GBK" w:eastAsia="方正楷体_GBK" w:cs="方正楷体_GBK"/>
          <w:color w:val="auto"/>
          <w:highlight w:val="none"/>
          <w:lang w:bidi="ar"/>
        </w:rPr>
        <w:t>（四）水质提升行动。</w:t>
      </w:r>
      <w:r>
        <w:rPr>
          <w:rFonts w:hint="eastAsia" w:hAnsi="方正仿宋_GBK" w:cs="方正仿宋_GBK"/>
          <w:color w:val="auto"/>
          <w:highlight w:val="none"/>
          <w:lang w:bidi="ar"/>
        </w:rPr>
        <w:t>健全从源头到龙头的水质安全保障体系，着力解决水源水质不稳定、净化消毒设施设备不完善</w:t>
      </w:r>
      <w:r>
        <w:rPr>
          <w:rFonts w:hint="eastAsia" w:hAnsi="方正仿宋_GBK" w:cs="方正仿宋_GBK"/>
          <w:color w:val="auto"/>
          <w:highlight w:val="none"/>
          <w:lang w:val="en-US" w:eastAsia="zh-CN" w:bidi="ar"/>
        </w:rPr>
        <w:t>、</w:t>
      </w:r>
      <w:r>
        <w:rPr>
          <w:rFonts w:hint="eastAsia" w:hAnsi="方正仿宋_GBK" w:cs="方正仿宋_GBK"/>
          <w:color w:val="auto"/>
          <w:highlight w:val="none"/>
          <w:lang w:bidi="ar"/>
        </w:rPr>
        <w:t>制水工艺落后等问题；集中式饮用水水源地全面划定保护区，强化饮用水水源地保护与监督管理；配套完善集中供水工程净化消毒设施设备，加强卫生管理，净化消毒设施设备、供水管网等材料和设备必须具备涉水产品卫生许可。加强水质监测能力建设，强化水质监测结果共享和供水水质污染联防联控工作机制。生态环境</w:t>
      </w:r>
      <w:r>
        <w:rPr>
          <w:rFonts w:hint="eastAsia" w:hAnsi="方正仿宋_GBK" w:cs="方正仿宋_GBK"/>
          <w:color w:val="auto"/>
          <w:highlight w:val="none"/>
          <w:lang w:eastAsia="zh-CN" w:bidi="ar"/>
        </w:rPr>
        <w:t>部门强化水源地水质监测</w:t>
      </w:r>
      <w:r>
        <w:rPr>
          <w:rFonts w:hint="eastAsia" w:hAnsi="方正仿宋_GBK" w:cs="方正仿宋_GBK"/>
          <w:color w:val="auto"/>
          <w:highlight w:val="none"/>
          <w:lang w:bidi="ar"/>
        </w:rPr>
        <w:t>，</w:t>
      </w:r>
      <w:r>
        <w:rPr>
          <w:rFonts w:hint="eastAsia" w:hAnsi="方正仿宋_GBK" w:cs="方正仿宋_GBK"/>
          <w:color w:val="auto"/>
          <w:highlight w:val="none"/>
          <w:lang w:eastAsia="zh-CN" w:bidi="ar"/>
        </w:rPr>
        <w:t>疾控部门开展</w:t>
      </w:r>
      <w:r>
        <w:rPr>
          <w:rFonts w:hint="eastAsia" w:hAnsi="方正仿宋_GBK" w:cs="方正仿宋_GBK"/>
          <w:color w:val="auto"/>
          <w:highlight w:val="none"/>
          <w:lang w:bidi="ar"/>
        </w:rPr>
        <w:t>出厂水、管网末梢水监督检测，水行政主管部门加强水质巡检、抽检，规模化水厂</w:t>
      </w:r>
      <w:r>
        <w:rPr>
          <w:rFonts w:hint="eastAsia" w:hAnsi="方正仿宋_GBK" w:cs="方正仿宋_GBK"/>
          <w:color w:val="auto"/>
          <w:highlight w:val="none"/>
          <w:lang w:eastAsia="zh-CN" w:bidi="ar"/>
        </w:rPr>
        <w:t>全面</w:t>
      </w:r>
      <w:r>
        <w:rPr>
          <w:rFonts w:hint="eastAsia" w:hAnsi="方正仿宋_GBK" w:cs="方正仿宋_GBK"/>
          <w:color w:val="auto"/>
          <w:highlight w:val="none"/>
          <w:lang w:bidi="ar"/>
        </w:rPr>
        <w:t>水质自检，积极推进集中供水工程在线监测。全</w:t>
      </w:r>
      <w:r>
        <w:rPr>
          <w:rFonts w:hint="eastAsia" w:hAnsi="方正仿宋_GBK" w:cs="方正仿宋_GBK"/>
          <w:color w:val="auto"/>
          <w:highlight w:val="none"/>
          <w:lang w:eastAsia="zh-CN" w:bidi="ar"/>
        </w:rPr>
        <w:t>区</w:t>
      </w:r>
      <w:r>
        <w:rPr>
          <w:rFonts w:hint="eastAsia"/>
          <w:color w:val="auto"/>
          <w:highlight w:val="none"/>
          <w:lang w:bidi="ar"/>
        </w:rPr>
        <w:t>2025—2027</w:t>
      </w:r>
      <w:r>
        <w:rPr>
          <w:rFonts w:hint="eastAsia" w:hAnsi="方正仿宋_GBK" w:cs="方正仿宋_GBK"/>
          <w:color w:val="auto"/>
          <w:highlight w:val="none"/>
          <w:lang w:bidi="ar"/>
        </w:rPr>
        <w:t>年划定集中式饮用水水源保护区</w:t>
      </w:r>
      <w:r>
        <w:rPr>
          <w:rFonts w:hint="eastAsia"/>
          <w:color w:val="auto"/>
          <w:highlight w:val="none"/>
          <w:lang w:val="en-US" w:eastAsia="zh-CN" w:bidi="ar"/>
        </w:rPr>
        <w:t>2</w:t>
      </w:r>
      <w:r>
        <w:rPr>
          <w:rFonts w:hint="eastAsia" w:hAnsi="方正仿宋_GBK" w:cs="方正仿宋_GBK"/>
          <w:color w:val="auto"/>
          <w:highlight w:val="none"/>
          <w:lang w:bidi="ar"/>
        </w:rPr>
        <w:t>处，配套完善集中供水工程净化设施设备</w:t>
      </w:r>
      <w:r>
        <w:rPr>
          <w:rFonts w:hint="eastAsia"/>
          <w:color w:val="auto"/>
          <w:highlight w:val="none"/>
          <w:lang w:val="en-US" w:eastAsia="zh-CN" w:bidi="ar"/>
        </w:rPr>
        <w:t>17</w:t>
      </w:r>
      <w:r>
        <w:rPr>
          <w:rFonts w:hint="eastAsia" w:hAnsi="方正仿宋_GBK" w:cs="方正仿宋_GBK"/>
          <w:color w:val="auto"/>
          <w:highlight w:val="none"/>
          <w:lang w:bidi="ar"/>
        </w:rPr>
        <w:t>套、新增或更换消毒设施设备</w:t>
      </w:r>
      <w:r>
        <w:rPr>
          <w:rFonts w:hint="eastAsia"/>
          <w:color w:val="auto"/>
          <w:highlight w:val="none"/>
          <w:lang w:val="en-US" w:eastAsia="zh-CN" w:bidi="ar"/>
        </w:rPr>
        <w:t>17</w:t>
      </w:r>
      <w:r>
        <w:rPr>
          <w:rFonts w:hint="eastAsia" w:hAnsi="方正仿宋_GBK" w:cs="方正仿宋_GBK"/>
          <w:color w:val="auto"/>
          <w:highlight w:val="none"/>
          <w:lang w:bidi="ar"/>
        </w:rPr>
        <w:t>套</w:t>
      </w:r>
      <w:r>
        <w:rPr>
          <w:rFonts w:hint="eastAsia" w:hAnsi="方正仿宋_GBK" w:cs="方正仿宋_GBK"/>
          <w:color w:val="auto"/>
          <w:highlight w:val="none"/>
          <w:lang w:eastAsia="zh-CN" w:bidi="ar"/>
        </w:rPr>
        <w:t>，</w:t>
      </w:r>
      <w:r>
        <w:rPr>
          <w:rFonts w:hint="eastAsia" w:hAnsi="方正仿宋_GBK" w:cs="方正仿宋_GBK"/>
          <w:color w:val="auto"/>
          <w:highlight w:val="none"/>
          <w:lang w:val="en-US" w:eastAsia="zh-CN" w:bidi="ar"/>
        </w:rPr>
        <w:t>区水利局</w:t>
      </w:r>
      <w:r>
        <w:rPr>
          <w:rFonts w:hint="eastAsia" w:hAnsi="方正仿宋_GBK" w:cs="方正仿宋_GBK"/>
          <w:color w:val="auto"/>
          <w:highlight w:val="none"/>
          <w:lang w:eastAsia="zh-CN" w:bidi="ar"/>
        </w:rPr>
        <w:t>整合资源与区疾病预防控制中心联建水质检测实验室。</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bidi="ar"/>
        </w:rPr>
      </w:pPr>
      <w:r>
        <w:rPr>
          <w:rFonts w:hint="eastAsia" w:ascii="方正楷体_GBK" w:eastAsia="方正楷体_GBK" w:cs="方正楷体_GBK"/>
          <w:color w:val="auto"/>
          <w:highlight w:val="none"/>
          <w:lang w:bidi="ar"/>
        </w:rPr>
        <w:t>（五）数字能力提升行动。</w:t>
      </w:r>
      <w:r>
        <w:rPr>
          <w:rFonts w:hint="eastAsia" w:hAnsi="方正仿宋_GBK" w:cs="方正仿宋_GBK"/>
          <w:color w:val="auto"/>
          <w:highlight w:val="none"/>
          <w:lang w:bidi="ar"/>
        </w:rPr>
        <w:t>按照数字重庆</w:t>
      </w:r>
      <w:r>
        <w:rPr>
          <w:rFonts w:hint="eastAsia"/>
          <w:color w:val="auto"/>
          <w:highlight w:val="none"/>
          <w:lang w:bidi="ar"/>
        </w:rPr>
        <w:t>“1361”</w:t>
      </w:r>
      <w:r>
        <w:rPr>
          <w:rFonts w:hint="eastAsia" w:hAnsi="方正仿宋_GBK" w:cs="方正仿宋_GBK"/>
          <w:color w:val="auto"/>
          <w:highlight w:val="none"/>
          <w:lang w:bidi="ar"/>
        </w:rPr>
        <w:t>整体架构，在数字水利应用场景中承接贯通从源头到龙头的农村饮水数字化监管体系，着力解决农村供水工程态势感知能力不足、监管服务效能不高等问题。承接贯通</w:t>
      </w:r>
      <w:r>
        <w:rPr>
          <w:rFonts w:hint="eastAsia" w:cs="方正仿宋_GBK"/>
          <w:color w:val="auto"/>
          <w:highlight w:val="none"/>
          <w:lang w:bidi="ar"/>
        </w:rPr>
        <w:t>“</w:t>
      </w:r>
      <w:r>
        <w:rPr>
          <w:rFonts w:hint="eastAsia" w:hAnsi="方正仿宋_GBK" w:cs="方正仿宋_GBK"/>
          <w:color w:val="auto"/>
          <w:highlight w:val="none"/>
          <w:lang w:bidi="ar"/>
        </w:rPr>
        <w:t>政务</w:t>
      </w:r>
      <w:r>
        <w:rPr>
          <w:rFonts w:hint="eastAsia" w:cs="方正仿宋_GBK"/>
          <w:color w:val="auto"/>
          <w:highlight w:val="none"/>
          <w:lang w:bidi="ar"/>
        </w:rPr>
        <w:t>·</w:t>
      </w:r>
      <w:r>
        <w:rPr>
          <w:rFonts w:hint="eastAsia" w:hAnsi="方正仿宋_GBK" w:cs="方正仿宋_GBK"/>
          <w:color w:val="auto"/>
          <w:highlight w:val="none"/>
          <w:lang w:bidi="ar"/>
        </w:rPr>
        <w:t>农村供水保障</w:t>
      </w:r>
      <w:r>
        <w:rPr>
          <w:rFonts w:hint="eastAsia" w:cs="方正仿宋_GBK"/>
          <w:color w:val="auto"/>
          <w:highlight w:val="none"/>
          <w:lang w:bidi="ar"/>
        </w:rPr>
        <w:t>”</w:t>
      </w:r>
      <w:r>
        <w:rPr>
          <w:rFonts w:hint="eastAsia" w:hAnsi="方正仿宋_GBK" w:cs="方正仿宋_GBK"/>
          <w:color w:val="auto"/>
          <w:highlight w:val="none"/>
          <w:lang w:bidi="ar"/>
        </w:rPr>
        <w:t>子应用，基于</w:t>
      </w:r>
      <w:r>
        <w:rPr>
          <w:rFonts w:hint="eastAsia"/>
          <w:color w:val="auto"/>
          <w:highlight w:val="none"/>
          <w:lang w:bidi="ar"/>
        </w:rPr>
        <w:t>IRS</w:t>
      </w:r>
      <w:r>
        <w:rPr>
          <w:rFonts w:hint="eastAsia" w:hAnsi="方正仿宋_GBK" w:cs="方正仿宋_GBK"/>
          <w:color w:val="auto"/>
          <w:highlight w:val="none"/>
          <w:lang w:bidi="ar"/>
        </w:rPr>
        <w:t>数据系统横向打通生态环境、应急、气象、疾控等相关部门数据通道，通过三级数字化城市运行和治理中心纵向贯通市、</w:t>
      </w:r>
      <w:r>
        <w:rPr>
          <w:rFonts w:hint="eastAsia" w:hAnsi="方正仿宋_GBK" w:cs="方正仿宋_GBK"/>
          <w:color w:val="auto"/>
          <w:highlight w:val="none"/>
          <w:lang w:val="en-US" w:eastAsia="zh-CN" w:bidi="ar"/>
        </w:rPr>
        <w:t>区</w:t>
      </w:r>
      <w:r>
        <w:rPr>
          <w:rFonts w:hint="eastAsia" w:hAnsi="方正仿宋_GBK" w:cs="方正仿宋_GBK"/>
          <w:color w:val="auto"/>
          <w:highlight w:val="none"/>
          <w:lang w:bidi="ar"/>
        </w:rPr>
        <w:t>、镇（街）</w:t>
      </w:r>
      <w:r>
        <w:rPr>
          <w:rFonts w:hint="eastAsia"/>
          <w:color w:val="auto"/>
          <w:highlight w:val="none"/>
          <w:lang w:bidi="ar"/>
        </w:rPr>
        <w:t>“</w:t>
      </w:r>
      <w:r>
        <w:rPr>
          <w:rFonts w:hint="eastAsia" w:hAnsi="方正仿宋_GBK" w:cs="方正仿宋_GBK"/>
          <w:color w:val="auto"/>
          <w:highlight w:val="none"/>
          <w:lang w:bidi="ar"/>
        </w:rPr>
        <w:t>政务农村供水保障</w:t>
      </w:r>
      <w:r>
        <w:rPr>
          <w:rFonts w:hint="eastAsia"/>
          <w:color w:val="auto"/>
          <w:highlight w:val="none"/>
          <w:lang w:bidi="ar"/>
        </w:rPr>
        <w:t>”</w:t>
      </w:r>
      <w:r>
        <w:rPr>
          <w:rFonts w:hint="eastAsia" w:hAnsi="方正仿宋_GBK" w:cs="方正仿宋_GBK"/>
          <w:color w:val="auto"/>
          <w:highlight w:val="none"/>
          <w:lang w:bidi="ar"/>
        </w:rPr>
        <w:t>子应用，基本实现农村饮水问题处置数字化多跨协同。配置集中供水工程在线监测设备，规模化水厂全面实现在线监测。</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bidi="ar"/>
        </w:rPr>
      </w:pPr>
      <w:r>
        <w:rPr>
          <w:rFonts w:hint="eastAsia" w:ascii="方正楷体_GBK" w:eastAsia="方正楷体_GBK" w:cs="方正楷体_GBK"/>
          <w:color w:val="auto"/>
          <w:highlight w:val="none"/>
          <w:lang w:bidi="ar"/>
        </w:rPr>
        <w:t>（六）管理能力提升行动。</w:t>
      </w:r>
      <w:r>
        <w:rPr>
          <w:rFonts w:hint="eastAsia" w:hAnsi="方正仿宋_GBK" w:cs="方正仿宋_GBK"/>
          <w:color w:val="auto"/>
          <w:highlight w:val="none"/>
          <w:lang w:bidi="ar"/>
        </w:rPr>
        <w:t>按照“建管并重”原则和“政府监管、企业化运营、专业化管理、社会化服务”总体目标，全面推进县域统管，建立相对统一的农村供水管理体制，着力解决农村供水管理专业化程度不高、长效管护机制不健全等问题。按照体系布局完善、设施集约安全、管护规范专业、服务优质高效的标准，推进农村供水工程标准化管理，积极推进县域农村饮水安全标准化建设达标创建。202</w:t>
      </w:r>
      <w:r>
        <w:rPr>
          <w:rFonts w:hint="eastAsia" w:hAnsi="方正仿宋_GBK" w:cs="方正仿宋_GBK"/>
          <w:color w:val="auto"/>
          <w:highlight w:val="none"/>
          <w:lang w:val="en-US" w:eastAsia="zh-CN" w:bidi="ar"/>
        </w:rPr>
        <w:t>7</w:t>
      </w:r>
      <w:r>
        <w:rPr>
          <w:rFonts w:hint="eastAsia" w:hAnsi="方正仿宋_GBK" w:cs="方正仿宋_GBK"/>
          <w:color w:val="auto"/>
          <w:highlight w:val="none"/>
          <w:lang w:bidi="ar"/>
        </w:rPr>
        <w:t>年全面实现农村供水县域统管，规模化供水工程全面实现标准化管理，</w:t>
      </w:r>
      <w:r>
        <w:rPr>
          <w:rFonts w:hint="eastAsia" w:hAnsi="方正仿宋_GBK" w:cs="方正仿宋_GBK"/>
          <w:color w:val="auto"/>
          <w:highlight w:val="none"/>
          <w:lang w:val="en-US" w:eastAsia="zh-CN" w:bidi="ar"/>
        </w:rPr>
        <w:t>3</w:t>
      </w:r>
      <w:r>
        <w:rPr>
          <w:rFonts w:hint="eastAsia" w:hAnsi="方正仿宋_GBK" w:cs="方正仿宋_GBK"/>
          <w:color w:val="auto"/>
          <w:highlight w:val="none"/>
          <w:lang w:bidi="ar"/>
        </w:rPr>
        <w:t>处千人供水工程实现标准化管理。</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default" w:eastAsia="方正仿宋_GBK"/>
          <w:color w:val="auto"/>
          <w:highlight w:val="none"/>
          <w:lang w:val="en-US" w:eastAsia="zh-CN" w:bidi="ar"/>
        </w:rPr>
      </w:pPr>
      <w:r>
        <w:rPr>
          <w:rFonts w:hint="eastAsia" w:ascii="方正楷体_GBK" w:eastAsia="方正楷体_GBK" w:cs="方正楷体_GBK"/>
          <w:color w:val="auto"/>
          <w:highlight w:val="none"/>
          <w:lang w:bidi="ar"/>
        </w:rPr>
        <w:t>（七）应急能力提升行动。</w:t>
      </w:r>
      <w:r>
        <w:rPr>
          <w:rFonts w:hint="eastAsia" w:hAnsi="方正仿宋_GBK" w:cs="方正仿宋_GBK"/>
          <w:color w:val="auto"/>
          <w:highlight w:val="none"/>
          <w:lang w:bidi="ar"/>
        </w:rPr>
        <w:t>建立健全风险防控处置机制，提升农村饮水风险事件</w:t>
      </w:r>
      <w:r>
        <w:rPr>
          <w:rFonts w:hint="eastAsia"/>
          <w:color w:val="auto"/>
          <w:highlight w:val="none"/>
          <w:lang w:bidi="ar"/>
        </w:rPr>
        <w:t>“</w:t>
      </w:r>
      <w:r>
        <w:rPr>
          <w:rFonts w:hint="eastAsia" w:hAnsi="方正仿宋_GBK" w:cs="方正仿宋_GBK"/>
          <w:color w:val="auto"/>
          <w:highlight w:val="none"/>
          <w:lang w:bidi="ar"/>
        </w:rPr>
        <w:t>四预</w:t>
      </w:r>
      <w:r>
        <w:rPr>
          <w:rFonts w:hint="eastAsia"/>
          <w:color w:val="auto"/>
          <w:highlight w:val="none"/>
          <w:lang w:bidi="ar"/>
        </w:rPr>
        <w:t>”</w:t>
      </w:r>
      <w:r>
        <w:rPr>
          <w:rFonts w:hint="eastAsia" w:hAnsi="方正仿宋_GBK" w:cs="方正仿宋_GBK"/>
          <w:color w:val="auto"/>
          <w:highlight w:val="none"/>
          <w:lang w:bidi="ar"/>
        </w:rPr>
        <w:t>能力，着力解决应对自然灾害能力不足等问题</w:t>
      </w:r>
      <w:r>
        <w:rPr>
          <w:rFonts w:hint="eastAsia" w:hAnsi="方正仿宋_GBK" w:cs="方正仿宋_GBK"/>
          <w:color w:val="auto"/>
          <w:highlight w:val="none"/>
          <w:lang w:eastAsia="zh-CN" w:bidi="ar"/>
        </w:rPr>
        <w:t>，筑牢饮水安全保障防线</w:t>
      </w:r>
      <w:r>
        <w:rPr>
          <w:rFonts w:hint="eastAsia" w:hAnsi="方正仿宋_GBK" w:cs="方正仿宋_GBK"/>
          <w:color w:val="auto"/>
          <w:highlight w:val="none"/>
          <w:lang w:bidi="ar"/>
        </w:rPr>
        <w:t>。加快应急备用水源建设，逐步完善农村供水工程平急两用应急保障体系。健全农村饮水风险防控与处置预案体系，</w:t>
      </w:r>
      <w:r>
        <w:rPr>
          <w:rFonts w:hint="eastAsia" w:ascii="Times New Roman" w:hAnsi="Times New Roman" w:eastAsia="方正仿宋_GBK" w:cs="Times New Roman"/>
          <w:b w:val="0"/>
          <w:bCs w:val="0"/>
          <w:color w:val="auto"/>
          <w:kern w:val="2"/>
          <w:sz w:val="32"/>
          <w:szCs w:val="32"/>
          <w:highlight w:val="none"/>
          <w:lang w:eastAsia="zh-CN" w:bidi="ar"/>
        </w:rPr>
        <w:t>依托</w:t>
      </w:r>
      <w:r>
        <w:rPr>
          <w:rFonts w:hint="eastAsia" w:ascii="Times New Roman" w:hAnsi="Times New Roman" w:eastAsia="方正仿宋_GBK" w:cs="Times New Roman"/>
          <w:color w:val="auto"/>
          <w:kern w:val="2"/>
          <w:sz w:val="32"/>
          <w:szCs w:val="32"/>
          <w:highlight w:val="none"/>
          <w:lang w:eastAsia="zh-CN" w:bidi="ar"/>
        </w:rPr>
        <w:t>“</w:t>
      </w:r>
      <w:r>
        <w:rPr>
          <w:rFonts w:hint="eastAsia" w:ascii="Times New Roman" w:hAnsi="Times New Roman" w:cs="Times New Roman"/>
          <w:color w:val="auto"/>
          <w:kern w:val="2"/>
          <w:sz w:val="32"/>
          <w:szCs w:val="32"/>
          <w:highlight w:val="none"/>
          <w:lang w:eastAsia="zh-CN" w:bidi="ar"/>
        </w:rPr>
        <w:t>区</w:t>
      </w:r>
      <w:r>
        <w:rPr>
          <w:rFonts w:hint="eastAsia" w:ascii="Times New Roman" w:hAnsi="Times New Roman" w:cs="Times New Roman"/>
          <w:b w:val="0"/>
          <w:bCs w:val="0"/>
          <w:color w:val="auto"/>
          <w:kern w:val="2"/>
          <w:sz w:val="32"/>
          <w:szCs w:val="32"/>
          <w:highlight w:val="none"/>
          <w:lang w:val="en-US" w:eastAsia="zh-CN" w:bidi="ar"/>
        </w:rPr>
        <w:t>治理中心</w:t>
      </w:r>
      <w:r>
        <w:rPr>
          <w:rFonts w:hint="eastAsia" w:ascii="Times New Roman" w:hAnsi="Times New Roman" w:eastAsia="方正仿宋_GBK" w:cs="Times New Roman"/>
          <w:color w:val="auto"/>
          <w:kern w:val="2"/>
          <w:sz w:val="32"/>
          <w:szCs w:val="32"/>
          <w:highlight w:val="none"/>
          <w:lang w:eastAsia="zh-CN" w:bidi="ar"/>
        </w:rPr>
        <w:t>”平台，</w:t>
      </w:r>
      <w:r>
        <w:rPr>
          <w:rFonts w:hint="default" w:ascii="Times New Roman" w:hAnsi="Times New Roman" w:eastAsia="方正仿宋_GBK" w:cs="Times New Roman"/>
          <w:color w:val="auto"/>
          <w:sz w:val="32"/>
          <w:szCs w:val="32"/>
          <w:highlight w:val="none"/>
          <w:lang w:val="en-US" w:eastAsia="zh-CN" w:bidi="ar"/>
        </w:rPr>
        <w:t>健全</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风险防控</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w:t>
      </w:r>
      <w:r>
        <w:rPr>
          <w:rFonts w:hint="default" w:ascii="Times New Roman" w:hAnsi="Times New Roman" w:eastAsia="方正仿宋_GBK" w:cs="Times New Roman"/>
          <w:color w:val="auto"/>
          <w:sz w:val="32"/>
          <w:szCs w:val="32"/>
          <w:highlight w:val="none"/>
          <w:lang w:val="en-US" w:eastAsia="zh-CN" w:bidi="ar"/>
        </w:rPr>
        <w:t>问题发现</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w:t>
      </w:r>
      <w:r>
        <w:rPr>
          <w:rFonts w:hint="default" w:ascii="Times New Roman" w:hAnsi="Times New Roman" w:eastAsia="方正仿宋_GBK" w:cs="Times New Roman"/>
          <w:color w:val="auto"/>
          <w:sz w:val="32"/>
          <w:szCs w:val="32"/>
          <w:highlight w:val="none"/>
          <w:lang w:val="en-US" w:eastAsia="zh-CN" w:bidi="ar"/>
        </w:rPr>
        <w:t>调查处置</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w:t>
      </w:r>
      <w:r>
        <w:rPr>
          <w:rFonts w:hint="default" w:ascii="Times New Roman" w:hAnsi="Times New Roman" w:eastAsia="方正仿宋_GBK" w:cs="Times New Roman"/>
          <w:color w:val="auto"/>
          <w:sz w:val="32"/>
          <w:szCs w:val="32"/>
          <w:highlight w:val="none"/>
          <w:lang w:val="en-US" w:eastAsia="zh-CN" w:bidi="ar"/>
        </w:rPr>
        <w:t>事态管控</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w:t>
      </w:r>
      <w:r>
        <w:rPr>
          <w:rFonts w:hint="default" w:ascii="Times New Roman" w:hAnsi="Times New Roman" w:eastAsia="方正仿宋_GBK" w:cs="Times New Roman"/>
          <w:color w:val="auto"/>
          <w:sz w:val="32"/>
          <w:szCs w:val="32"/>
          <w:highlight w:val="none"/>
          <w:lang w:val="en-US" w:eastAsia="zh-CN" w:bidi="ar"/>
        </w:rPr>
        <w:t>应急保障</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w:t>
      </w:r>
      <w:r>
        <w:rPr>
          <w:rFonts w:hint="default" w:ascii="Times New Roman" w:hAnsi="Times New Roman" w:eastAsia="方正仿宋_GBK" w:cs="Times New Roman"/>
          <w:color w:val="auto"/>
          <w:sz w:val="32"/>
          <w:szCs w:val="32"/>
          <w:highlight w:val="none"/>
          <w:lang w:val="en-US" w:eastAsia="zh-CN" w:bidi="ar"/>
        </w:rPr>
        <w:t>复盘警示</w:t>
      </w:r>
      <w:r>
        <w:rPr>
          <w:rFonts w:hint="eastAsia"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val="en-US" w:eastAsia="zh-CN" w:bidi="ar"/>
        </w:rPr>
        <w:t>全链条工作体系和</w:t>
      </w:r>
      <w:r>
        <w:rPr>
          <w:rFonts w:hint="eastAsia" w:ascii="Times New Roman" w:hAnsi="Times New Roman" w:eastAsia="方正仿宋_GBK" w:cs="Times New Roman"/>
          <w:color w:val="auto"/>
          <w:sz w:val="32"/>
          <w:szCs w:val="32"/>
          <w:highlight w:val="none"/>
          <w:lang w:eastAsia="zh-CN" w:bidi="ar"/>
        </w:rPr>
        <w:t>联防联控工作机制</w:t>
      </w:r>
      <w:r>
        <w:rPr>
          <w:rFonts w:hint="default" w:ascii="Times New Roman" w:hAnsi="Times New Roman" w:eastAsia="方正仿宋_GBK" w:cs="Times New Roman"/>
          <w:color w:val="auto"/>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eastAsia="zh-CN" w:bidi="ar"/>
        </w:rPr>
        <w:t>强化</w:t>
      </w:r>
      <w:r>
        <w:rPr>
          <w:rFonts w:hint="default" w:ascii="Times New Roman" w:hAnsi="Times New Roman" w:eastAsia="方正仿宋_GBK" w:cs="Times New Roman"/>
          <w:color w:val="auto"/>
          <w:kern w:val="2"/>
          <w:sz w:val="32"/>
          <w:szCs w:val="32"/>
          <w:highlight w:val="none"/>
          <w:lang w:bidi="ar"/>
        </w:rPr>
        <w:t>干旱</w:t>
      </w:r>
      <w:r>
        <w:rPr>
          <w:rFonts w:hint="eastAsia" w:ascii="Times New Roman" w:hAnsi="Times New Roman" w:eastAsia="方正仿宋_GBK" w:cs="Times New Roman"/>
          <w:color w:val="auto"/>
          <w:kern w:val="2"/>
          <w:sz w:val="32"/>
          <w:szCs w:val="32"/>
          <w:highlight w:val="none"/>
          <w:lang w:eastAsia="zh-CN" w:bidi="ar"/>
        </w:rPr>
        <w:t>缺水、管道</w:t>
      </w:r>
      <w:r>
        <w:rPr>
          <w:rFonts w:hint="default" w:ascii="Times New Roman" w:hAnsi="Times New Roman" w:eastAsia="方正仿宋_GBK" w:cs="Times New Roman"/>
          <w:color w:val="auto"/>
          <w:kern w:val="2"/>
          <w:sz w:val="32"/>
          <w:szCs w:val="32"/>
          <w:highlight w:val="none"/>
          <w:lang w:bidi="ar"/>
        </w:rPr>
        <w:t>冻</w:t>
      </w:r>
      <w:r>
        <w:rPr>
          <w:rFonts w:hint="eastAsia" w:ascii="Times New Roman" w:hAnsi="Times New Roman" w:eastAsia="方正仿宋_GBK" w:cs="Times New Roman"/>
          <w:color w:val="auto"/>
          <w:kern w:val="2"/>
          <w:sz w:val="32"/>
          <w:szCs w:val="32"/>
          <w:highlight w:val="none"/>
          <w:lang w:eastAsia="zh-CN" w:bidi="ar"/>
        </w:rPr>
        <w:t>堵、水质污染等风险防控，</w:t>
      </w:r>
      <w:r>
        <w:rPr>
          <w:rFonts w:hint="default" w:ascii="Times New Roman" w:hAnsi="Times New Roman" w:eastAsia="方正仿宋_GBK" w:cs="Times New Roman"/>
          <w:color w:val="auto"/>
          <w:sz w:val="32"/>
          <w:szCs w:val="32"/>
          <w:highlight w:val="none"/>
          <w:lang w:eastAsia="zh-CN" w:bidi="ar"/>
        </w:rPr>
        <w:t>持续</w:t>
      </w:r>
      <w:r>
        <w:rPr>
          <w:rFonts w:hint="eastAsia" w:ascii="Times New Roman" w:hAnsi="Times New Roman" w:eastAsia="方正仿宋_GBK" w:cs="Times New Roman"/>
          <w:color w:val="auto"/>
          <w:kern w:val="2"/>
          <w:sz w:val="32"/>
          <w:szCs w:val="32"/>
          <w:highlight w:val="none"/>
          <w:lang w:eastAsia="zh-CN" w:bidi="ar"/>
        </w:rPr>
        <w:t>提升农村供水保障“四预”能力</w:t>
      </w:r>
      <w:r>
        <w:rPr>
          <w:rFonts w:hint="eastAsia" w:hAnsi="方正仿宋_GBK" w:cs="方正仿宋_GBK"/>
          <w:color w:val="auto"/>
          <w:highlight w:val="none"/>
          <w:lang w:bidi="ar"/>
        </w:rPr>
        <w:t>；健全干旱缺水、水质污染等风险防控、处置全链条工作体系和联防联控工作机制。全</w:t>
      </w:r>
      <w:r>
        <w:rPr>
          <w:rFonts w:hint="eastAsia" w:hAnsi="方正仿宋_GBK" w:cs="方正仿宋_GBK"/>
          <w:color w:val="auto"/>
          <w:highlight w:val="none"/>
          <w:lang w:eastAsia="zh-CN" w:bidi="ar"/>
        </w:rPr>
        <w:t>区</w:t>
      </w:r>
      <w:r>
        <w:rPr>
          <w:rFonts w:hint="eastAsia"/>
          <w:color w:val="auto"/>
          <w:highlight w:val="none"/>
          <w:lang w:bidi="ar"/>
        </w:rPr>
        <w:t>2025—2027年，实施农村供水应急能力提升项目</w:t>
      </w:r>
      <w:r>
        <w:rPr>
          <w:rFonts w:hint="eastAsia"/>
          <w:color w:val="auto"/>
          <w:highlight w:val="none"/>
          <w:lang w:val="en-US" w:eastAsia="zh-CN" w:bidi="ar"/>
        </w:rPr>
        <w:t>10</w:t>
      </w:r>
      <w:r>
        <w:rPr>
          <w:rFonts w:hint="eastAsia"/>
          <w:color w:val="auto"/>
          <w:highlight w:val="none"/>
          <w:lang w:bidi="ar"/>
        </w:rPr>
        <w:t>个</w:t>
      </w:r>
      <w:r>
        <w:rPr>
          <w:rFonts w:hint="eastAsia"/>
          <w:color w:val="auto"/>
          <w:highlight w:val="none"/>
          <w:lang w:val="en-US" w:eastAsia="zh-CN" w:bidi="ar"/>
        </w:rPr>
        <w:t>。</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方正黑体_GBK" w:eastAsia="方正黑体_GBK" w:cs="方正黑体_GBK"/>
          <w:color w:val="auto"/>
          <w:highlight w:val="none"/>
          <w:lang w:bidi="ar"/>
        </w:rPr>
      </w:pPr>
      <w:r>
        <w:rPr>
          <w:rFonts w:hint="eastAsia" w:ascii="方正黑体_GBK" w:eastAsia="方正黑体_GBK" w:cs="方正黑体_GBK"/>
          <w:color w:val="auto"/>
          <w:highlight w:val="none"/>
          <w:lang w:bidi="ar"/>
        </w:rPr>
        <w:t>三、工作措施</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color w:val="auto"/>
          <w:highlight w:val="none"/>
        </w:rPr>
      </w:pPr>
      <w:r>
        <w:rPr>
          <w:rFonts w:hint="eastAsia" w:ascii="方正楷体_GBK" w:eastAsia="方正楷体_GBK" w:cs="方正楷体_GBK"/>
          <w:color w:val="auto"/>
          <w:highlight w:val="none"/>
          <w:lang w:bidi="ar"/>
        </w:rPr>
        <w:t>（一）强化项目推进机制。</w:t>
      </w:r>
      <w:r>
        <w:rPr>
          <w:rFonts w:hint="eastAsia" w:hAnsi="方正仿宋_GBK" w:cs="方正仿宋_GBK"/>
          <w:color w:val="auto"/>
          <w:highlight w:val="none"/>
          <w:lang w:bidi="ar"/>
        </w:rPr>
        <w:t>坚持民生导向，充分征求并尊重镇（街）、村社和群众意见，聚焦农村饮水薄弱环节，统一规划、统一建设、统一运营农村供水工程。</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水利局充分发挥行业主管部门职责，牵头做好提升农村饮水专项行动实施的统筹协调和调度工作；建立专项行动建设项目清单，按照急用先行的原则，分年度有序实施；镇（街）做好项目实施的施工环境保障工作；</w:t>
      </w:r>
      <w:r>
        <w:rPr>
          <w:rFonts w:hint="eastAsia" w:hAnsi="方正仿宋_GBK" w:cs="方正仿宋_GBK"/>
          <w:color w:val="auto"/>
          <w:highlight w:val="none"/>
          <w:lang w:eastAsia="zh-CN" w:bidi="ar"/>
        </w:rPr>
        <w:t>农村供水企业</w:t>
      </w:r>
      <w:r>
        <w:rPr>
          <w:rFonts w:hint="eastAsia" w:hAnsi="方正仿宋_GBK" w:cs="方正仿宋_GBK"/>
          <w:color w:val="auto"/>
          <w:highlight w:val="none"/>
          <w:lang w:bidi="ar"/>
        </w:rPr>
        <w:t>承担农村饮水项目建设管理任务，一体化推进农村饮水</w:t>
      </w:r>
      <w:r>
        <w:rPr>
          <w:rFonts w:hint="eastAsia" w:cs="方正仿宋_GBK"/>
          <w:color w:val="auto"/>
          <w:highlight w:val="none"/>
          <w:lang w:bidi="ar"/>
        </w:rPr>
        <w:t>“</w:t>
      </w:r>
      <w:r>
        <w:rPr>
          <w:rFonts w:hint="eastAsia" w:hAnsi="方正仿宋_GBK" w:cs="方正仿宋_GBK"/>
          <w:color w:val="auto"/>
          <w:highlight w:val="none"/>
          <w:lang w:bidi="ar"/>
        </w:rPr>
        <w:t>投、建、管、服</w:t>
      </w:r>
      <w:r>
        <w:rPr>
          <w:rFonts w:hint="eastAsia" w:cs="方正仿宋_GBK"/>
          <w:color w:val="auto"/>
          <w:highlight w:val="none"/>
          <w:lang w:bidi="ar"/>
        </w:rPr>
        <w:t>”</w:t>
      </w:r>
      <w:r>
        <w:rPr>
          <w:rFonts w:hint="eastAsia" w:hAnsi="方正仿宋_GBK" w:cs="方正仿宋_GBK"/>
          <w:color w:val="auto"/>
          <w:highlight w:val="none"/>
          <w:lang w:bidi="ar"/>
        </w:rPr>
        <w:t>相关工作。</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级相关部门加大支持力度，建立项目联合审查制度和审批绿色通道，切实推进项目前期工作。</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bidi="ar"/>
        </w:rPr>
      </w:pPr>
      <w:r>
        <w:rPr>
          <w:rFonts w:hint="eastAsia" w:ascii="方正楷体_GBK" w:eastAsia="方正楷体_GBK" w:cs="方正楷体_GBK"/>
          <w:color w:val="auto"/>
          <w:highlight w:val="none"/>
          <w:lang w:bidi="ar"/>
        </w:rPr>
        <w:t>（二）建立县域统管机制。</w:t>
      </w:r>
      <w:r>
        <w:rPr>
          <w:rFonts w:hint="eastAsia" w:hAnsi="方正仿宋_GBK" w:cs="方正仿宋_GBK"/>
          <w:color w:val="auto"/>
          <w:highlight w:val="none"/>
          <w:lang w:bidi="ar"/>
        </w:rPr>
        <w:t>加快推进农村饮水县域统管工作，</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水利局切实履行水利行业监管责任，做好县域统管组织协调和监督实施工作。</w:t>
      </w:r>
      <w:r>
        <w:rPr>
          <w:rFonts w:hint="eastAsia" w:hAnsi="方正仿宋_GBK" w:cs="方正仿宋_GBK"/>
          <w:color w:val="auto"/>
          <w:highlight w:val="none"/>
          <w:lang w:eastAsia="zh-CN" w:bidi="ar"/>
        </w:rPr>
        <w:t>重庆市綦南给排水有限公司作为供水工程运营管理主体，承担水质安全主体责任，实现农村集中供水工程专业化管护全覆盖，承担所属农村供水工程运行管护直接责任，负责制定工程运行管护制度，严格执行行业主管部门制定的管理制度和服务标准，实行从水源到用户专业化、标准化运行管护</w:t>
      </w:r>
      <w:r>
        <w:rPr>
          <w:rFonts w:hint="eastAsia" w:hAnsi="方正仿宋_GBK" w:cs="方正仿宋_GBK"/>
          <w:color w:val="auto"/>
          <w:highlight w:val="none"/>
          <w:lang w:bidi="ar"/>
        </w:rPr>
        <w:t>。镇（街）、村（居）承担农村饮水属地管理责任，协同做好县域统管工作。</w:t>
      </w:r>
    </w:p>
    <w:p>
      <w:pPr>
        <w:pStyle w:val="4"/>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Lines="0" w:after="0" w:afterLines="0" w:line="576" w:lineRule="exact"/>
        <w:ind w:firstLine="632" w:firstLineChars="200"/>
        <w:jc w:val="left"/>
        <w:textAlignment w:val="auto"/>
        <w:rPr>
          <w:rFonts w:hint="eastAsia" w:ascii="方正仿宋_GBK" w:hAnsi="方正仿宋_GBK" w:eastAsia="方正仿宋_GBK" w:cs="方正仿宋_GBK"/>
          <w:b w:val="0"/>
          <w:bCs/>
          <w:color w:val="auto"/>
          <w:highlight w:val="none"/>
        </w:rPr>
      </w:pPr>
      <w:r>
        <w:rPr>
          <w:rFonts w:hint="eastAsia" w:ascii="方正楷体_GBK" w:eastAsia="方正楷体_GBK" w:cs="方正楷体_GBK"/>
          <w:b w:val="0"/>
          <w:bCs/>
          <w:color w:val="auto"/>
          <w:highlight w:val="none"/>
          <w:lang w:bidi="ar"/>
        </w:rPr>
        <w:t>（三）</w:t>
      </w:r>
      <w:r>
        <w:rPr>
          <w:rFonts w:hint="eastAsia" w:ascii="方正楷体_GBK" w:hAnsi="方正楷体_GBK" w:eastAsia="方正楷体_GBK" w:cs="方正楷体_GBK"/>
          <w:b w:val="0"/>
          <w:bCs/>
          <w:i w:val="0"/>
          <w:caps w:val="0"/>
          <w:color w:val="auto"/>
          <w:spacing w:val="0"/>
          <w:kern w:val="2"/>
          <w:sz w:val="32"/>
          <w:szCs w:val="32"/>
          <w:highlight w:val="none"/>
          <w:shd w:val="clear" w:color="auto" w:fill="auto"/>
          <w:lang w:val="en-US" w:eastAsia="zh-CN" w:bidi="ar"/>
        </w:rPr>
        <w:t>完善有偿供水机制</w:t>
      </w:r>
      <w:r>
        <w:rPr>
          <w:rFonts w:hint="eastAsia" w:ascii="方正楷体_GBK" w:eastAsia="方正楷体_GBK" w:cs="方正楷体_GBK"/>
          <w:b w:val="0"/>
          <w:bCs/>
          <w:color w:val="auto"/>
          <w:highlight w:val="none"/>
          <w:lang w:bidi="ar"/>
        </w:rPr>
        <w:t>。</w:t>
      </w:r>
      <w:r>
        <w:rPr>
          <w:rFonts w:hint="default" w:ascii="Times New Roman" w:hAnsi="Times New Roman" w:eastAsia="方正仿宋_GBK" w:cs="Times New Roman"/>
          <w:b w:val="0"/>
          <w:bCs/>
          <w:snapToGrid/>
          <w:color w:val="auto"/>
          <w:kern w:val="2"/>
          <w:sz w:val="32"/>
          <w:szCs w:val="32"/>
          <w:highlight w:val="none"/>
          <w:lang w:eastAsia="zh-CN" w:bidi="ar"/>
        </w:rPr>
        <w:t>加快</w:t>
      </w:r>
      <w:r>
        <w:rPr>
          <w:rFonts w:hint="default" w:ascii="Times New Roman" w:hAnsi="Times New Roman" w:eastAsia="方正仿宋_GBK" w:cs="Times New Roman"/>
          <w:b w:val="0"/>
          <w:bCs/>
          <w:snapToGrid/>
          <w:color w:val="auto"/>
          <w:kern w:val="2"/>
          <w:sz w:val="32"/>
          <w:szCs w:val="32"/>
          <w:highlight w:val="none"/>
          <w:lang w:bidi="ar"/>
        </w:rPr>
        <w:t>完善供水计量设施，</w:t>
      </w:r>
      <w:r>
        <w:rPr>
          <w:rFonts w:hint="default" w:ascii="Times New Roman" w:hAnsi="Times New Roman" w:eastAsia="方正仿宋_GBK" w:cs="Times New Roman"/>
          <w:b w:val="0"/>
          <w:bCs/>
          <w:snapToGrid/>
          <w:color w:val="auto"/>
          <w:kern w:val="2"/>
          <w:sz w:val="32"/>
          <w:szCs w:val="32"/>
          <w:highlight w:val="none"/>
          <w:lang w:eastAsia="zh-CN" w:bidi="ar"/>
        </w:rPr>
        <w:t>全面推进有偿供水。</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遵循</w:t>
      </w:r>
      <w:r>
        <w:rPr>
          <w:rFonts w:hint="eastAsia"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补偿成本、合理收益、优质优价、公平负担</w:t>
      </w:r>
      <w:r>
        <w:rPr>
          <w:rFonts w:hint="eastAsia"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的原则，建立健全供水企业成本监审与水价动态调整机制</w:t>
      </w:r>
      <w:r>
        <w:rPr>
          <w:rFonts w:hint="eastAsia" w:ascii="方正仿宋_GBK" w:hAnsi="方正仿宋_GBK" w:eastAsia="方正仿宋_GBK" w:cs="方正仿宋_GBK"/>
          <w:b w:val="0"/>
          <w:bCs/>
          <w:color w:val="auto"/>
          <w:highlight w:val="none"/>
          <w:lang w:bidi="ar"/>
        </w:rPr>
        <w:t>。规模化供水工程的水价实行由政府定价，小型集中供水工程的水价可实行政府指导定价、群众“一事一议”定价等多种方式确定</w:t>
      </w:r>
      <w:r>
        <w:rPr>
          <w:rFonts w:hint="eastAsia" w:ascii="方正仿宋_GBK" w:hAnsi="方正仿宋_GBK" w:eastAsia="方正仿宋_GBK" w:cs="方正仿宋_GBK"/>
          <w:b w:val="0"/>
          <w:bCs/>
          <w:color w:val="auto"/>
          <w:highlight w:val="none"/>
          <w:lang w:eastAsia="zh-CN" w:bidi="ar"/>
        </w:rPr>
        <w:t>，</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以合理的水价机制推动农村供水投融资改革，促进农村供水县域统管和供水工程可持续运营。</w:t>
      </w:r>
      <w:r>
        <w:rPr>
          <w:rFonts w:hint="eastAsia"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试点</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
        </w:rPr>
        <w:t>使用智能水表、线上水量查询及水费收缴，持续完善和优化水费计收方式，增强水费计收透明度和便民度，提高水费收缴率。</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bidi="ar"/>
        </w:rPr>
      </w:pPr>
      <w:r>
        <w:rPr>
          <w:rFonts w:hint="eastAsia" w:ascii="方正楷体_GBK" w:eastAsia="方正楷体_GBK" w:cs="方正楷体_GBK"/>
          <w:color w:val="auto"/>
          <w:highlight w:val="none"/>
          <w:lang w:bidi="ar"/>
        </w:rPr>
        <w:t>（四）优化资金补贴机制。</w:t>
      </w:r>
      <w:r>
        <w:rPr>
          <w:rFonts w:hint="eastAsia" w:hAnsi="方正仿宋_GBK" w:cs="方正仿宋_GBK"/>
          <w:color w:val="auto"/>
          <w:highlight w:val="none"/>
          <w:lang w:val="en-US" w:eastAsia="zh-CN" w:bidi="ar"/>
        </w:rPr>
        <w:t>结合綦江区农村供水县域统管实施方案和提升农村饮水质量专项行动，因地制宜，依法依规建立补偿机制。</w:t>
      </w:r>
      <w:r>
        <w:rPr>
          <w:rFonts w:hint="eastAsia" w:hAnsi="方正仿宋_GBK" w:cs="方正仿宋_GBK"/>
          <w:color w:val="auto"/>
          <w:highlight w:val="none"/>
          <w:lang w:bidi="ar"/>
        </w:rPr>
        <w:t>区财政统筹整合上级资金及区级预算，安排用于农村供水工程维修养护补贴、水价补贴、水质监测等。</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Ansi="方正仿宋_GBK" w:cs="方正仿宋_GBK"/>
          <w:color w:val="auto"/>
          <w:highlight w:val="none"/>
          <w:lang w:bidi="ar"/>
        </w:rPr>
      </w:pPr>
      <w:r>
        <w:rPr>
          <w:rFonts w:hint="eastAsia" w:ascii="方正楷体_GBK" w:eastAsia="方正楷体_GBK" w:cs="方正楷体_GBK"/>
          <w:color w:val="auto"/>
          <w:highlight w:val="none"/>
          <w:lang w:bidi="ar"/>
        </w:rPr>
        <w:t>（五）完善企业考核机制。</w:t>
      </w:r>
      <w:r>
        <w:rPr>
          <w:rFonts w:hint="eastAsia" w:hAnsi="方正仿宋_GBK" w:cs="方正仿宋_GBK"/>
          <w:color w:val="auto"/>
          <w:highlight w:val="none"/>
          <w:lang w:bidi="ar"/>
        </w:rPr>
        <w:t>优化国有供水企业现行考核机制，建立资产运营管理和行业监督管理跨部门协作考核机制，兼顾企业运营经济效益指标及饮水安全社会效益指标，突出国有供水企业保障农村居民供水的社会责任和市场服务职能，结合水价形成机制和财政补贴政策，激励国有企业主动介入和拓展农村供水市场，推进城乡供水融合发展，不断提升农村供水保障服务质量。</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方正黑体_GBK" w:eastAsia="方正黑体_GBK" w:cs="方正黑体_GBK"/>
          <w:color w:val="auto"/>
          <w:highlight w:val="none"/>
          <w:lang w:bidi="ar"/>
        </w:rPr>
      </w:pPr>
      <w:r>
        <w:rPr>
          <w:rFonts w:hint="eastAsia" w:hAnsi="方正仿宋_GBK" w:cs="方正仿宋_GBK"/>
          <w:color w:val="auto"/>
          <w:highlight w:val="none"/>
          <w:lang w:val="en-US" w:eastAsia="zh-CN" w:bidi="ar"/>
        </w:rPr>
        <w:t xml:space="preserve"> </w:t>
      </w:r>
      <w:r>
        <w:rPr>
          <w:rFonts w:hint="eastAsia" w:ascii="方正黑体_GBK" w:eastAsia="方正黑体_GBK" w:cs="方正黑体_GBK"/>
          <w:color w:val="auto"/>
          <w:highlight w:val="none"/>
          <w:lang w:bidi="ar"/>
        </w:rPr>
        <w:t>四、组织保障</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color w:val="auto"/>
          <w:highlight w:val="none"/>
        </w:rPr>
      </w:pPr>
      <w:r>
        <w:rPr>
          <w:rFonts w:hint="eastAsia" w:ascii="方正楷体_GBK" w:eastAsia="方正楷体_GBK" w:cs="方正楷体_GBK"/>
          <w:color w:val="auto"/>
          <w:highlight w:val="none"/>
          <w:lang w:bidi="ar"/>
        </w:rPr>
        <w:t>（一）加强组织领导。</w:t>
      </w:r>
      <w:r>
        <w:rPr>
          <w:rFonts w:hint="eastAsia" w:ascii="方正仿宋_GBK" w:hAnsi="方正仿宋_GBK" w:eastAsia="方正仿宋_GBK" w:cs="方正仿宋_GBK"/>
          <w:b w:val="0"/>
          <w:bCs w:val="0"/>
          <w:color w:val="auto"/>
          <w:highlight w:val="none"/>
          <w:lang w:eastAsia="zh-CN" w:bidi="ar"/>
        </w:rPr>
        <w:t>区</w:t>
      </w:r>
      <w:r>
        <w:rPr>
          <w:rFonts w:hint="eastAsia" w:hAnsi="方正仿宋_GBK" w:cs="方正仿宋_GBK"/>
          <w:color w:val="auto"/>
          <w:highlight w:val="none"/>
          <w:lang w:bidi="ar"/>
        </w:rPr>
        <w:t>政府为提升农村饮水质量专项行动实施的责任主体，负责建立健全提升农村饮水质量专项行动统筹协调机制，</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政府主要领导定期调度提升农村饮水质量专项行动开展情况。成立以</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政府分管领导为组长的工作专班，</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发展改革委、</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财政局、</w:t>
      </w:r>
      <w:r>
        <w:rPr>
          <w:rFonts w:hint="eastAsia" w:hAnsi="方正仿宋_GBK" w:cs="方正仿宋_GBK"/>
          <w:color w:val="auto"/>
          <w:highlight w:val="none"/>
          <w:lang w:eastAsia="zh-CN" w:bidi="ar"/>
        </w:rPr>
        <w:t>区水利局</w:t>
      </w:r>
      <w:r>
        <w:rPr>
          <w:rFonts w:hint="eastAsia" w:hAnsi="方正仿宋_GBK" w:cs="方正仿宋_GBK"/>
          <w:color w:val="auto"/>
          <w:highlight w:val="none"/>
          <w:lang w:bidi="ar"/>
        </w:rPr>
        <w:t>、</w:t>
      </w:r>
      <w:r>
        <w:rPr>
          <w:rFonts w:hint="eastAsia" w:hAnsi="方正仿宋_GBK" w:cs="方正仿宋_GBK"/>
          <w:color w:val="auto"/>
          <w:highlight w:val="none"/>
          <w:lang w:eastAsia="zh-CN" w:bidi="ar"/>
        </w:rPr>
        <w:t>城市发展集团</w:t>
      </w:r>
      <w:r>
        <w:rPr>
          <w:rFonts w:hint="eastAsia" w:hAnsi="方正仿宋_GBK" w:cs="方正仿宋_GBK"/>
          <w:color w:val="auto"/>
          <w:highlight w:val="none"/>
          <w:lang w:bidi="ar"/>
        </w:rPr>
        <w:t>等为工作专班成员单位，负责推进提升农村饮水质量专项行动工作，协调解决工作中的重点、难点、堵点问题，适时开展工作进展督促检查和组织实施工作评价。</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highlight w:val="none"/>
          <w:lang w:eastAsia="zh-CN"/>
        </w:rPr>
      </w:pPr>
      <w:r>
        <w:rPr>
          <w:rFonts w:hint="eastAsia" w:ascii="方正楷体_GBK" w:eastAsia="方正楷体_GBK" w:cs="方正楷体_GBK"/>
          <w:color w:val="auto"/>
          <w:highlight w:val="none"/>
          <w:lang w:bidi="ar"/>
        </w:rPr>
        <w:t>（二）健全责任体系。</w:t>
      </w:r>
      <w:r>
        <w:rPr>
          <w:rFonts w:hint="eastAsia" w:hAnsi="方正仿宋_GBK" w:cs="方正仿宋_GBK"/>
          <w:color w:val="auto"/>
          <w:highlight w:val="none"/>
          <w:lang w:bidi="ar"/>
        </w:rPr>
        <w:t>建立</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级统筹、部门负责、镇（街）村协同、企业抓落实的工作责任体系</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水利局发挥好牵头作用，统筹组织实施，加强工作指导，有力有序推进专项行动实施。</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发展改革委负责建立项目审批绿色通道，指导做好项目前期工作，积极支持地方政府专项债券用于项目建设，指导做好农村供水价格管理工作。</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财政局会</w:t>
      </w:r>
      <w:r>
        <w:rPr>
          <w:rFonts w:hint="eastAsia" w:hAnsi="方正仿宋_GBK" w:cs="方正仿宋_GBK"/>
          <w:color w:val="auto"/>
          <w:highlight w:val="none"/>
          <w:lang w:eastAsia="zh-CN" w:bidi="ar"/>
        </w:rPr>
        <w:t>同</w:t>
      </w:r>
      <w:r>
        <w:rPr>
          <w:rFonts w:hint="eastAsia" w:hAnsi="方正仿宋_GBK" w:cs="方正仿宋_GBK"/>
          <w:color w:val="auto"/>
          <w:highlight w:val="none"/>
          <w:lang w:bidi="ar"/>
        </w:rPr>
        <w:t>有关部门统筹市级及以上财政奖补资金，指导做好债券发行工作，加强预算执行监管。</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规划自然资源局负责将专项规划和重要项目统筹纳入同级国土空间规划</w:t>
      </w:r>
      <w:r>
        <w:rPr>
          <w:rFonts w:hint="eastAsia" w:cs="方正仿宋_GBK"/>
          <w:color w:val="auto"/>
          <w:highlight w:val="none"/>
          <w:lang w:bidi="ar"/>
        </w:rPr>
        <w:t>“</w:t>
      </w:r>
      <w:r>
        <w:rPr>
          <w:rFonts w:hint="eastAsia" w:hAnsi="方正仿宋_GBK" w:cs="方正仿宋_GBK"/>
          <w:color w:val="auto"/>
          <w:highlight w:val="none"/>
          <w:lang w:bidi="ar"/>
        </w:rPr>
        <w:t>一张图</w:t>
      </w:r>
      <w:r>
        <w:rPr>
          <w:rFonts w:hint="default" w:hAnsi="方正仿宋_GBK" w:cs="方正仿宋_GBK"/>
          <w:color w:val="auto"/>
          <w:highlight w:val="none"/>
          <w:lang w:val="en-US" w:eastAsia="zh-CN" w:bidi="ar"/>
        </w:rPr>
        <w:t>”</w:t>
      </w:r>
      <w:r>
        <w:rPr>
          <w:rFonts w:hint="eastAsia" w:hAnsi="方正仿宋_GBK" w:cs="方正仿宋_GBK"/>
          <w:color w:val="auto"/>
          <w:highlight w:val="none"/>
          <w:lang w:bidi="ar"/>
        </w:rPr>
        <w:t>，保障项目用地需求。</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生态环境局负责指导做好饮用水水源地规划选址和集中式饮用水水源保护区划定，加强水源地环境保护和监管。</w:t>
      </w:r>
      <w:r>
        <w:rPr>
          <w:rFonts w:hint="eastAsia" w:hAnsi="方正仿宋_GBK" w:cs="方正仿宋_GBK"/>
          <w:color w:val="auto"/>
          <w:highlight w:val="none"/>
          <w:lang w:eastAsia="zh-CN" w:bidi="ar"/>
        </w:rPr>
        <w:t>区城市管理局</w:t>
      </w:r>
      <w:r>
        <w:rPr>
          <w:rFonts w:hint="eastAsia" w:hAnsi="方正仿宋_GBK" w:cs="方正仿宋_GBK"/>
          <w:color w:val="auto"/>
          <w:highlight w:val="none"/>
          <w:lang w:bidi="ar"/>
        </w:rPr>
        <w:t>指导做好城市水厂供水管网向农村延伸工作。</w:t>
      </w:r>
      <w:r>
        <w:rPr>
          <w:rFonts w:hint="eastAsia" w:hAnsi="方正仿宋_GBK" w:cs="方正仿宋_GBK"/>
          <w:color w:val="auto"/>
          <w:highlight w:val="none"/>
          <w:lang w:eastAsia="zh-CN" w:bidi="ar"/>
        </w:rPr>
        <w:t>区</w:t>
      </w:r>
      <w:r>
        <w:rPr>
          <w:rFonts w:hint="eastAsia" w:hAnsi="方正仿宋_GBK" w:cs="方正仿宋_GBK"/>
          <w:color w:val="auto"/>
          <w:highlight w:val="none"/>
          <w:lang w:bidi="ar"/>
        </w:rPr>
        <w:t>卫生健康委负责指导做好供水水质卫生监测等工作。</w:t>
      </w:r>
      <w:r>
        <w:rPr>
          <w:rFonts w:hint="eastAsia" w:hAnsi="方正仿宋_GBK" w:cs="方正仿宋_GBK"/>
          <w:color w:val="auto"/>
          <w:highlight w:val="none"/>
          <w:lang w:eastAsia="zh-CN" w:bidi="ar"/>
        </w:rPr>
        <w:t>区乡村振兴局负责指导将符合专项行动条件的项目纳入乡村振兴建设项目库。</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
        </w:rPr>
      </w:pPr>
      <w:r>
        <w:rPr>
          <w:rFonts w:hint="eastAsia" w:ascii="方正楷体_GBK" w:eastAsia="方正楷体_GBK" w:cs="方正楷体_GBK"/>
          <w:color w:val="auto"/>
          <w:highlight w:val="none"/>
          <w:lang w:bidi="ar"/>
        </w:rPr>
        <w:t>（三）强化资金保障。</w:t>
      </w:r>
      <w:r>
        <w:rPr>
          <w:rFonts w:hint="eastAsia" w:ascii="方正仿宋_GBK" w:hAnsi="方正仿宋_GBK" w:eastAsia="方正仿宋_GBK" w:cs="方正仿宋_GBK"/>
          <w:color w:val="auto"/>
          <w:highlight w:val="none"/>
          <w:lang w:eastAsia="zh-CN" w:bidi="ar"/>
        </w:rPr>
        <w:t>坚</w:t>
      </w:r>
      <w:r>
        <w:rPr>
          <w:rFonts w:hint="eastAsia" w:ascii="方正仿宋_GBK" w:hAnsi="方正仿宋_GBK" w:eastAsia="方正仿宋_GBK" w:cs="方正仿宋_GBK"/>
          <w:b w:val="0"/>
          <w:bCs w:val="0"/>
          <w:color w:val="auto"/>
          <w:kern w:val="2"/>
          <w:sz w:val="32"/>
          <w:szCs w:val="32"/>
          <w:highlight w:val="none"/>
          <w:shd w:val="clear" w:color="auto" w:fill="auto"/>
          <w:lang w:eastAsia="zh-CN" w:bidi="ar"/>
        </w:rPr>
        <w:t>持</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政府和市场</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
        </w:rPr>
        <w:t>两手发力，</w:t>
      </w:r>
      <w:r>
        <w:rPr>
          <w:rFonts w:hint="default" w:ascii="Times New Roman" w:hAnsi="Times New Roman" w:eastAsia="方正仿宋_GBK" w:cs="Times New Roman"/>
          <w:i w:val="0"/>
          <w:caps w:val="0"/>
          <w:color w:val="auto"/>
          <w:spacing w:val="0"/>
          <w:kern w:val="2"/>
          <w:sz w:val="32"/>
          <w:szCs w:val="32"/>
          <w:highlight w:val="none"/>
          <w:shd w:val="clear" w:color="auto" w:fill="auto"/>
          <w:lang w:val="en-US" w:eastAsia="zh-CN" w:bidi="ar"/>
        </w:rPr>
        <w:t>充分发挥公共财政引导作用，统筹整合水利、乡村振兴、专项债券等财政资金倾斜支持专项行动项目建设；用好用活国家金融支持水利高质量发展政策，深化农村供水领域</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政—银—企合作，积极吸引银行信贷和社会资本投入。</w:t>
      </w:r>
      <w:r>
        <w:rPr>
          <w:rFonts w:hint="eastAsia" w:ascii="Times New Roman" w:hAnsi="Times New Roman" w:cs="Times New Roman"/>
          <w:b w:val="0"/>
          <w:bCs w:val="0"/>
          <w:color w:val="auto"/>
          <w:kern w:val="2"/>
          <w:sz w:val="32"/>
          <w:szCs w:val="32"/>
          <w:highlight w:val="none"/>
          <w:shd w:val="clear" w:color="auto" w:fill="auto"/>
          <w:lang w:eastAsia="zh-CN" w:bidi="ar"/>
        </w:rPr>
        <w:t>区</w:t>
      </w:r>
      <w:r>
        <w:rPr>
          <w:rFonts w:hint="eastAsia" w:ascii="Times New Roman" w:hAnsi="Times New Roman" w:eastAsia="方正仿宋_GBK" w:cs="Times New Roman"/>
          <w:b w:val="0"/>
          <w:bCs w:val="0"/>
          <w:color w:val="auto"/>
          <w:kern w:val="2"/>
          <w:sz w:val="32"/>
          <w:szCs w:val="32"/>
          <w:highlight w:val="none"/>
          <w:shd w:val="clear" w:color="auto" w:fill="auto"/>
          <w:lang w:eastAsia="zh-CN" w:bidi="ar"/>
        </w:rPr>
        <w:t>水利局</w:t>
      </w:r>
      <w:r>
        <w:rPr>
          <w:rFonts w:hint="default" w:ascii="Times New Roman" w:hAnsi="Times New Roman" w:eastAsia="方正仿宋_GBK" w:cs="Times New Roman"/>
          <w:color w:val="auto"/>
          <w:sz w:val="32"/>
          <w:szCs w:val="32"/>
          <w:highlight w:val="none"/>
        </w:rPr>
        <w:t>会同</w:t>
      </w:r>
      <w:r>
        <w:rPr>
          <w:rFonts w:hint="eastAsia" w:ascii="Times New Roman" w:hAnsi="Times New Roman"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发</w:t>
      </w:r>
      <w:r>
        <w:rPr>
          <w:rFonts w:hint="eastAsia" w:ascii="Times New Roman" w:hAnsi="Times New Roman" w:cs="Times New Roman"/>
          <w:color w:val="auto"/>
          <w:sz w:val="32"/>
          <w:szCs w:val="32"/>
          <w:highlight w:val="none"/>
          <w:lang w:eastAsia="zh-CN"/>
        </w:rPr>
        <w:t>展改革</w:t>
      </w:r>
      <w:r>
        <w:rPr>
          <w:rFonts w:hint="default" w:ascii="Times New Roman" w:hAnsi="Times New Roman" w:eastAsia="方正仿宋_GBK" w:cs="Times New Roman"/>
          <w:color w:val="auto"/>
          <w:sz w:val="32"/>
          <w:szCs w:val="32"/>
          <w:highlight w:val="none"/>
        </w:rPr>
        <w:t>委、</w:t>
      </w:r>
      <w:r>
        <w:rPr>
          <w:rFonts w:hint="eastAsia" w:ascii="Times New Roman" w:hAnsi="Times New Roman"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财政局</w:t>
      </w:r>
      <w:r>
        <w:rPr>
          <w:rFonts w:hint="eastAsia" w:cs="Times New Roman"/>
          <w:color w:val="auto"/>
          <w:sz w:val="32"/>
          <w:szCs w:val="32"/>
          <w:highlight w:val="none"/>
          <w:lang w:eastAsia="zh-CN"/>
        </w:rPr>
        <w:t>、城市发展集团</w:t>
      </w:r>
      <w:r>
        <w:rPr>
          <w:rFonts w:hint="eastAsia" w:ascii="Times New Roman" w:hAnsi="Times New Roman" w:eastAsia="方正仿宋_GBK" w:cs="Times New Roman"/>
          <w:color w:val="auto"/>
          <w:sz w:val="32"/>
          <w:szCs w:val="32"/>
          <w:highlight w:val="none"/>
          <w:lang w:eastAsia="zh-CN"/>
        </w:rPr>
        <w:t>积极</w:t>
      </w:r>
      <w:r>
        <w:rPr>
          <w:rFonts w:hint="default" w:ascii="Times New Roman" w:hAnsi="Times New Roman" w:eastAsia="方正仿宋_GBK" w:cs="Times New Roman"/>
          <w:color w:val="auto"/>
          <w:sz w:val="32"/>
          <w:szCs w:val="32"/>
          <w:highlight w:val="none"/>
        </w:rPr>
        <w:t>研究专项债</w:t>
      </w:r>
      <w:r>
        <w:rPr>
          <w:rFonts w:hint="eastAsia" w:cs="Times New Roman"/>
          <w:color w:val="auto"/>
          <w:sz w:val="32"/>
          <w:szCs w:val="32"/>
          <w:highlight w:val="none"/>
          <w:lang w:eastAsia="zh-CN"/>
        </w:rPr>
        <w:t>等资金</w:t>
      </w:r>
      <w:r>
        <w:rPr>
          <w:rFonts w:hint="default" w:ascii="Times New Roman" w:hAnsi="Times New Roman" w:eastAsia="方正仿宋_GBK" w:cs="Times New Roman"/>
          <w:color w:val="auto"/>
          <w:sz w:val="32"/>
          <w:szCs w:val="32"/>
          <w:highlight w:val="none"/>
        </w:rPr>
        <w:t>政策，</w:t>
      </w:r>
      <w:r>
        <w:rPr>
          <w:rFonts w:hint="eastAsia" w:ascii="Times New Roman" w:hAnsi="Times New Roman" w:eastAsia="方正仿宋_GBK" w:cs="Times New Roman"/>
          <w:color w:val="auto"/>
          <w:sz w:val="32"/>
          <w:szCs w:val="32"/>
          <w:highlight w:val="none"/>
          <w:lang w:eastAsia="zh-CN"/>
        </w:rPr>
        <w:t>积极策划包装项目，打捆申报专项债</w:t>
      </w:r>
      <w:r>
        <w:rPr>
          <w:rFonts w:hint="eastAsia" w:cs="Times New Roman"/>
          <w:color w:val="auto"/>
          <w:sz w:val="32"/>
          <w:szCs w:val="32"/>
          <w:highlight w:val="none"/>
          <w:lang w:eastAsia="zh-CN"/>
        </w:rPr>
        <w:t>等各类资金</w:t>
      </w:r>
      <w:r>
        <w:rPr>
          <w:rFonts w:hint="default" w:ascii="Times New Roman" w:hAnsi="Times New Roman" w:eastAsia="方正仿宋_GBK" w:cs="Times New Roman"/>
          <w:b w:val="0"/>
          <w:bCs w:val="0"/>
          <w:color w:val="auto"/>
          <w:kern w:val="2"/>
          <w:sz w:val="32"/>
          <w:szCs w:val="32"/>
          <w:highlight w:val="none"/>
          <w:shd w:val="clear" w:color="auto" w:fill="auto"/>
          <w:lang w:eastAsia="zh-CN" w:bidi="ar"/>
        </w:rPr>
        <w:t>。</w:t>
      </w:r>
      <w:r>
        <w:rPr>
          <w:rFonts w:hint="default" w:ascii="Times New Roman" w:hAnsi="Times New Roman" w:eastAsia="方正仿宋_GBK" w:cs="Times New Roman"/>
          <w:color w:val="auto"/>
          <w:kern w:val="2"/>
          <w:sz w:val="32"/>
          <w:szCs w:val="32"/>
          <w:highlight w:val="none"/>
          <w:shd w:val="clear" w:color="auto" w:fill="auto"/>
          <w:lang w:val="en-US" w:eastAsia="zh-CN" w:bidi="ar"/>
        </w:rPr>
        <w:t>优先推进易旱区域供水工程建设。</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default" w:ascii="Times New Roman" w:hAnsi="Times New Roman" w:eastAsia="方正仿宋_GBK" w:cs="Times New Roman"/>
          <w:color w:val="auto"/>
          <w:sz w:val="32"/>
          <w:szCs w:val="32"/>
          <w:highlight w:val="none"/>
          <w:shd w:val="clear" w:color="auto" w:fill="auto"/>
        </w:rPr>
      </w:pPr>
      <w:r>
        <w:rPr>
          <w:rFonts w:hint="eastAsia" w:ascii="方正楷体_GBK" w:eastAsia="方正楷体_GBK" w:cs="方正楷体_GBK"/>
          <w:color w:val="auto"/>
          <w:highlight w:val="none"/>
          <w:lang w:bidi="ar"/>
        </w:rPr>
        <w:t>（四）严格监督评价。</w:t>
      </w:r>
      <w:r>
        <w:rPr>
          <w:rFonts w:hint="default" w:ascii="Times New Roman" w:hAnsi="Times New Roman" w:eastAsia="方正仿宋_GBK" w:cs="Times New Roman"/>
          <w:color w:val="auto"/>
          <w:sz w:val="32"/>
          <w:szCs w:val="32"/>
          <w:highlight w:val="none"/>
          <w:shd w:val="clear" w:color="auto" w:fill="auto"/>
        </w:rPr>
        <w:t>将专项行动实施情况纳入分管副</w:t>
      </w:r>
      <w:r>
        <w:rPr>
          <w:rFonts w:hint="eastAsia" w:ascii="Times New Roman" w:hAnsi="Times New Roman"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长</w:t>
      </w:r>
      <w:r>
        <w:rPr>
          <w:rFonts w:hint="eastAsia" w:ascii="Times New Roman" w:hAnsi="Times New Roman" w:cs="Times New Roman"/>
          <w:color w:val="auto"/>
          <w:sz w:val="32"/>
          <w:szCs w:val="32"/>
          <w:highlight w:val="none"/>
          <w:shd w:val="clear" w:color="auto" w:fill="auto"/>
          <w:lang w:eastAsia="zh-CN"/>
        </w:rPr>
        <w:t>定期</w:t>
      </w:r>
      <w:r>
        <w:rPr>
          <w:rFonts w:hint="eastAsia" w:ascii="Times New Roman" w:hAnsi="Times New Roman" w:eastAsia="方正仿宋_GBK" w:cs="Times New Roman"/>
          <w:color w:val="auto"/>
          <w:sz w:val="32"/>
          <w:szCs w:val="32"/>
          <w:highlight w:val="none"/>
          <w:shd w:val="clear" w:color="auto" w:fill="auto"/>
          <w:lang w:eastAsia="zh-CN"/>
        </w:rPr>
        <w:t>调度</w:t>
      </w:r>
      <w:r>
        <w:rPr>
          <w:rFonts w:hint="default" w:ascii="Times New Roman" w:hAnsi="Times New Roman" w:eastAsia="方正仿宋_GBK" w:cs="Times New Roman"/>
          <w:color w:val="auto"/>
          <w:sz w:val="32"/>
          <w:szCs w:val="32"/>
          <w:highlight w:val="none"/>
          <w:shd w:val="clear" w:color="auto" w:fill="auto"/>
        </w:rPr>
        <w:t>内容，定期开展督查检查，确保项目按时、按质、按量完成。对项目推进不力、资金使用不规范等问题，严肃追究相关责任人的责任。</w:t>
      </w: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ascii="Times New Roman" w:hAnsi="Times New Roman" w:eastAsia="方正仿宋_GBK" w:cs="Times New Roman"/>
          <w:color w:val="auto"/>
          <w:sz w:val="32"/>
          <w:szCs w:val="32"/>
          <w:highlight w:val="none"/>
          <w:shd w:val="clear" w:color="auto" w:fill="auto"/>
        </w:rPr>
      </w:pPr>
    </w:p>
    <w:p>
      <w:pPr>
        <w:keepNext w:val="0"/>
        <w:keepLines w:val="0"/>
        <w:pageBreakBefore w:val="0"/>
        <w:widowControl w:val="0"/>
        <w:kinsoku/>
        <w:wordWrap/>
        <w:overflowPunct w:val="0"/>
        <w:topLinePunct w:val="0"/>
        <w:autoSpaceDE/>
        <w:autoSpaceDN/>
        <w:bidi w:val="0"/>
        <w:spacing w:line="576" w:lineRule="exact"/>
        <w:ind w:firstLine="632" w:firstLineChars="200"/>
        <w:textAlignment w:val="auto"/>
        <w:rPr>
          <w:rFonts w:hint="eastAsia"/>
          <w:color w:val="auto"/>
          <w:highlight w:val="none"/>
        </w:rPr>
      </w:pPr>
      <w:r>
        <w:rPr>
          <w:rFonts w:hint="eastAsia" w:hAnsi="方正仿宋_GBK" w:cs="方正仿宋_GBK"/>
          <w:color w:val="auto"/>
          <w:highlight w:val="none"/>
          <w:lang w:bidi="ar"/>
        </w:rPr>
        <w:t>附件：</w:t>
      </w:r>
      <w:r>
        <w:rPr>
          <w:rFonts w:hint="eastAsia"/>
          <w:color w:val="auto"/>
          <w:highlight w:val="none"/>
          <w:lang w:bidi="ar"/>
        </w:rPr>
        <w:t>1</w:t>
      </w:r>
      <w:r>
        <w:rPr>
          <w:rFonts w:hint="eastAsia" w:hAnsi="方正仿宋_GBK" w:cs="方正仿宋_GBK"/>
          <w:color w:val="auto"/>
          <w:highlight w:val="none"/>
          <w:lang w:bidi="ar"/>
        </w:rPr>
        <w:t>．主要目标指标表</w:t>
      </w:r>
    </w:p>
    <w:p>
      <w:pPr>
        <w:keepNext w:val="0"/>
        <w:keepLines w:val="0"/>
        <w:pageBreakBefore w:val="0"/>
        <w:widowControl w:val="0"/>
        <w:kinsoku/>
        <w:wordWrap/>
        <w:overflowPunct w:val="0"/>
        <w:topLinePunct w:val="0"/>
        <w:autoSpaceDE/>
        <w:autoSpaceDN/>
        <w:bidi w:val="0"/>
        <w:spacing w:line="576" w:lineRule="exact"/>
        <w:ind w:firstLine="1580" w:firstLineChars="500"/>
        <w:textAlignment w:val="auto"/>
        <w:rPr>
          <w:rFonts w:hint="eastAsia"/>
          <w:color w:val="auto"/>
          <w:highlight w:val="none"/>
        </w:rPr>
      </w:pPr>
      <w:r>
        <w:rPr>
          <w:rFonts w:hint="eastAsia"/>
          <w:color w:val="auto"/>
          <w:highlight w:val="none"/>
          <w:lang w:bidi="ar"/>
        </w:rPr>
        <w:t>2</w:t>
      </w:r>
      <w:r>
        <w:rPr>
          <w:rFonts w:hint="eastAsia" w:hAnsi="方正仿宋_GBK" w:cs="方正仿宋_GBK"/>
          <w:color w:val="auto"/>
          <w:highlight w:val="none"/>
          <w:lang w:bidi="ar"/>
        </w:rPr>
        <w:t>．主要任务清单</w:t>
      </w:r>
    </w:p>
    <w:p>
      <w:pPr>
        <w:keepNext w:val="0"/>
        <w:keepLines w:val="0"/>
        <w:pageBreakBefore w:val="0"/>
        <w:widowControl w:val="0"/>
        <w:kinsoku/>
        <w:wordWrap/>
        <w:overflowPunct w:val="0"/>
        <w:topLinePunct w:val="0"/>
        <w:autoSpaceDE/>
        <w:autoSpaceDN/>
        <w:bidi w:val="0"/>
        <w:spacing w:line="576" w:lineRule="exact"/>
        <w:ind w:firstLine="1580" w:firstLineChars="500"/>
        <w:textAlignment w:val="auto"/>
        <w:rPr>
          <w:rFonts w:hint="eastAsia"/>
          <w:color w:val="auto"/>
          <w:highlight w:val="none"/>
        </w:rPr>
      </w:pPr>
      <w:r>
        <w:rPr>
          <w:rFonts w:hint="eastAsia"/>
          <w:color w:val="auto"/>
          <w:highlight w:val="none"/>
          <w:lang w:bidi="ar"/>
        </w:rPr>
        <w:t>3</w:t>
      </w:r>
      <w:r>
        <w:rPr>
          <w:rFonts w:hint="eastAsia" w:hAnsi="方正仿宋_GBK" w:cs="方正仿宋_GBK"/>
          <w:color w:val="auto"/>
          <w:highlight w:val="none"/>
          <w:lang w:bidi="ar"/>
        </w:rPr>
        <w:t>．分年任务表</w:t>
      </w:r>
    </w:p>
    <w:p>
      <w:pPr>
        <w:keepNext w:val="0"/>
        <w:keepLines w:val="0"/>
        <w:pageBreakBefore w:val="0"/>
        <w:widowControl w:val="0"/>
        <w:kinsoku/>
        <w:wordWrap/>
        <w:overflowPunct w:val="0"/>
        <w:topLinePunct w:val="0"/>
        <w:autoSpaceDE/>
        <w:autoSpaceDN/>
        <w:bidi w:val="0"/>
        <w:spacing w:line="576" w:lineRule="exact"/>
        <w:ind w:firstLine="1580" w:firstLineChars="500"/>
        <w:textAlignment w:val="auto"/>
        <w:rPr>
          <w:rFonts w:hint="eastAsia"/>
          <w:color w:val="auto"/>
          <w:highlight w:val="none"/>
        </w:rPr>
      </w:pPr>
      <w:r>
        <w:rPr>
          <w:rFonts w:hint="eastAsia"/>
          <w:color w:val="auto"/>
          <w:highlight w:val="none"/>
          <w:lang w:bidi="ar"/>
        </w:rPr>
        <w:t>4</w:t>
      </w:r>
      <w:r>
        <w:rPr>
          <w:rFonts w:hint="eastAsia" w:hAnsi="方正仿宋_GBK" w:cs="方正仿宋_GBK"/>
          <w:color w:val="auto"/>
          <w:highlight w:val="none"/>
          <w:lang w:bidi="ar"/>
        </w:rPr>
        <w:t>．名词解释</w:t>
      </w:r>
    </w:p>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sectPr>
          <w:headerReference r:id="rId3" w:type="default"/>
          <w:footerReference r:id="rId4" w:type="default"/>
          <w:pgSz w:w="11906" w:h="16838"/>
          <w:pgMar w:top="2098" w:right="1474" w:bottom="1985" w:left="1588" w:header="851" w:footer="1474" w:gutter="0"/>
          <w:pgNumType w:fmt="decimal"/>
          <w:cols w:space="720" w:num="1"/>
          <w:docGrid w:type="linesAndChars" w:linePitch="579" w:charSpace="-849"/>
        </w:sectPr>
      </w:pPr>
    </w:p>
    <w:p>
      <w:pPr>
        <w:overflowPunct w:val="0"/>
        <w:rPr>
          <w:rFonts w:hint="default" w:ascii="Times New Roman" w:hAnsi="Times New Roman" w:eastAsia="方正黑体_GBK" w:cs="Times New Roman"/>
          <w:color w:val="auto"/>
          <w:highlight w:val="none"/>
          <w:lang w:bidi="ar"/>
        </w:rPr>
      </w:pPr>
      <w:r>
        <w:rPr>
          <w:rFonts w:hint="default" w:ascii="Times New Roman" w:hAnsi="Times New Roman" w:eastAsia="方正黑体_GBK" w:cs="Times New Roman"/>
          <w:color w:val="auto"/>
          <w:highlight w:val="none"/>
          <w:lang w:bidi="ar"/>
        </w:rPr>
        <w:t>附件1</w:t>
      </w:r>
    </w:p>
    <w:p>
      <w:pPr>
        <w:keepNext w:val="0"/>
        <w:keepLines w:val="0"/>
        <w:pageBreakBefore w:val="0"/>
        <w:widowControl w:val="0"/>
        <w:kinsoku/>
        <w:wordWrap/>
        <w:overflowPunct w:val="0"/>
        <w:topLinePunct w:val="0"/>
        <w:autoSpaceDE/>
        <w:autoSpaceDN/>
        <w:bidi w:val="0"/>
        <w:adjustRightInd/>
        <w:snapToGrid/>
        <w:spacing w:line="240" w:lineRule="exact"/>
        <w:ind w:firstLine="632" w:firstLineChars="200"/>
        <w:textAlignment w:val="auto"/>
        <w:rPr>
          <w:rFonts w:hint="eastAsia"/>
          <w:color w:val="auto"/>
          <w:highlight w:val="none"/>
        </w:rPr>
      </w:pPr>
    </w:p>
    <w:p>
      <w:pPr>
        <w:overflowPunct w:val="0"/>
        <w:snapToGrid w:val="0"/>
        <w:jc w:val="center"/>
        <w:rPr>
          <w:rFonts w:hint="eastAsia" w:ascii="方正小标宋_GBK" w:eastAsia="方正小标宋_GBK" w:cs="方正小标宋_GBK"/>
          <w:color w:val="auto"/>
          <w:sz w:val="36"/>
          <w:szCs w:val="36"/>
          <w:highlight w:val="none"/>
          <w:shd w:val="clear" w:color="auto" w:fill="FFFFFF"/>
          <w:lang w:bidi="ar"/>
        </w:rPr>
      </w:pPr>
      <w:r>
        <w:rPr>
          <w:rFonts w:hint="eastAsia" w:ascii="方正小标宋_GBK" w:eastAsia="方正小标宋_GBK" w:cs="方正小标宋_GBK"/>
          <w:color w:val="auto"/>
          <w:sz w:val="36"/>
          <w:szCs w:val="36"/>
          <w:highlight w:val="none"/>
          <w:shd w:val="clear" w:color="auto" w:fill="FFFFFF"/>
          <w:lang w:bidi="ar"/>
        </w:rPr>
        <w:t>主要目标指标表</w:t>
      </w:r>
    </w:p>
    <w:p>
      <w:pPr>
        <w:keepNext w:val="0"/>
        <w:keepLines w:val="0"/>
        <w:pageBreakBefore w:val="0"/>
        <w:widowControl w:val="0"/>
        <w:kinsoku/>
        <w:wordWrap/>
        <w:overflowPunct w:val="0"/>
        <w:topLinePunct w:val="0"/>
        <w:autoSpaceDE/>
        <w:autoSpaceDN/>
        <w:bidi w:val="0"/>
        <w:adjustRightInd/>
        <w:snapToGrid/>
        <w:spacing w:line="240" w:lineRule="exact"/>
        <w:ind w:firstLine="632" w:firstLineChars="200"/>
        <w:textAlignment w:val="auto"/>
        <w:rPr>
          <w:rFonts w:hint="eastAsia"/>
          <w:color w:val="auto"/>
          <w:highlight w:val="none"/>
          <w:shd w:val="clear" w:color="auto" w:fill="FFFFFF"/>
        </w:rPr>
      </w:pPr>
    </w:p>
    <w:tbl>
      <w:tblPr>
        <w:tblStyle w:val="11"/>
        <w:tblW w:w="12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23"/>
        <w:gridCol w:w="5679"/>
        <w:gridCol w:w="1163"/>
        <w:gridCol w:w="1875"/>
        <w:gridCol w:w="1556"/>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923" w:type="dxa"/>
            <w:vMerge w:val="restart"/>
            <w:noWrap w:val="0"/>
            <w:vAlign w:val="center"/>
          </w:tcPr>
          <w:p>
            <w:pPr>
              <w:overflowPunct w:val="0"/>
              <w:spacing w:line="260" w:lineRule="exact"/>
              <w:jc w:val="center"/>
              <w:rPr>
                <w:rFonts w:hint="default" w:ascii="Times New Roman" w:hAnsi="Times New Roman" w:eastAsia="方正黑体_GBK" w:cs="Times New Roman"/>
                <w:bCs/>
                <w:color w:val="auto"/>
                <w:sz w:val="24"/>
                <w:szCs w:val="24"/>
                <w:highlight w:val="none"/>
              </w:rPr>
            </w:pPr>
            <w:r>
              <w:rPr>
                <w:rFonts w:hint="default" w:ascii="Times New Roman" w:hAnsi="Times New Roman" w:eastAsia="方正黑体_GBK" w:cs="Times New Roman"/>
                <w:bCs/>
                <w:color w:val="auto"/>
                <w:sz w:val="24"/>
                <w:szCs w:val="24"/>
                <w:highlight w:val="none"/>
                <w:lang w:bidi="ar"/>
              </w:rPr>
              <w:t>序号</w:t>
            </w:r>
          </w:p>
        </w:tc>
        <w:tc>
          <w:tcPr>
            <w:tcW w:w="5679" w:type="dxa"/>
            <w:vMerge w:val="restart"/>
            <w:noWrap w:val="0"/>
            <w:vAlign w:val="center"/>
          </w:tcPr>
          <w:p>
            <w:pPr>
              <w:overflowPunct w:val="0"/>
              <w:spacing w:line="260" w:lineRule="exact"/>
              <w:jc w:val="center"/>
              <w:rPr>
                <w:rFonts w:hint="default" w:ascii="Times New Roman" w:hAnsi="Times New Roman" w:eastAsia="方正黑体_GBK" w:cs="Times New Roman"/>
                <w:bCs/>
                <w:color w:val="auto"/>
                <w:sz w:val="24"/>
                <w:szCs w:val="24"/>
                <w:highlight w:val="none"/>
              </w:rPr>
            </w:pPr>
            <w:r>
              <w:rPr>
                <w:rFonts w:hint="default" w:ascii="Times New Roman" w:hAnsi="Times New Roman" w:eastAsia="方正黑体_GBK" w:cs="Times New Roman"/>
                <w:bCs/>
                <w:color w:val="auto"/>
                <w:sz w:val="24"/>
                <w:szCs w:val="24"/>
                <w:highlight w:val="none"/>
                <w:lang w:bidi="ar"/>
              </w:rPr>
              <w:t>指标名称</w:t>
            </w:r>
          </w:p>
        </w:tc>
        <w:tc>
          <w:tcPr>
            <w:tcW w:w="1163" w:type="dxa"/>
            <w:vMerge w:val="restart"/>
            <w:noWrap w:val="0"/>
            <w:vAlign w:val="center"/>
          </w:tcPr>
          <w:p>
            <w:pPr>
              <w:overflowPunct w:val="0"/>
              <w:spacing w:line="260" w:lineRule="exact"/>
              <w:jc w:val="center"/>
              <w:rPr>
                <w:rFonts w:hint="default" w:ascii="Times New Roman" w:hAnsi="Times New Roman" w:eastAsia="方正黑体_GBK" w:cs="Times New Roman"/>
                <w:bCs/>
                <w:color w:val="auto"/>
                <w:sz w:val="24"/>
                <w:szCs w:val="24"/>
                <w:highlight w:val="none"/>
              </w:rPr>
            </w:pPr>
            <w:r>
              <w:rPr>
                <w:rFonts w:hint="default" w:ascii="Times New Roman" w:hAnsi="Times New Roman" w:eastAsia="方正黑体_GBK" w:cs="Times New Roman"/>
                <w:bCs/>
                <w:color w:val="auto"/>
                <w:sz w:val="24"/>
                <w:szCs w:val="24"/>
                <w:highlight w:val="none"/>
                <w:lang w:bidi="ar"/>
              </w:rPr>
              <w:t>单位</w:t>
            </w:r>
          </w:p>
        </w:tc>
        <w:tc>
          <w:tcPr>
            <w:tcW w:w="5096" w:type="dxa"/>
            <w:gridSpan w:val="3"/>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923" w:type="dxa"/>
            <w:vMerge w:val="continue"/>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p>
        </w:tc>
        <w:tc>
          <w:tcPr>
            <w:tcW w:w="5679" w:type="dxa"/>
            <w:vMerge w:val="continue"/>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p>
        </w:tc>
        <w:tc>
          <w:tcPr>
            <w:tcW w:w="1163" w:type="dxa"/>
            <w:vMerge w:val="continue"/>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p>
        </w:tc>
        <w:tc>
          <w:tcPr>
            <w:tcW w:w="1875" w:type="dxa"/>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2025年</w:t>
            </w:r>
          </w:p>
        </w:tc>
        <w:tc>
          <w:tcPr>
            <w:tcW w:w="1556" w:type="dxa"/>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2026年</w:t>
            </w:r>
          </w:p>
        </w:tc>
        <w:tc>
          <w:tcPr>
            <w:tcW w:w="1665" w:type="dxa"/>
            <w:noWrap w:val="0"/>
            <w:vAlign w:val="center"/>
          </w:tcPr>
          <w:p>
            <w:pPr>
              <w:overflowPunct w:val="0"/>
              <w:spacing w:line="26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exact"/>
          <w:jc w:val="center"/>
        </w:trPr>
        <w:tc>
          <w:tcPr>
            <w:tcW w:w="92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1</w:t>
            </w:r>
          </w:p>
        </w:tc>
        <w:tc>
          <w:tcPr>
            <w:tcW w:w="5679"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重点水源工程覆盖率</w:t>
            </w:r>
          </w:p>
        </w:tc>
        <w:tc>
          <w:tcPr>
            <w:tcW w:w="116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p>
        </w:tc>
        <w:tc>
          <w:tcPr>
            <w:tcW w:w="187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52.4</w:t>
            </w:r>
          </w:p>
        </w:tc>
        <w:tc>
          <w:tcPr>
            <w:tcW w:w="1556"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72.7</w:t>
            </w:r>
          </w:p>
        </w:tc>
        <w:tc>
          <w:tcPr>
            <w:tcW w:w="166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exact"/>
          <w:jc w:val="center"/>
        </w:trPr>
        <w:tc>
          <w:tcPr>
            <w:tcW w:w="92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2</w:t>
            </w:r>
          </w:p>
        </w:tc>
        <w:tc>
          <w:tcPr>
            <w:tcW w:w="5679"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农村规模化水厂覆盖率</w:t>
            </w:r>
          </w:p>
        </w:tc>
        <w:tc>
          <w:tcPr>
            <w:tcW w:w="116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p>
        </w:tc>
        <w:tc>
          <w:tcPr>
            <w:tcW w:w="187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61.0</w:t>
            </w:r>
          </w:p>
        </w:tc>
        <w:tc>
          <w:tcPr>
            <w:tcW w:w="1556"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76.3</w:t>
            </w:r>
          </w:p>
        </w:tc>
        <w:tc>
          <w:tcPr>
            <w:tcW w:w="166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exact"/>
          <w:jc w:val="center"/>
        </w:trPr>
        <w:tc>
          <w:tcPr>
            <w:tcW w:w="92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3</w:t>
            </w:r>
          </w:p>
        </w:tc>
        <w:tc>
          <w:tcPr>
            <w:tcW w:w="5679"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农村自来水普及率</w:t>
            </w:r>
          </w:p>
        </w:tc>
        <w:tc>
          <w:tcPr>
            <w:tcW w:w="116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p>
        </w:tc>
        <w:tc>
          <w:tcPr>
            <w:tcW w:w="187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91.5</w:t>
            </w:r>
          </w:p>
        </w:tc>
        <w:tc>
          <w:tcPr>
            <w:tcW w:w="1556"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93.4</w:t>
            </w:r>
          </w:p>
        </w:tc>
        <w:tc>
          <w:tcPr>
            <w:tcW w:w="1665"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exact"/>
          <w:jc w:val="center"/>
        </w:trPr>
        <w:tc>
          <w:tcPr>
            <w:tcW w:w="92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4</w:t>
            </w:r>
          </w:p>
        </w:tc>
        <w:tc>
          <w:tcPr>
            <w:tcW w:w="5679"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规模化水厂在线监测率</w:t>
            </w:r>
          </w:p>
        </w:tc>
        <w:tc>
          <w:tcPr>
            <w:tcW w:w="116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p>
        </w:tc>
        <w:tc>
          <w:tcPr>
            <w:tcW w:w="187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66.7</w:t>
            </w:r>
          </w:p>
        </w:tc>
        <w:tc>
          <w:tcPr>
            <w:tcW w:w="1556"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82.6</w:t>
            </w:r>
          </w:p>
        </w:tc>
        <w:tc>
          <w:tcPr>
            <w:tcW w:w="1665"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exact"/>
          <w:jc w:val="center"/>
        </w:trPr>
        <w:tc>
          <w:tcPr>
            <w:tcW w:w="92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5</w:t>
            </w:r>
          </w:p>
        </w:tc>
        <w:tc>
          <w:tcPr>
            <w:tcW w:w="5679"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县域统管率</w:t>
            </w:r>
          </w:p>
        </w:tc>
        <w:tc>
          <w:tcPr>
            <w:tcW w:w="116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p>
        </w:tc>
        <w:tc>
          <w:tcPr>
            <w:tcW w:w="187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51.53</w:t>
            </w:r>
          </w:p>
        </w:tc>
        <w:tc>
          <w:tcPr>
            <w:tcW w:w="1556"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57</w:t>
            </w:r>
          </w:p>
        </w:tc>
        <w:tc>
          <w:tcPr>
            <w:tcW w:w="1665"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exact"/>
          <w:jc w:val="center"/>
        </w:trPr>
        <w:tc>
          <w:tcPr>
            <w:tcW w:w="92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6</w:t>
            </w:r>
          </w:p>
        </w:tc>
        <w:tc>
          <w:tcPr>
            <w:tcW w:w="5679"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规模化水厂及千人供水工程应急备用水源配备率</w:t>
            </w:r>
          </w:p>
        </w:tc>
        <w:tc>
          <w:tcPr>
            <w:tcW w:w="1163" w:type="dxa"/>
            <w:noWrap w:val="0"/>
            <w:vAlign w:val="center"/>
          </w:tcPr>
          <w:p>
            <w:pPr>
              <w:overflowPunct w:val="0"/>
              <w:spacing w:line="2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p>
        </w:tc>
        <w:tc>
          <w:tcPr>
            <w:tcW w:w="187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22.53</w:t>
            </w:r>
          </w:p>
        </w:tc>
        <w:tc>
          <w:tcPr>
            <w:tcW w:w="1556"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45.5</w:t>
            </w:r>
          </w:p>
        </w:tc>
        <w:tc>
          <w:tcPr>
            <w:tcW w:w="1665" w:type="dxa"/>
            <w:noWrap w:val="0"/>
            <w:vAlign w:val="center"/>
          </w:tcPr>
          <w:p>
            <w:pPr>
              <w:overflowPunct w:val="0"/>
              <w:spacing w:line="26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bidi="ar"/>
              </w:rPr>
              <w:t>88.9</w:t>
            </w:r>
          </w:p>
        </w:tc>
      </w:tr>
    </w:tbl>
    <w:p>
      <w:pPr>
        <w:pStyle w:val="16"/>
        <w:overflowPunct w:val="0"/>
        <w:spacing w:line="500" w:lineRule="exact"/>
        <w:ind w:firstLine="632" w:firstLineChars="200"/>
        <w:outlineLvl w:val="0"/>
        <w:rPr>
          <w:rFonts w:hint="eastAsia"/>
          <w:color w:val="auto"/>
          <w:highlight w:val="none"/>
        </w:rPr>
      </w:pPr>
    </w:p>
    <w:p>
      <w:pPr>
        <w:pStyle w:val="16"/>
        <w:overflowPunct w:val="0"/>
        <w:spacing w:line="500" w:lineRule="exact"/>
        <w:ind w:firstLine="632" w:firstLineChars="200"/>
        <w:outlineLvl w:val="0"/>
        <w:rPr>
          <w:rFonts w:hint="eastAsia"/>
          <w:color w:val="auto"/>
          <w:highlight w:val="none"/>
        </w:rPr>
      </w:pPr>
    </w:p>
    <w:p>
      <w:pPr>
        <w:pStyle w:val="16"/>
        <w:overflowPunct w:val="0"/>
        <w:spacing w:line="500" w:lineRule="exact"/>
        <w:ind w:firstLine="632" w:firstLineChars="200"/>
        <w:outlineLvl w:val="0"/>
        <w:rPr>
          <w:rFonts w:hint="eastAsia"/>
          <w:color w:val="auto"/>
          <w:highlight w:val="none"/>
        </w:rPr>
      </w:pPr>
    </w:p>
    <w:p>
      <w:pPr>
        <w:pStyle w:val="16"/>
        <w:overflowPunct w:val="0"/>
        <w:spacing w:line="500" w:lineRule="exact"/>
        <w:ind w:firstLine="632" w:firstLineChars="200"/>
        <w:outlineLvl w:val="0"/>
        <w:rPr>
          <w:rFonts w:hint="eastAsia"/>
          <w:color w:val="auto"/>
          <w:highlight w:val="none"/>
        </w:rPr>
      </w:pPr>
    </w:p>
    <w:p>
      <w:pPr>
        <w:overflowPunct w:val="0"/>
        <w:rPr>
          <w:rFonts w:hint="default" w:ascii="Times New Roman" w:hAnsi="Times New Roman" w:eastAsia="方正黑体_GBK" w:cs="Times New Roman"/>
          <w:color w:val="auto"/>
          <w:highlight w:val="none"/>
          <w:lang w:bidi="ar"/>
        </w:rPr>
      </w:pPr>
      <w:r>
        <w:rPr>
          <w:rFonts w:hint="default" w:ascii="Times New Roman" w:hAnsi="Times New Roman" w:eastAsia="方正黑体_GBK" w:cs="Times New Roman"/>
          <w:color w:val="auto"/>
          <w:highlight w:val="none"/>
          <w:lang w:bidi="ar"/>
        </w:rPr>
        <w:t>附件2</w:t>
      </w:r>
    </w:p>
    <w:p>
      <w:pPr>
        <w:keepNext w:val="0"/>
        <w:keepLines w:val="0"/>
        <w:pageBreakBefore w:val="0"/>
        <w:widowControl w:val="0"/>
        <w:kinsoku/>
        <w:wordWrap/>
        <w:overflowPunct w:val="0"/>
        <w:topLinePunct w:val="0"/>
        <w:autoSpaceDE/>
        <w:autoSpaceDN/>
        <w:bidi w:val="0"/>
        <w:adjustRightInd/>
        <w:snapToGrid/>
        <w:spacing w:line="240" w:lineRule="exact"/>
        <w:ind w:firstLine="632" w:firstLineChars="200"/>
        <w:textAlignment w:val="auto"/>
        <w:rPr>
          <w:rFonts w:hint="eastAsia"/>
          <w:color w:val="auto"/>
          <w:highlight w:val="none"/>
        </w:rPr>
      </w:pPr>
    </w:p>
    <w:p>
      <w:pPr>
        <w:overflowPunct w:val="0"/>
        <w:snapToGrid w:val="0"/>
        <w:jc w:val="center"/>
        <w:outlineLvl w:val="1"/>
        <w:rPr>
          <w:rFonts w:hint="eastAsia" w:ascii="方正小标宋_GBK" w:eastAsia="方正小标宋_GBK" w:cs="方正小标宋_GBK"/>
          <w:bCs/>
          <w:color w:val="auto"/>
          <w:sz w:val="36"/>
          <w:szCs w:val="36"/>
          <w:highlight w:val="none"/>
          <w:lang w:bidi="ar"/>
        </w:rPr>
      </w:pPr>
      <w:r>
        <w:rPr>
          <w:rFonts w:hint="eastAsia" w:ascii="方正小标宋_GBK" w:eastAsia="方正小标宋_GBK" w:cs="方正小标宋_GBK"/>
          <w:bCs/>
          <w:color w:val="auto"/>
          <w:sz w:val="36"/>
          <w:szCs w:val="36"/>
          <w:highlight w:val="none"/>
          <w:lang w:bidi="ar"/>
        </w:rPr>
        <w:t>主要任务清单</w:t>
      </w:r>
    </w:p>
    <w:p>
      <w:pPr>
        <w:overflowPunct w:val="0"/>
        <w:ind w:firstLine="632" w:firstLineChars="200"/>
        <w:outlineLvl w:val="1"/>
        <w:rPr>
          <w:rFonts w:hint="eastAsia"/>
          <w:color w:val="auto"/>
          <w:highlight w:val="none"/>
        </w:rPr>
      </w:pPr>
    </w:p>
    <w:tbl>
      <w:tblPr>
        <w:tblStyle w:val="11"/>
        <w:tblW w:w="12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22"/>
        <w:gridCol w:w="1456"/>
        <w:gridCol w:w="1470"/>
        <w:gridCol w:w="1469"/>
        <w:gridCol w:w="1576"/>
        <w:gridCol w:w="1266"/>
        <w:gridCol w:w="1582"/>
        <w:gridCol w:w="1273"/>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41"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bCs/>
                <w:color w:val="auto"/>
                <w:sz w:val="21"/>
                <w:szCs w:val="21"/>
                <w:highlight w:val="none"/>
                <w:lang w:bidi="ar"/>
              </w:rPr>
              <w:t>序号</w:t>
            </w:r>
          </w:p>
        </w:tc>
        <w:tc>
          <w:tcPr>
            <w:tcW w:w="1022"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区县</w:t>
            </w:r>
          </w:p>
        </w:tc>
        <w:tc>
          <w:tcPr>
            <w:tcW w:w="1456"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建设水源工程数量（处）</w:t>
            </w:r>
          </w:p>
        </w:tc>
        <w:tc>
          <w:tcPr>
            <w:tcW w:w="1470"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建设水厂工程数量（处）</w:t>
            </w:r>
          </w:p>
        </w:tc>
        <w:tc>
          <w:tcPr>
            <w:tcW w:w="1469"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建设管网长度（公里）</w:t>
            </w:r>
          </w:p>
        </w:tc>
        <w:tc>
          <w:tcPr>
            <w:tcW w:w="1576"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划定集中式饮用水水源保护区数量（处）</w:t>
            </w:r>
          </w:p>
        </w:tc>
        <w:tc>
          <w:tcPr>
            <w:tcW w:w="1266"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配备净化消毒设施设备数量（套）</w:t>
            </w:r>
          </w:p>
        </w:tc>
        <w:tc>
          <w:tcPr>
            <w:tcW w:w="1582"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配置集中供水工程在线监测设备数量（处）</w:t>
            </w:r>
          </w:p>
        </w:tc>
        <w:tc>
          <w:tcPr>
            <w:tcW w:w="1273"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新增标准化管理工程数量（处）</w:t>
            </w:r>
          </w:p>
        </w:tc>
        <w:tc>
          <w:tcPr>
            <w:tcW w:w="1330" w:type="dxa"/>
            <w:vMerge w:val="restart"/>
            <w:noWrap w:val="0"/>
            <w:vAlign w:val="center"/>
          </w:tcPr>
          <w:p>
            <w:pPr>
              <w:overflowPunct w:val="0"/>
              <w:spacing w:line="320" w:lineRule="exact"/>
              <w:jc w:val="center"/>
              <w:textAlignment w:val="center"/>
              <w:rPr>
                <w:rFonts w:hint="eastAsia" w:ascii="方正黑体_GBK" w:eastAsia="方正黑体_GBK"/>
                <w:color w:val="auto"/>
                <w:sz w:val="21"/>
                <w:szCs w:val="21"/>
                <w:highlight w:val="none"/>
              </w:rPr>
            </w:pPr>
            <w:r>
              <w:rPr>
                <w:rFonts w:hint="eastAsia" w:ascii="方正黑体_GBK" w:eastAsia="方正黑体_GBK" w:cs="宋体"/>
                <w:color w:val="auto"/>
                <w:sz w:val="21"/>
                <w:szCs w:val="21"/>
                <w:highlight w:val="none"/>
                <w:lang w:bidi="ar"/>
              </w:rPr>
              <w:t>实施应急能力提升工程数量（处）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41" w:type="dxa"/>
            <w:vMerge w:val="continue"/>
            <w:noWrap w:val="0"/>
            <w:vAlign w:val="center"/>
          </w:tcPr>
          <w:p>
            <w:pPr>
              <w:overflowPunct w:val="0"/>
              <w:spacing w:line="320" w:lineRule="exact"/>
              <w:jc w:val="center"/>
              <w:rPr>
                <w:rFonts w:hint="eastAsia"/>
                <w:color w:val="auto"/>
                <w:sz w:val="21"/>
                <w:szCs w:val="21"/>
                <w:highlight w:val="none"/>
              </w:rPr>
            </w:pPr>
          </w:p>
        </w:tc>
        <w:tc>
          <w:tcPr>
            <w:tcW w:w="1022" w:type="dxa"/>
            <w:vMerge w:val="continue"/>
            <w:noWrap w:val="0"/>
            <w:vAlign w:val="center"/>
          </w:tcPr>
          <w:p>
            <w:pPr>
              <w:overflowPunct w:val="0"/>
              <w:spacing w:line="320" w:lineRule="exact"/>
              <w:jc w:val="center"/>
              <w:rPr>
                <w:rFonts w:hint="eastAsia"/>
                <w:color w:val="auto"/>
                <w:sz w:val="21"/>
                <w:szCs w:val="21"/>
                <w:highlight w:val="none"/>
              </w:rPr>
            </w:pPr>
          </w:p>
        </w:tc>
        <w:tc>
          <w:tcPr>
            <w:tcW w:w="1456" w:type="dxa"/>
            <w:vMerge w:val="continue"/>
            <w:noWrap w:val="0"/>
            <w:vAlign w:val="center"/>
          </w:tcPr>
          <w:p>
            <w:pPr>
              <w:overflowPunct w:val="0"/>
              <w:spacing w:line="320" w:lineRule="exact"/>
              <w:jc w:val="center"/>
              <w:rPr>
                <w:rFonts w:hint="eastAsia"/>
                <w:color w:val="auto"/>
                <w:sz w:val="21"/>
                <w:szCs w:val="21"/>
                <w:highlight w:val="none"/>
              </w:rPr>
            </w:pPr>
          </w:p>
        </w:tc>
        <w:tc>
          <w:tcPr>
            <w:tcW w:w="1470" w:type="dxa"/>
            <w:vMerge w:val="continue"/>
            <w:noWrap w:val="0"/>
            <w:vAlign w:val="center"/>
          </w:tcPr>
          <w:p>
            <w:pPr>
              <w:overflowPunct w:val="0"/>
              <w:spacing w:line="320" w:lineRule="exact"/>
              <w:jc w:val="center"/>
              <w:rPr>
                <w:rFonts w:hint="eastAsia"/>
                <w:color w:val="auto"/>
                <w:sz w:val="21"/>
                <w:szCs w:val="21"/>
                <w:highlight w:val="none"/>
              </w:rPr>
            </w:pPr>
          </w:p>
        </w:tc>
        <w:tc>
          <w:tcPr>
            <w:tcW w:w="1469" w:type="dxa"/>
            <w:vMerge w:val="continue"/>
            <w:noWrap w:val="0"/>
            <w:vAlign w:val="center"/>
          </w:tcPr>
          <w:p>
            <w:pPr>
              <w:overflowPunct w:val="0"/>
              <w:spacing w:line="320" w:lineRule="exact"/>
              <w:jc w:val="center"/>
              <w:rPr>
                <w:rFonts w:hint="eastAsia"/>
                <w:color w:val="auto"/>
                <w:sz w:val="21"/>
                <w:szCs w:val="21"/>
                <w:highlight w:val="none"/>
              </w:rPr>
            </w:pPr>
          </w:p>
        </w:tc>
        <w:tc>
          <w:tcPr>
            <w:tcW w:w="1576" w:type="dxa"/>
            <w:vMerge w:val="continue"/>
            <w:noWrap w:val="0"/>
            <w:vAlign w:val="center"/>
          </w:tcPr>
          <w:p>
            <w:pPr>
              <w:overflowPunct w:val="0"/>
              <w:spacing w:line="320" w:lineRule="exact"/>
              <w:jc w:val="center"/>
              <w:rPr>
                <w:rFonts w:hint="eastAsia"/>
                <w:color w:val="auto"/>
                <w:sz w:val="21"/>
                <w:szCs w:val="21"/>
                <w:highlight w:val="none"/>
              </w:rPr>
            </w:pPr>
          </w:p>
        </w:tc>
        <w:tc>
          <w:tcPr>
            <w:tcW w:w="1266" w:type="dxa"/>
            <w:vMerge w:val="continue"/>
            <w:noWrap w:val="0"/>
            <w:vAlign w:val="center"/>
          </w:tcPr>
          <w:p>
            <w:pPr>
              <w:overflowPunct w:val="0"/>
              <w:spacing w:line="320" w:lineRule="exact"/>
              <w:jc w:val="center"/>
              <w:rPr>
                <w:rFonts w:hint="eastAsia"/>
                <w:color w:val="auto"/>
                <w:sz w:val="21"/>
                <w:szCs w:val="21"/>
                <w:highlight w:val="none"/>
              </w:rPr>
            </w:pPr>
          </w:p>
        </w:tc>
        <w:tc>
          <w:tcPr>
            <w:tcW w:w="1582" w:type="dxa"/>
            <w:vMerge w:val="continue"/>
            <w:noWrap w:val="0"/>
            <w:vAlign w:val="center"/>
          </w:tcPr>
          <w:p>
            <w:pPr>
              <w:overflowPunct w:val="0"/>
              <w:spacing w:line="320" w:lineRule="exact"/>
              <w:jc w:val="center"/>
              <w:rPr>
                <w:rFonts w:hint="eastAsia"/>
                <w:color w:val="auto"/>
                <w:sz w:val="21"/>
                <w:szCs w:val="21"/>
                <w:highlight w:val="none"/>
              </w:rPr>
            </w:pPr>
          </w:p>
        </w:tc>
        <w:tc>
          <w:tcPr>
            <w:tcW w:w="1273" w:type="dxa"/>
            <w:vMerge w:val="continue"/>
            <w:noWrap w:val="0"/>
            <w:vAlign w:val="center"/>
          </w:tcPr>
          <w:p>
            <w:pPr>
              <w:overflowPunct w:val="0"/>
              <w:spacing w:line="320" w:lineRule="exact"/>
              <w:jc w:val="center"/>
              <w:rPr>
                <w:rFonts w:hint="eastAsia"/>
                <w:color w:val="auto"/>
                <w:sz w:val="21"/>
                <w:szCs w:val="21"/>
                <w:highlight w:val="none"/>
              </w:rPr>
            </w:pPr>
          </w:p>
        </w:tc>
        <w:tc>
          <w:tcPr>
            <w:tcW w:w="1330" w:type="dxa"/>
            <w:vMerge w:val="continue"/>
            <w:noWrap w:val="0"/>
            <w:vAlign w:val="center"/>
          </w:tcPr>
          <w:p>
            <w:pPr>
              <w:overflowPunct w:val="0"/>
              <w:spacing w:line="320" w:lineRule="exact"/>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41" w:type="dxa"/>
            <w:vMerge w:val="continue"/>
            <w:noWrap w:val="0"/>
            <w:vAlign w:val="center"/>
          </w:tcPr>
          <w:p>
            <w:pPr>
              <w:overflowPunct w:val="0"/>
              <w:spacing w:line="320" w:lineRule="exact"/>
              <w:jc w:val="center"/>
              <w:rPr>
                <w:rFonts w:hint="eastAsia"/>
                <w:color w:val="auto"/>
                <w:sz w:val="21"/>
                <w:szCs w:val="21"/>
                <w:highlight w:val="none"/>
              </w:rPr>
            </w:pPr>
          </w:p>
        </w:tc>
        <w:tc>
          <w:tcPr>
            <w:tcW w:w="1022" w:type="dxa"/>
            <w:vMerge w:val="continue"/>
            <w:noWrap w:val="0"/>
            <w:vAlign w:val="center"/>
          </w:tcPr>
          <w:p>
            <w:pPr>
              <w:overflowPunct w:val="0"/>
              <w:spacing w:line="320" w:lineRule="exact"/>
              <w:jc w:val="center"/>
              <w:rPr>
                <w:rFonts w:hint="eastAsia"/>
                <w:color w:val="auto"/>
                <w:sz w:val="21"/>
                <w:szCs w:val="21"/>
                <w:highlight w:val="none"/>
              </w:rPr>
            </w:pPr>
          </w:p>
        </w:tc>
        <w:tc>
          <w:tcPr>
            <w:tcW w:w="1456" w:type="dxa"/>
            <w:vMerge w:val="continue"/>
            <w:noWrap w:val="0"/>
            <w:vAlign w:val="center"/>
          </w:tcPr>
          <w:p>
            <w:pPr>
              <w:overflowPunct w:val="0"/>
              <w:spacing w:line="320" w:lineRule="exact"/>
              <w:jc w:val="center"/>
              <w:rPr>
                <w:rFonts w:hint="eastAsia"/>
                <w:color w:val="auto"/>
                <w:sz w:val="21"/>
                <w:szCs w:val="21"/>
                <w:highlight w:val="none"/>
              </w:rPr>
            </w:pPr>
          </w:p>
        </w:tc>
        <w:tc>
          <w:tcPr>
            <w:tcW w:w="1470" w:type="dxa"/>
            <w:vMerge w:val="continue"/>
            <w:noWrap w:val="0"/>
            <w:vAlign w:val="center"/>
          </w:tcPr>
          <w:p>
            <w:pPr>
              <w:overflowPunct w:val="0"/>
              <w:spacing w:line="320" w:lineRule="exact"/>
              <w:jc w:val="center"/>
              <w:rPr>
                <w:rFonts w:hint="eastAsia"/>
                <w:color w:val="auto"/>
                <w:sz w:val="21"/>
                <w:szCs w:val="21"/>
                <w:highlight w:val="none"/>
              </w:rPr>
            </w:pPr>
          </w:p>
        </w:tc>
        <w:tc>
          <w:tcPr>
            <w:tcW w:w="1469" w:type="dxa"/>
            <w:vMerge w:val="continue"/>
            <w:noWrap w:val="0"/>
            <w:vAlign w:val="center"/>
          </w:tcPr>
          <w:p>
            <w:pPr>
              <w:overflowPunct w:val="0"/>
              <w:spacing w:line="320" w:lineRule="exact"/>
              <w:jc w:val="center"/>
              <w:rPr>
                <w:rFonts w:hint="eastAsia"/>
                <w:color w:val="auto"/>
                <w:sz w:val="21"/>
                <w:szCs w:val="21"/>
                <w:highlight w:val="none"/>
              </w:rPr>
            </w:pPr>
          </w:p>
        </w:tc>
        <w:tc>
          <w:tcPr>
            <w:tcW w:w="1576" w:type="dxa"/>
            <w:vMerge w:val="continue"/>
            <w:noWrap w:val="0"/>
            <w:vAlign w:val="center"/>
          </w:tcPr>
          <w:p>
            <w:pPr>
              <w:overflowPunct w:val="0"/>
              <w:spacing w:line="320" w:lineRule="exact"/>
              <w:jc w:val="center"/>
              <w:rPr>
                <w:rFonts w:hint="eastAsia"/>
                <w:color w:val="auto"/>
                <w:sz w:val="21"/>
                <w:szCs w:val="21"/>
                <w:highlight w:val="none"/>
              </w:rPr>
            </w:pPr>
          </w:p>
        </w:tc>
        <w:tc>
          <w:tcPr>
            <w:tcW w:w="1266" w:type="dxa"/>
            <w:vMerge w:val="continue"/>
            <w:noWrap w:val="0"/>
            <w:vAlign w:val="center"/>
          </w:tcPr>
          <w:p>
            <w:pPr>
              <w:overflowPunct w:val="0"/>
              <w:spacing w:line="320" w:lineRule="exact"/>
              <w:jc w:val="center"/>
              <w:rPr>
                <w:rFonts w:hint="eastAsia"/>
                <w:color w:val="auto"/>
                <w:sz w:val="21"/>
                <w:szCs w:val="21"/>
                <w:highlight w:val="none"/>
              </w:rPr>
            </w:pPr>
          </w:p>
        </w:tc>
        <w:tc>
          <w:tcPr>
            <w:tcW w:w="1582" w:type="dxa"/>
            <w:vMerge w:val="continue"/>
            <w:noWrap w:val="0"/>
            <w:vAlign w:val="center"/>
          </w:tcPr>
          <w:p>
            <w:pPr>
              <w:overflowPunct w:val="0"/>
              <w:spacing w:line="320" w:lineRule="exact"/>
              <w:jc w:val="center"/>
              <w:rPr>
                <w:rFonts w:hint="eastAsia"/>
                <w:color w:val="auto"/>
                <w:sz w:val="21"/>
                <w:szCs w:val="21"/>
                <w:highlight w:val="none"/>
              </w:rPr>
            </w:pPr>
          </w:p>
        </w:tc>
        <w:tc>
          <w:tcPr>
            <w:tcW w:w="1273" w:type="dxa"/>
            <w:vMerge w:val="continue"/>
            <w:noWrap w:val="0"/>
            <w:vAlign w:val="center"/>
          </w:tcPr>
          <w:p>
            <w:pPr>
              <w:overflowPunct w:val="0"/>
              <w:spacing w:line="320" w:lineRule="exact"/>
              <w:jc w:val="center"/>
              <w:rPr>
                <w:rFonts w:hint="eastAsia"/>
                <w:color w:val="auto"/>
                <w:sz w:val="21"/>
                <w:szCs w:val="21"/>
                <w:highlight w:val="none"/>
              </w:rPr>
            </w:pPr>
          </w:p>
        </w:tc>
        <w:tc>
          <w:tcPr>
            <w:tcW w:w="1330" w:type="dxa"/>
            <w:vMerge w:val="continue"/>
            <w:noWrap w:val="0"/>
            <w:vAlign w:val="center"/>
          </w:tcPr>
          <w:p>
            <w:pPr>
              <w:overflowPunct w:val="0"/>
              <w:spacing w:line="320" w:lineRule="exact"/>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41" w:type="dxa"/>
            <w:noWrap w:val="0"/>
            <w:vAlign w:val="center"/>
          </w:tcPr>
          <w:p>
            <w:pPr>
              <w:overflowPunct w:val="0"/>
              <w:spacing w:line="320" w:lineRule="exact"/>
              <w:jc w:val="center"/>
              <w:textAlignment w:val="center"/>
              <w:rPr>
                <w:rFonts w:hint="eastAsia"/>
                <w:color w:val="auto"/>
                <w:sz w:val="21"/>
                <w:szCs w:val="21"/>
                <w:highlight w:val="none"/>
              </w:rPr>
            </w:pPr>
            <w:r>
              <w:rPr>
                <w:rFonts w:hint="eastAsia"/>
                <w:color w:val="auto"/>
                <w:sz w:val="21"/>
                <w:szCs w:val="21"/>
                <w:highlight w:val="none"/>
                <w:lang w:bidi="ar"/>
              </w:rPr>
              <w:t>1</w:t>
            </w:r>
          </w:p>
        </w:tc>
        <w:tc>
          <w:tcPr>
            <w:tcW w:w="1022" w:type="dxa"/>
            <w:noWrap w:val="0"/>
            <w:vAlign w:val="center"/>
          </w:tcPr>
          <w:p>
            <w:pPr>
              <w:overflowPunct w:val="0"/>
              <w:spacing w:line="320" w:lineRule="exact"/>
              <w:jc w:val="center"/>
              <w:textAlignment w:val="center"/>
              <w:rPr>
                <w:rFonts w:hint="eastAsia" w:eastAsia="方正仿宋_GBK"/>
                <w:color w:val="auto"/>
                <w:sz w:val="21"/>
                <w:szCs w:val="21"/>
                <w:highlight w:val="none"/>
                <w:lang w:eastAsia="zh-CN"/>
              </w:rPr>
            </w:pPr>
            <w:r>
              <w:rPr>
                <w:rFonts w:hint="eastAsia" w:cs="宋体"/>
                <w:color w:val="auto"/>
                <w:sz w:val="21"/>
                <w:szCs w:val="21"/>
                <w:highlight w:val="none"/>
                <w:lang w:eastAsia="zh-CN" w:bidi="ar"/>
              </w:rPr>
              <w:t>綦江区</w:t>
            </w:r>
          </w:p>
        </w:tc>
        <w:tc>
          <w:tcPr>
            <w:tcW w:w="1456" w:type="dxa"/>
            <w:noWrap/>
            <w:vAlign w:val="center"/>
          </w:tcPr>
          <w:p>
            <w:pPr>
              <w:overflowPunct w:val="0"/>
              <w:spacing w:line="320" w:lineRule="exact"/>
              <w:jc w:val="center"/>
              <w:textAlignment w:val="center"/>
              <w:rPr>
                <w:rFonts w:hint="default" w:eastAsia="方正仿宋_GBK"/>
                <w:color w:val="auto"/>
                <w:sz w:val="21"/>
                <w:szCs w:val="21"/>
                <w:highlight w:val="none"/>
                <w:lang w:val="en-US" w:eastAsia="zh-CN"/>
              </w:rPr>
            </w:pPr>
            <w:r>
              <w:rPr>
                <w:rFonts w:hint="eastAsia"/>
                <w:color w:val="auto"/>
                <w:sz w:val="21"/>
                <w:szCs w:val="21"/>
                <w:highlight w:val="none"/>
                <w:lang w:val="en-US" w:eastAsia="zh-CN"/>
              </w:rPr>
              <w:t>17</w:t>
            </w:r>
          </w:p>
        </w:tc>
        <w:tc>
          <w:tcPr>
            <w:tcW w:w="1470" w:type="dxa"/>
            <w:noWrap/>
            <w:vAlign w:val="center"/>
          </w:tcPr>
          <w:p>
            <w:pPr>
              <w:overflowPunct w:val="0"/>
              <w:spacing w:line="320" w:lineRule="exact"/>
              <w:jc w:val="center"/>
              <w:textAlignment w:val="center"/>
              <w:rPr>
                <w:rFonts w:hint="default" w:eastAsia="方正仿宋_GBK"/>
                <w:color w:val="auto"/>
                <w:sz w:val="21"/>
                <w:szCs w:val="21"/>
                <w:highlight w:val="none"/>
                <w:lang w:val="en-US" w:eastAsia="zh-CN"/>
              </w:rPr>
            </w:pPr>
            <w:r>
              <w:rPr>
                <w:rFonts w:hint="eastAsia"/>
                <w:color w:val="auto"/>
                <w:sz w:val="21"/>
                <w:szCs w:val="21"/>
                <w:highlight w:val="none"/>
                <w:lang w:val="en-US" w:eastAsia="zh-CN"/>
              </w:rPr>
              <w:t>17</w:t>
            </w:r>
          </w:p>
        </w:tc>
        <w:tc>
          <w:tcPr>
            <w:tcW w:w="1469" w:type="dxa"/>
            <w:noWrap/>
            <w:vAlign w:val="center"/>
          </w:tcPr>
          <w:p>
            <w:pPr>
              <w:overflowPunct w:val="0"/>
              <w:spacing w:line="320" w:lineRule="exact"/>
              <w:jc w:val="center"/>
              <w:textAlignment w:val="center"/>
              <w:rPr>
                <w:rFonts w:hint="eastAsia"/>
                <w:color w:val="auto"/>
                <w:sz w:val="21"/>
                <w:szCs w:val="21"/>
                <w:highlight w:val="none"/>
              </w:rPr>
            </w:pPr>
            <w:r>
              <w:rPr>
                <w:rFonts w:hint="eastAsia" w:ascii="Times New Roman" w:hAnsi="Times New Roman" w:cs="Times New Roman"/>
                <w:color w:val="auto"/>
                <w:sz w:val="21"/>
                <w:szCs w:val="21"/>
                <w:highlight w:val="none"/>
                <w:lang w:val="en-US" w:eastAsia="zh-CN"/>
              </w:rPr>
              <w:t>2036.99</w:t>
            </w:r>
          </w:p>
        </w:tc>
        <w:tc>
          <w:tcPr>
            <w:tcW w:w="1576" w:type="dxa"/>
            <w:noWrap/>
            <w:vAlign w:val="center"/>
          </w:tcPr>
          <w:p>
            <w:pPr>
              <w:overflowPunct w:val="0"/>
              <w:spacing w:line="320" w:lineRule="exact"/>
              <w:jc w:val="center"/>
              <w:textAlignment w:val="center"/>
              <w:rPr>
                <w:rFonts w:hint="eastAsia" w:eastAsia="方正仿宋_GBK"/>
                <w:color w:val="auto"/>
                <w:sz w:val="21"/>
                <w:szCs w:val="21"/>
                <w:highlight w:val="none"/>
                <w:lang w:val="en-US" w:eastAsia="zh-CN"/>
              </w:rPr>
            </w:pPr>
            <w:r>
              <w:rPr>
                <w:rFonts w:hint="eastAsia"/>
                <w:color w:val="auto"/>
                <w:sz w:val="21"/>
                <w:szCs w:val="21"/>
                <w:highlight w:val="none"/>
                <w:lang w:val="en-US" w:eastAsia="zh-CN"/>
              </w:rPr>
              <w:t>2</w:t>
            </w:r>
          </w:p>
        </w:tc>
        <w:tc>
          <w:tcPr>
            <w:tcW w:w="1266" w:type="dxa"/>
            <w:noWrap/>
            <w:vAlign w:val="center"/>
          </w:tcPr>
          <w:p>
            <w:pPr>
              <w:overflowPunct w:val="0"/>
              <w:spacing w:line="320" w:lineRule="exact"/>
              <w:jc w:val="center"/>
              <w:textAlignment w:val="center"/>
              <w:rPr>
                <w:rFonts w:hint="default" w:eastAsia="方正仿宋_GBK"/>
                <w:color w:val="auto"/>
                <w:sz w:val="21"/>
                <w:szCs w:val="21"/>
                <w:highlight w:val="none"/>
                <w:lang w:val="en-US" w:eastAsia="zh-CN"/>
              </w:rPr>
            </w:pPr>
            <w:r>
              <w:rPr>
                <w:rFonts w:hint="eastAsia"/>
                <w:color w:val="auto"/>
                <w:sz w:val="21"/>
                <w:szCs w:val="21"/>
                <w:highlight w:val="none"/>
                <w:lang w:val="en-US" w:eastAsia="zh-CN"/>
              </w:rPr>
              <w:t>17</w:t>
            </w:r>
          </w:p>
        </w:tc>
        <w:tc>
          <w:tcPr>
            <w:tcW w:w="1582" w:type="dxa"/>
            <w:noWrap/>
            <w:vAlign w:val="center"/>
          </w:tcPr>
          <w:p>
            <w:pPr>
              <w:overflowPunct w:val="0"/>
              <w:spacing w:line="320" w:lineRule="exact"/>
              <w:jc w:val="center"/>
              <w:textAlignment w:val="center"/>
              <w:rPr>
                <w:rFonts w:hint="default" w:eastAsia="方正仿宋_GBK"/>
                <w:color w:val="auto"/>
                <w:sz w:val="21"/>
                <w:szCs w:val="21"/>
                <w:highlight w:val="none"/>
                <w:lang w:val="en-US" w:eastAsia="zh-CN"/>
              </w:rPr>
            </w:pPr>
            <w:r>
              <w:rPr>
                <w:rFonts w:hint="eastAsia"/>
                <w:color w:val="auto"/>
                <w:sz w:val="21"/>
                <w:szCs w:val="21"/>
                <w:highlight w:val="none"/>
                <w:lang w:val="en-US" w:eastAsia="zh-CN"/>
              </w:rPr>
              <w:t>25</w:t>
            </w:r>
          </w:p>
        </w:tc>
        <w:tc>
          <w:tcPr>
            <w:tcW w:w="1273" w:type="dxa"/>
            <w:noWrap/>
            <w:vAlign w:val="center"/>
          </w:tcPr>
          <w:p>
            <w:pPr>
              <w:overflowPunct w:val="0"/>
              <w:spacing w:line="320" w:lineRule="exact"/>
              <w:jc w:val="center"/>
              <w:textAlignment w:val="center"/>
              <w:rPr>
                <w:rFonts w:hint="default" w:eastAsia="方正仿宋_GBK"/>
                <w:color w:val="auto"/>
                <w:sz w:val="21"/>
                <w:szCs w:val="21"/>
                <w:highlight w:val="none"/>
                <w:lang w:val="en-US" w:eastAsia="zh-CN"/>
              </w:rPr>
            </w:pPr>
            <w:r>
              <w:rPr>
                <w:rFonts w:hint="eastAsia"/>
                <w:color w:val="auto"/>
                <w:sz w:val="21"/>
                <w:szCs w:val="21"/>
                <w:highlight w:val="none"/>
                <w:lang w:val="en-US" w:eastAsia="zh-CN"/>
              </w:rPr>
              <w:t>17</w:t>
            </w:r>
          </w:p>
        </w:tc>
        <w:tc>
          <w:tcPr>
            <w:tcW w:w="1330" w:type="dxa"/>
            <w:noWrap/>
            <w:vAlign w:val="center"/>
          </w:tcPr>
          <w:p>
            <w:pPr>
              <w:overflowPunct w:val="0"/>
              <w:spacing w:line="320" w:lineRule="exact"/>
              <w:jc w:val="center"/>
              <w:textAlignment w:val="center"/>
              <w:rPr>
                <w:rFonts w:hint="default" w:eastAsia="方正仿宋_GBK"/>
                <w:color w:val="auto"/>
                <w:sz w:val="21"/>
                <w:szCs w:val="21"/>
                <w:highlight w:val="none"/>
                <w:lang w:val="en-US" w:eastAsia="zh-CN"/>
              </w:rPr>
            </w:pPr>
            <w:r>
              <w:rPr>
                <w:rFonts w:hint="eastAsia"/>
                <w:color w:val="auto"/>
                <w:sz w:val="21"/>
                <w:szCs w:val="21"/>
                <w:highlight w:val="none"/>
                <w:lang w:val="en-US" w:eastAsia="zh-CN"/>
              </w:rPr>
              <w:t>10</w:t>
            </w:r>
          </w:p>
        </w:tc>
      </w:tr>
    </w:tbl>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pStyle w:val="16"/>
        <w:overflowPunct w:val="0"/>
        <w:spacing w:line="530" w:lineRule="exact"/>
        <w:ind w:firstLine="632" w:firstLineChars="200"/>
        <w:outlineLvl w:val="0"/>
        <w:rPr>
          <w:rFonts w:hint="eastAsia"/>
          <w:color w:val="auto"/>
          <w:highlight w:val="none"/>
        </w:rPr>
      </w:pPr>
    </w:p>
    <w:p>
      <w:pPr>
        <w:overflowPunct w:val="0"/>
        <w:rPr>
          <w:rFonts w:hint="default" w:ascii="Times New Roman" w:hAnsi="Times New Roman" w:eastAsia="方正黑体_GBK" w:cs="Times New Roman"/>
          <w:color w:val="auto"/>
          <w:highlight w:val="none"/>
          <w:lang w:bidi="ar"/>
        </w:rPr>
      </w:pPr>
      <w:r>
        <w:rPr>
          <w:rFonts w:hint="default" w:ascii="Times New Roman" w:hAnsi="Times New Roman" w:eastAsia="方正黑体_GBK" w:cs="Times New Roman"/>
          <w:color w:val="auto"/>
          <w:highlight w:val="none"/>
          <w:lang w:bidi="ar"/>
        </w:rPr>
        <w:t>附件3</w:t>
      </w:r>
    </w:p>
    <w:p>
      <w:pPr>
        <w:keepNext w:val="0"/>
        <w:keepLines w:val="0"/>
        <w:pageBreakBefore w:val="0"/>
        <w:widowControl w:val="0"/>
        <w:kinsoku/>
        <w:wordWrap/>
        <w:overflowPunct w:val="0"/>
        <w:topLinePunct w:val="0"/>
        <w:autoSpaceDE/>
        <w:autoSpaceDN/>
        <w:bidi w:val="0"/>
        <w:adjustRightInd/>
        <w:snapToGrid/>
        <w:spacing w:line="240" w:lineRule="exact"/>
        <w:ind w:firstLine="632" w:firstLineChars="200"/>
        <w:textAlignment w:val="auto"/>
        <w:rPr>
          <w:rFonts w:hint="eastAsia"/>
          <w:color w:val="auto"/>
          <w:highlight w:val="none"/>
        </w:rPr>
      </w:pPr>
    </w:p>
    <w:p>
      <w:pPr>
        <w:overflowPunct w:val="0"/>
        <w:snapToGrid w:val="0"/>
        <w:jc w:val="center"/>
        <w:textAlignment w:val="baseline"/>
        <w:rPr>
          <w:rFonts w:hint="eastAsia" w:ascii="方正小标宋_GBK" w:eastAsia="方正小标宋_GBK" w:cs="方正小标宋_GBK"/>
          <w:color w:val="auto"/>
          <w:sz w:val="36"/>
          <w:szCs w:val="36"/>
          <w:highlight w:val="none"/>
          <w:shd w:val="clear" w:color="auto" w:fill="FFFFFF"/>
          <w:lang w:bidi="ar"/>
        </w:rPr>
      </w:pPr>
      <w:r>
        <w:rPr>
          <w:rFonts w:hint="eastAsia" w:ascii="方正小标宋_GBK" w:eastAsia="方正小标宋_GBK" w:cs="方正小标宋_GBK"/>
          <w:color w:val="auto"/>
          <w:sz w:val="36"/>
          <w:szCs w:val="36"/>
          <w:highlight w:val="none"/>
          <w:shd w:val="clear" w:color="auto" w:fill="FFFFFF"/>
          <w:lang w:bidi="ar"/>
        </w:rPr>
        <w:t>分年任务表</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highlight w:val="none"/>
        </w:rPr>
      </w:pPr>
    </w:p>
    <w:tbl>
      <w:tblPr>
        <w:tblStyle w:val="11"/>
        <w:tblW w:w="1297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4"/>
        <w:gridCol w:w="1043"/>
        <w:gridCol w:w="3255"/>
        <w:gridCol w:w="3527"/>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tblHeader/>
        </w:trPr>
        <w:tc>
          <w:tcPr>
            <w:tcW w:w="644" w:type="dxa"/>
            <w:vMerge w:val="restart"/>
            <w:noWrap/>
            <w:vAlign w:val="center"/>
          </w:tcPr>
          <w:p>
            <w:pPr>
              <w:overflowPunct w:val="0"/>
              <w:spacing w:line="260" w:lineRule="exact"/>
              <w:jc w:val="center"/>
              <w:textAlignment w:val="center"/>
              <w:rPr>
                <w:rFonts w:hint="eastAsia" w:ascii="方正黑体_GBK" w:eastAsia="方正黑体_GBK"/>
                <w:bCs/>
                <w:color w:val="auto"/>
                <w:sz w:val="21"/>
                <w:szCs w:val="21"/>
                <w:highlight w:val="none"/>
              </w:rPr>
            </w:pPr>
            <w:r>
              <w:rPr>
                <w:rFonts w:hint="eastAsia" w:ascii="方正黑体_GBK" w:eastAsia="方正黑体_GBK" w:cs="方正仿宋_GB2312"/>
                <w:bCs/>
                <w:color w:val="auto"/>
                <w:sz w:val="21"/>
                <w:szCs w:val="21"/>
                <w:highlight w:val="none"/>
                <w:lang w:bidi="ar"/>
              </w:rPr>
              <w:t>序号</w:t>
            </w:r>
          </w:p>
        </w:tc>
        <w:tc>
          <w:tcPr>
            <w:tcW w:w="1043" w:type="dxa"/>
            <w:vMerge w:val="restart"/>
            <w:noWrap w:val="0"/>
            <w:vAlign w:val="center"/>
          </w:tcPr>
          <w:p>
            <w:pPr>
              <w:overflowPunct w:val="0"/>
              <w:spacing w:line="260" w:lineRule="exact"/>
              <w:jc w:val="center"/>
              <w:textAlignment w:val="center"/>
              <w:rPr>
                <w:rFonts w:hint="eastAsia" w:ascii="方正黑体_GBK" w:eastAsia="方正黑体_GBK"/>
                <w:bCs/>
                <w:color w:val="auto"/>
                <w:sz w:val="21"/>
                <w:szCs w:val="21"/>
                <w:highlight w:val="none"/>
              </w:rPr>
            </w:pPr>
            <w:r>
              <w:rPr>
                <w:rFonts w:hint="eastAsia" w:ascii="方正黑体_GBK" w:eastAsia="方正黑体_GBK" w:cs="方正仿宋_GB2312"/>
                <w:bCs/>
                <w:color w:val="auto"/>
                <w:sz w:val="21"/>
                <w:szCs w:val="21"/>
                <w:highlight w:val="none"/>
                <w:lang w:bidi="ar"/>
              </w:rPr>
              <w:t>行动名称</w:t>
            </w:r>
          </w:p>
        </w:tc>
        <w:tc>
          <w:tcPr>
            <w:tcW w:w="11289" w:type="dxa"/>
            <w:gridSpan w:val="3"/>
            <w:noWrap w:val="0"/>
            <w:vAlign w:val="center"/>
          </w:tcPr>
          <w:p>
            <w:pPr>
              <w:overflowPunct w:val="0"/>
              <w:spacing w:line="260" w:lineRule="exact"/>
              <w:jc w:val="center"/>
              <w:textAlignment w:val="center"/>
              <w:rPr>
                <w:rFonts w:hint="eastAsia" w:ascii="方正黑体_GBK" w:eastAsia="方正黑体_GBK"/>
                <w:bCs/>
                <w:color w:val="auto"/>
                <w:sz w:val="21"/>
                <w:szCs w:val="21"/>
                <w:highlight w:val="none"/>
              </w:rPr>
            </w:pPr>
            <w:r>
              <w:rPr>
                <w:rFonts w:hint="eastAsia" w:ascii="方正黑体_GBK" w:eastAsia="方正黑体_GBK" w:cs="方正仿宋_GB2312"/>
                <w:bCs/>
                <w:color w:val="auto"/>
                <w:sz w:val="21"/>
                <w:szCs w:val="21"/>
                <w:highlight w:val="none"/>
                <w:lang w:bidi="ar"/>
              </w:rPr>
              <w:t>分年任务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tblHeader/>
        </w:trPr>
        <w:tc>
          <w:tcPr>
            <w:tcW w:w="644" w:type="dxa"/>
            <w:vMerge w:val="continue"/>
            <w:noWrap/>
            <w:vAlign w:val="center"/>
          </w:tcPr>
          <w:p>
            <w:pPr>
              <w:overflowPunct w:val="0"/>
              <w:spacing w:line="260" w:lineRule="exact"/>
              <w:jc w:val="center"/>
              <w:rPr>
                <w:rFonts w:hint="eastAsia" w:ascii="方正黑体_GBK" w:eastAsia="方正黑体_GBK"/>
                <w:color w:val="auto"/>
                <w:sz w:val="21"/>
                <w:szCs w:val="21"/>
                <w:highlight w:val="none"/>
              </w:rPr>
            </w:pPr>
          </w:p>
        </w:tc>
        <w:tc>
          <w:tcPr>
            <w:tcW w:w="1043" w:type="dxa"/>
            <w:vMerge w:val="continue"/>
            <w:noWrap w:val="0"/>
            <w:vAlign w:val="center"/>
          </w:tcPr>
          <w:p>
            <w:pPr>
              <w:overflowPunct w:val="0"/>
              <w:spacing w:line="260" w:lineRule="exact"/>
              <w:jc w:val="center"/>
              <w:rPr>
                <w:rFonts w:hint="eastAsia" w:ascii="方正黑体_GBK" w:eastAsia="方正黑体_GBK"/>
                <w:color w:val="auto"/>
                <w:sz w:val="21"/>
                <w:szCs w:val="21"/>
                <w:highlight w:val="none"/>
              </w:rPr>
            </w:pPr>
          </w:p>
        </w:tc>
        <w:tc>
          <w:tcPr>
            <w:tcW w:w="3255" w:type="dxa"/>
            <w:noWrap w:val="0"/>
            <w:vAlign w:val="center"/>
          </w:tcPr>
          <w:p>
            <w:pPr>
              <w:overflowPunct w:val="0"/>
              <w:spacing w:line="260" w:lineRule="exact"/>
              <w:jc w:val="center"/>
              <w:textAlignment w:val="center"/>
              <w:rPr>
                <w:rFonts w:hint="default" w:ascii="Times New Roman" w:hAnsi="Times New Roman" w:eastAsia="方正黑体_GBK" w:cs="Times New Roman"/>
                <w:bCs/>
                <w:color w:val="auto"/>
                <w:sz w:val="21"/>
                <w:szCs w:val="21"/>
                <w:highlight w:val="none"/>
              </w:rPr>
            </w:pPr>
            <w:r>
              <w:rPr>
                <w:rFonts w:hint="default" w:ascii="Times New Roman" w:hAnsi="Times New Roman" w:eastAsia="方正黑体_GBK" w:cs="Times New Roman"/>
                <w:bCs/>
                <w:color w:val="auto"/>
                <w:sz w:val="21"/>
                <w:szCs w:val="21"/>
                <w:highlight w:val="none"/>
                <w:lang w:bidi="ar"/>
              </w:rPr>
              <w:t>2025年</w:t>
            </w:r>
          </w:p>
        </w:tc>
        <w:tc>
          <w:tcPr>
            <w:tcW w:w="3527" w:type="dxa"/>
            <w:noWrap w:val="0"/>
            <w:vAlign w:val="center"/>
          </w:tcPr>
          <w:p>
            <w:pPr>
              <w:overflowPunct w:val="0"/>
              <w:spacing w:line="260" w:lineRule="exact"/>
              <w:jc w:val="center"/>
              <w:textAlignment w:val="center"/>
              <w:rPr>
                <w:rFonts w:hint="default" w:ascii="Times New Roman" w:hAnsi="Times New Roman" w:eastAsia="方正黑体_GBK" w:cs="Times New Roman"/>
                <w:bCs/>
                <w:color w:val="auto"/>
                <w:sz w:val="21"/>
                <w:szCs w:val="21"/>
                <w:highlight w:val="none"/>
              </w:rPr>
            </w:pPr>
            <w:r>
              <w:rPr>
                <w:rFonts w:hint="default" w:ascii="Times New Roman" w:hAnsi="Times New Roman" w:eastAsia="方正黑体_GBK" w:cs="Times New Roman"/>
                <w:bCs/>
                <w:color w:val="auto"/>
                <w:sz w:val="21"/>
                <w:szCs w:val="21"/>
                <w:highlight w:val="none"/>
                <w:lang w:bidi="ar"/>
              </w:rPr>
              <w:t>2026年</w:t>
            </w:r>
          </w:p>
        </w:tc>
        <w:tc>
          <w:tcPr>
            <w:tcW w:w="4507" w:type="dxa"/>
            <w:noWrap w:val="0"/>
            <w:vAlign w:val="center"/>
          </w:tcPr>
          <w:p>
            <w:pPr>
              <w:overflowPunct w:val="0"/>
              <w:spacing w:line="260" w:lineRule="exact"/>
              <w:jc w:val="center"/>
              <w:textAlignment w:val="center"/>
              <w:rPr>
                <w:rFonts w:hint="default" w:ascii="Times New Roman" w:hAnsi="Times New Roman" w:eastAsia="方正黑体_GBK" w:cs="Times New Roman"/>
                <w:bCs/>
                <w:color w:val="auto"/>
                <w:sz w:val="21"/>
                <w:szCs w:val="21"/>
                <w:highlight w:val="none"/>
              </w:rPr>
            </w:pPr>
            <w:r>
              <w:rPr>
                <w:rFonts w:hint="default" w:ascii="Times New Roman" w:hAnsi="Times New Roman" w:eastAsia="方正黑体_GBK" w:cs="Times New Roman"/>
                <w:bCs/>
                <w:color w:val="auto"/>
                <w:sz w:val="21"/>
                <w:szCs w:val="21"/>
                <w:highlight w:val="none"/>
                <w:lang w:bidi="ar"/>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77"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1</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水源提升行动</w:t>
            </w:r>
          </w:p>
        </w:tc>
        <w:tc>
          <w:tcPr>
            <w:tcW w:w="3255" w:type="dxa"/>
            <w:noWrap w:val="0"/>
            <w:vAlign w:val="center"/>
          </w:tcPr>
          <w:p>
            <w:pPr>
              <w:overflowPunct w:val="0"/>
              <w:spacing w:line="260" w:lineRule="exact"/>
              <w:textAlignment w:val="center"/>
              <w:rPr>
                <w:rFonts w:hint="default"/>
                <w:color w:val="auto"/>
                <w:sz w:val="21"/>
                <w:szCs w:val="21"/>
                <w:highlight w:val="none"/>
                <w:lang w:val="en-US"/>
              </w:rPr>
            </w:pPr>
            <w:r>
              <w:rPr>
                <w:rFonts w:hint="eastAsia" w:cs="方正仿宋_GB2312"/>
                <w:color w:val="auto"/>
                <w:sz w:val="21"/>
                <w:szCs w:val="21"/>
                <w:highlight w:val="none"/>
                <w:lang w:val="en-US" w:eastAsia="zh-CN" w:bidi="ar"/>
              </w:rPr>
              <w:t>整治石角镇刘罗村梨树沟水源工程、刘罗村香樟沟水源工程、福禄村冒火山水源工程，共3处。</w:t>
            </w:r>
          </w:p>
        </w:tc>
        <w:tc>
          <w:tcPr>
            <w:tcW w:w="3527" w:type="dxa"/>
            <w:noWrap w:val="0"/>
            <w:vAlign w:val="center"/>
          </w:tcPr>
          <w:p>
            <w:pPr>
              <w:overflowPunct w:val="0"/>
              <w:spacing w:line="260" w:lineRule="exact"/>
              <w:textAlignment w:val="center"/>
              <w:rPr>
                <w:rFonts w:hint="default"/>
                <w:color w:val="auto"/>
                <w:sz w:val="21"/>
                <w:szCs w:val="21"/>
                <w:highlight w:val="none"/>
                <w:lang w:val="en-US" w:eastAsia="zh-CN"/>
              </w:rPr>
            </w:pPr>
            <w:r>
              <w:rPr>
                <w:rFonts w:hint="eastAsia"/>
                <w:color w:val="auto"/>
                <w:sz w:val="21"/>
                <w:szCs w:val="21"/>
                <w:highlight w:val="none"/>
                <w:lang w:val="en-US" w:eastAsia="zh-CN"/>
              </w:rPr>
              <w:t>整治文龙街道太公村核桃树水源工程；整治中峰镇板桥村鸳鸯沟水源工程、板桥村敖家岗水源工程、新庄村河坝水源工程、龙山村龙井坪黄树云弯弯水源工程；整治通惠街道共同村马龙县水源工程、共同村饶家塘水源工程、亭和村干大丘水源工程，共8处。</w:t>
            </w:r>
          </w:p>
        </w:tc>
        <w:tc>
          <w:tcPr>
            <w:tcW w:w="4507" w:type="dxa"/>
            <w:noWrap w:val="0"/>
            <w:vAlign w:val="center"/>
          </w:tcPr>
          <w:p>
            <w:pPr>
              <w:overflowPunct w:val="0"/>
              <w:spacing w:line="260" w:lineRule="exact"/>
              <w:textAlignment w:val="center"/>
              <w:rPr>
                <w:rFonts w:hint="default" w:eastAsia="方正仿宋_GBK"/>
                <w:color w:val="auto"/>
                <w:sz w:val="21"/>
                <w:szCs w:val="21"/>
                <w:highlight w:val="none"/>
                <w:lang w:val="en-US" w:eastAsia="zh-CN"/>
              </w:rPr>
            </w:pPr>
            <w:r>
              <w:rPr>
                <w:rFonts w:hint="eastAsia" w:cs="方正仿宋_GB2312"/>
                <w:color w:val="auto"/>
                <w:sz w:val="21"/>
                <w:szCs w:val="21"/>
                <w:highlight w:val="none"/>
                <w:lang w:val="en-US" w:eastAsia="zh-CN" w:bidi="ar"/>
              </w:rPr>
              <w:t>整治石壕镇皂泥村皂泥水源工程、万龙村李公坝水源工程；整治三角镇后坝村沱丘水源工程、望石村大淌山水源工程、石盘村芹菜沟水源工程；整治篆塘镇民丰村竹林湾水源工程，共6处。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8"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2</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水厂提升行动</w:t>
            </w:r>
          </w:p>
        </w:tc>
        <w:tc>
          <w:tcPr>
            <w:tcW w:w="3255"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val="en-US" w:eastAsia="zh-CN" w:bidi="ar"/>
              </w:rPr>
              <w:t>扩建横山镇堰坝塘水厂、永新镇永新场镇水厂、郭扶镇高青场镇水厂、郭扶镇高庙龙泉水厂</w:t>
            </w:r>
            <w:r>
              <w:rPr>
                <w:rFonts w:hint="eastAsia" w:cs="方正仿宋_GB2312"/>
                <w:color w:val="auto"/>
                <w:sz w:val="21"/>
                <w:szCs w:val="21"/>
                <w:highlight w:val="none"/>
                <w:lang w:bidi="ar"/>
              </w:rPr>
              <w:t>，共计</w:t>
            </w:r>
            <w:r>
              <w:rPr>
                <w:rFonts w:hint="eastAsia"/>
                <w:color w:val="auto"/>
                <w:sz w:val="21"/>
                <w:szCs w:val="21"/>
                <w:highlight w:val="none"/>
                <w:lang w:val="en-US" w:eastAsia="zh-CN" w:bidi="ar"/>
              </w:rPr>
              <w:t>4</w:t>
            </w:r>
            <w:r>
              <w:rPr>
                <w:rFonts w:hint="eastAsia" w:cs="方正仿宋_GB2312"/>
                <w:color w:val="auto"/>
                <w:sz w:val="21"/>
                <w:szCs w:val="21"/>
                <w:highlight w:val="none"/>
                <w:lang w:bidi="ar"/>
              </w:rPr>
              <w:t>座。</w:t>
            </w:r>
          </w:p>
        </w:tc>
        <w:tc>
          <w:tcPr>
            <w:tcW w:w="3527" w:type="dxa"/>
            <w:noWrap w:val="0"/>
            <w:vAlign w:val="center"/>
          </w:tcPr>
          <w:p>
            <w:pPr>
              <w:overflowPunct w:val="0"/>
              <w:spacing w:line="260" w:lineRule="exact"/>
              <w:textAlignment w:val="center"/>
              <w:rPr>
                <w:rFonts w:hint="default" w:eastAsia="方正仿宋_GBK"/>
                <w:color w:val="auto"/>
                <w:sz w:val="21"/>
                <w:szCs w:val="21"/>
                <w:highlight w:val="none"/>
                <w:lang w:val="en-US" w:eastAsia="zh-CN"/>
              </w:rPr>
            </w:pPr>
            <w:r>
              <w:rPr>
                <w:rFonts w:hint="eastAsia" w:cs="方正仿宋_GB2312"/>
                <w:color w:val="auto"/>
                <w:sz w:val="21"/>
                <w:szCs w:val="21"/>
                <w:highlight w:val="none"/>
                <w:lang w:val="en-US" w:eastAsia="zh-CN" w:bidi="ar"/>
              </w:rPr>
              <w:t>扩建永新镇八景片区水厂、三江街道照贵水厂、三角镇乐升坪水厂；新建永新镇紫荆场镇水厂、永新镇罗家场镇水厂、永新镇三溪水厂、中峰镇中峰场镇水厂，丁山镇丁山场镇水厂、</w:t>
            </w:r>
            <w:r>
              <w:rPr>
                <w:rFonts w:hint="eastAsia" w:cs="方正仿宋_GB2312"/>
                <w:color w:val="auto"/>
                <w:sz w:val="21"/>
                <w:szCs w:val="21"/>
                <w:highlight w:val="none"/>
                <w:lang w:bidi="ar"/>
              </w:rPr>
              <w:t>共计</w:t>
            </w:r>
            <w:r>
              <w:rPr>
                <w:rFonts w:hint="eastAsia"/>
                <w:color w:val="auto"/>
                <w:sz w:val="21"/>
                <w:szCs w:val="21"/>
                <w:highlight w:val="none"/>
                <w:lang w:val="en-US" w:eastAsia="zh-CN" w:bidi="ar"/>
              </w:rPr>
              <w:t>8</w:t>
            </w:r>
            <w:r>
              <w:rPr>
                <w:rFonts w:hint="eastAsia" w:cs="方正仿宋_GB2312"/>
                <w:color w:val="auto"/>
                <w:sz w:val="21"/>
                <w:szCs w:val="21"/>
                <w:highlight w:val="none"/>
                <w:lang w:bidi="ar"/>
              </w:rPr>
              <w:t>座。</w:t>
            </w:r>
          </w:p>
        </w:tc>
        <w:tc>
          <w:tcPr>
            <w:tcW w:w="450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val="en-US" w:eastAsia="zh-CN" w:bidi="ar"/>
              </w:rPr>
              <w:t>扩建打通镇打通水厂、打通镇大罗水厂；</w:t>
            </w:r>
            <w:r>
              <w:rPr>
                <w:rFonts w:hint="eastAsia" w:cs="方正仿宋_GB2312"/>
                <w:color w:val="auto"/>
                <w:sz w:val="21"/>
                <w:szCs w:val="21"/>
                <w:highlight w:val="none"/>
                <w:lang w:bidi="ar"/>
              </w:rPr>
              <w:t>新建</w:t>
            </w:r>
            <w:r>
              <w:rPr>
                <w:rFonts w:hint="eastAsia" w:cs="方正仿宋_GB2312"/>
                <w:color w:val="auto"/>
                <w:sz w:val="21"/>
                <w:szCs w:val="21"/>
                <w:highlight w:val="none"/>
                <w:lang w:val="en-US" w:eastAsia="zh-CN" w:bidi="ar"/>
              </w:rPr>
              <w:t>东溪镇新民水厂、郭扶镇梅子桥水厂、石壕镇响水水厂</w:t>
            </w:r>
            <w:r>
              <w:rPr>
                <w:rFonts w:hint="eastAsia" w:cs="方正仿宋_GB2312"/>
                <w:color w:val="auto"/>
                <w:sz w:val="21"/>
                <w:szCs w:val="21"/>
                <w:highlight w:val="none"/>
                <w:lang w:bidi="ar"/>
              </w:rPr>
              <w:t>，共计</w:t>
            </w:r>
            <w:r>
              <w:rPr>
                <w:rFonts w:hint="eastAsia"/>
                <w:color w:val="auto"/>
                <w:sz w:val="21"/>
                <w:szCs w:val="21"/>
                <w:highlight w:val="none"/>
                <w:lang w:val="en-US" w:eastAsia="zh-CN" w:bidi="ar"/>
              </w:rPr>
              <w:t>5</w:t>
            </w:r>
            <w:r>
              <w:rPr>
                <w:rFonts w:hint="eastAsia" w:cs="方正仿宋_GB2312"/>
                <w:color w:val="auto"/>
                <w:sz w:val="21"/>
                <w:szCs w:val="21"/>
                <w:highlight w:val="none"/>
                <w:lang w:bidi="ar"/>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3</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管网提升行动</w:t>
            </w:r>
          </w:p>
        </w:tc>
        <w:tc>
          <w:tcPr>
            <w:tcW w:w="3255"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建设输水管道</w:t>
            </w:r>
            <w:r>
              <w:rPr>
                <w:rFonts w:hint="eastAsia"/>
                <w:color w:val="auto"/>
                <w:sz w:val="21"/>
                <w:szCs w:val="21"/>
                <w:highlight w:val="none"/>
                <w:lang w:val="en-US" w:eastAsia="zh-CN" w:bidi="ar"/>
              </w:rPr>
              <w:t>17.42</w:t>
            </w:r>
            <w:r>
              <w:rPr>
                <w:rFonts w:hint="eastAsia"/>
                <w:color w:val="auto"/>
                <w:sz w:val="21"/>
                <w:szCs w:val="21"/>
                <w:highlight w:val="none"/>
                <w:lang w:eastAsia="zh-CN" w:bidi="ar"/>
              </w:rPr>
              <w:t>公里</w:t>
            </w:r>
            <w:r>
              <w:rPr>
                <w:rFonts w:hint="eastAsia" w:cs="方正仿宋_GB2312"/>
                <w:color w:val="auto"/>
                <w:sz w:val="21"/>
                <w:szCs w:val="21"/>
                <w:highlight w:val="none"/>
                <w:lang w:bidi="ar"/>
              </w:rPr>
              <w:t>、配水管道</w:t>
            </w:r>
            <w:r>
              <w:rPr>
                <w:rFonts w:hint="eastAsia"/>
                <w:color w:val="auto"/>
                <w:sz w:val="21"/>
                <w:szCs w:val="21"/>
                <w:highlight w:val="none"/>
                <w:lang w:val="en-US" w:eastAsia="zh-CN" w:bidi="ar"/>
              </w:rPr>
              <w:t>264.35</w:t>
            </w:r>
            <w:r>
              <w:rPr>
                <w:rFonts w:hint="eastAsia"/>
                <w:color w:val="auto"/>
                <w:sz w:val="21"/>
                <w:szCs w:val="21"/>
                <w:highlight w:val="none"/>
                <w:lang w:eastAsia="zh-CN" w:bidi="ar"/>
              </w:rPr>
              <w:t>公里</w:t>
            </w:r>
            <w:r>
              <w:rPr>
                <w:rFonts w:hint="eastAsia" w:cs="方正仿宋_GB2312"/>
                <w:color w:val="auto"/>
                <w:sz w:val="21"/>
                <w:szCs w:val="21"/>
                <w:highlight w:val="none"/>
                <w:lang w:bidi="ar"/>
              </w:rPr>
              <w:t>。</w:t>
            </w:r>
          </w:p>
        </w:tc>
        <w:tc>
          <w:tcPr>
            <w:tcW w:w="352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建设输水管道</w:t>
            </w:r>
            <w:r>
              <w:rPr>
                <w:rFonts w:hint="eastAsia"/>
                <w:color w:val="auto"/>
                <w:sz w:val="21"/>
                <w:szCs w:val="21"/>
                <w:highlight w:val="none"/>
                <w:lang w:val="en-US" w:eastAsia="zh-CN" w:bidi="ar"/>
              </w:rPr>
              <w:t>82.15</w:t>
            </w:r>
            <w:r>
              <w:rPr>
                <w:rFonts w:hint="eastAsia"/>
                <w:color w:val="auto"/>
                <w:sz w:val="21"/>
                <w:szCs w:val="21"/>
                <w:highlight w:val="none"/>
                <w:lang w:eastAsia="zh-CN" w:bidi="ar"/>
              </w:rPr>
              <w:t>公里</w:t>
            </w:r>
            <w:r>
              <w:rPr>
                <w:rFonts w:hint="eastAsia" w:cs="方正仿宋_GB2312"/>
                <w:color w:val="auto"/>
                <w:sz w:val="21"/>
                <w:szCs w:val="21"/>
                <w:highlight w:val="none"/>
                <w:lang w:bidi="ar"/>
              </w:rPr>
              <w:t>、配水管道</w:t>
            </w:r>
            <w:r>
              <w:rPr>
                <w:rFonts w:hint="eastAsia"/>
                <w:color w:val="auto"/>
                <w:sz w:val="21"/>
                <w:szCs w:val="21"/>
                <w:highlight w:val="none"/>
                <w:lang w:val="en-US" w:eastAsia="zh-CN" w:bidi="ar"/>
              </w:rPr>
              <w:t>1014.42</w:t>
            </w:r>
            <w:r>
              <w:rPr>
                <w:rFonts w:hint="eastAsia"/>
                <w:color w:val="auto"/>
                <w:sz w:val="21"/>
                <w:szCs w:val="21"/>
                <w:highlight w:val="none"/>
                <w:lang w:eastAsia="zh-CN" w:bidi="ar"/>
              </w:rPr>
              <w:t>公里</w:t>
            </w:r>
            <w:r>
              <w:rPr>
                <w:rFonts w:hint="eastAsia" w:cs="方正仿宋_GB2312"/>
                <w:color w:val="auto"/>
                <w:sz w:val="21"/>
                <w:szCs w:val="21"/>
                <w:highlight w:val="none"/>
                <w:lang w:bidi="ar"/>
              </w:rPr>
              <w:t>。</w:t>
            </w:r>
          </w:p>
        </w:tc>
        <w:tc>
          <w:tcPr>
            <w:tcW w:w="450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建设输水管网</w:t>
            </w:r>
            <w:r>
              <w:rPr>
                <w:rFonts w:hint="eastAsia"/>
                <w:color w:val="auto"/>
                <w:sz w:val="21"/>
                <w:szCs w:val="21"/>
                <w:highlight w:val="none"/>
                <w:lang w:val="en-US" w:eastAsia="zh-CN" w:bidi="ar"/>
              </w:rPr>
              <w:t>62.27</w:t>
            </w:r>
            <w:r>
              <w:rPr>
                <w:rFonts w:hint="eastAsia"/>
                <w:color w:val="auto"/>
                <w:sz w:val="21"/>
                <w:szCs w:val="21"/>
                <w:highlight w:val="none"/>
                <w:lang w:eastAsia="zh-CN" w:bidi="ar"/>
              </w:rPr>
              <w:t>公里</w:t>
            </w:r>
            <w:r>
              <w:rPr>
                <w:rFonts w:hint="eastAsia" w:cs="方正仿宋_GB2312"/>
                <w:color w:val="auto"/>
                <w:sz w:val="21"/>
                <w:szCs w:val="21"/>
                <w:highlight w:val="none"/>
                <w:lang w:bidi="ar"/>
              </w:rPr>
              <w:t>、配水管网</w:t>
            </w:r>
            <w:r>
              <w:rPr>
                <w:rFonts w:hint="eastAsia"/>
                <w:color w:val="auto"/>
                <w:sz w:val="21"/>
                <w:szCs w:val="21"/>
                <w:highlight w:val="none"/>
                <w:lang w:val="en-US" w:eastAsia="zh-CN" w:bidi="ar"/>
              </w:rPr>
              <w:t>596.39</w:t>
            </w:r>
            <w:r>
              <w:rPr>
                <w:rFonts w:hint="eastAsia"/>
                <w:color w:val="auto"/>
                <w:sz w:val="21"/>
                <w:szCs w:val="21"/>
                <w:highlight w:val="none"/>
                <w:lang w:eastAsia="zh-CN" w:bidi="ar"/>
              </w:rPr>
              <w:t>公里</w:t>
            </w:r>
            <w:r>
              <w:rPr>
                <w:rFonts w:hint="eastAsia" w:cs="方正仿宋_GB2312"/>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4"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4</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水质提升行动</w:t>
            </w:r>
          </w:p>
        </w:tc>
        <w:tc>
          <w:tcPr>
            <w:tcW w:w="3255"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配套完善集中供水工程净化设施</w:t>
            </w:r>
            <w:r>
              <w:rPr>
                <w:rFonts w:hint="eastAsia"/>
                <w:color w:val="auto"/>
                <w:sz w:val="21"/>
                <w:szCs w:val="21"/>
                <w:highlight w:val="none"/>
                <w:lang w:val="en-US" w:eastAsia="zh-CN" w:bidi="ar"/>
              </w:rPr>
              <w:t>4</w:t>
            </w:r>
            <w:r>
              <w:rPr>
                <w:rFonts w:hint="eastAsia" w:cs="方正仿宋_GB2312"/>
                <w:color w:val="auto"/>
                <w:sz w:val="21"/>
                <w:szCs w:val="21"/>
                <w:highlight w:val="none"/>
                <w:lang w:bidi="ar"/>
              </w:rPr>
              <w:t>套、消毒设备</w:t>
            </w:r>
            <w:r>
              <w:rPr>
                <w:rFonts w:hint="eastAsia"/>
                <w:color w:val="auto"/>
                <w:sz w:val="21"/>
                <w:szCs w:val="21"/>
                <w:highlight w:val="none"/>
                <w:lang w:val="en-US" w:eastAsia="zh-CN" w:bidi="ar"/>
              </w:rPr>
              <w:t>4</w:t>
            </w:r>
            <w:r>
              <w:rPr>
                <w:rFonts w:hint="eastAsia" w:cs="方正仿宋_GB2312"/>
                <w:color w:val="auto"/>
                <w:sz w:val="21"/>
                <w:szCs w:val="21"/>
                <w:highlight w:val="none"/>
                <w:lang w:bidi="ar"/>
              </w:rPr>
              <w:t>套。</w:t>
            </w:r>
          </w:p>
        </w:tc>
        <w:tc>
          <w:tcPr>
            <w:tcW w:w="352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配套完善集中供水工程净化设施</w:t>
            </w:r>
            <w:r>
              <w:rPr>
                <w:rFonts w:hint="eastAsia"/>
                <w:color w:val="auto"/>
                <w:sz w:val="21"/>
                <w:szCs w:val="21"/>
                <w:highlight w:val="none"/>
                <w:lang w:val="en-US" w:eastAsia="zh-CN" w:bidi="ar"/>
              </w:rPr>
              <w:t>7</w:t>
            </w:r>
            <w:r>
              <w:rPr>
                <w:rFonts w:hint="eastAsia" w:cs="方正仿宋_GB2312"/>
                <w:color w:val="auto"/>
                <w:sz w:val="21"/>
                <w:szCs w:val="21"/>
                <w:highlight w:val="none"/>
                <w:lang w:bidi="ar"/>
              </w:rPr>
              <w:t>套、消毒设备</w:t>
            </w:r>
            <w:r>
              <w:rPr>
                <w:rFonts w:hint="eastAsia"/>
                <w:color w:val="auto"/>
                <w:sz w:val="21"/>
                <w:szCs w:val="21"/>
                <w:highlight w:val="none"/>
                <w:lang w:val="en-US" w:eastAsia="zh-CN" w:bidi="ar"/>
              </w:rPr>
              <w:t>7</w:t>
            </w:r>
            <w:r>
              <w:rPr>
                <w:rFonts w:hint="eastAsia" w:cs="方正仿宋_GB2312"/>
                <w:color w:val="auto"/>
                <w:sz w:val="21"/>
                <w:szCs w:val="21"/>
                <w:highlight w:val="none"/>
                <w:lang w:bidi="ar"/>
              </w:rPr>
              <w:t>套。</w:t>
            </w:r>
          </w:p>
        </w:tc>
        <w:tc>
          <w:tcPr>
            <w:tcW w:w="450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划定集中式饮用水水源保护区</w:t>
            </w:r>
            <w:r>
              <w:rPr>
                <w:rFonts w:hint="eastAsia"/>
                <w:color w:val="auto"/>
                <w:sz w:val="21"/>
                <w:szCs w:val="21"/>
                <w:highlight w:val="none"/>
                <w:lang w:val="en-US" w:eastAsia="zh-CN" w:bidi="ar"/>
              </w:rPr>
              <w:t>2</w:t>
            </w:r>
            <w:r>
              <w:rPr>
                <w:rFonts w:hint="eastAsia" w:cs="方正仿宋_GB2312"/>
                <w:color w:val="auto"/>
                <w:sz w:val="21"/>
                <w:szCs w:val="21"/>
                <w:highlight w:val="none"/>
                <w:lang w:bidi="ar"/>
              </w:rPr>
              <w:t>处，配套完善集中供水工程净化设施</w:t>
            </w:r>
            <w:r>
              <w:rPr>
                <w:rFonts w:hint="eastAsia"/>
                <w:color w:val="auto"/>
                <w:sz w:val="21"/>
                <w:szCs w:val="21"/>
                <w:highlight w:val="none"/>
                <w:lang w:val="en-US" w:eastAsia="zh-CN" w:bidi="ar"/>
              </w:rPr>
              <w:t>6</w:t>
            </w:r>
            <w:r>
              <w:rPr>
                <w:rFonts w:hint="eastAsia" w:cs="方正仿宋_GB2312"/>
                <w:color w:val="auto"/>
                <w:sz w:val="21"/>
                <w:szCs w:val="21"/>
                <w:highlight w:val="none"/>
                <w:lang w:bidi="ar"/>
              </w:rPr>
              <w:t>套、消毒设备</w:t>
            </w:r>
            <w:r>
              <w:rPr>
                <w:rFonts w:hint="eastAsia"/>
                <w:color w:val="auto"/>
                <w:sz w:val="21"/>
                <w:szCs w:val="21"/>
                <w:highlight w:val="none"/>
                <w:lang w:val="en-US" w:eastAsia="zh-CN" w:bidi="ar"/>
              </w:rPr>
              <w:t>6</w:t>
            </w:r>
            <w:r>
              <w:rPr>
                <w:rFonts w:hint="eastAsia" w:cs="方正仿宋_GB2312"/>
                <w:color w:val="auto"/>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5</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数字能力提升行动</w:t>
            </w:r>
          </w:p>
        </w:tc>
        <w:tc>
          <w:tcPr>
            <w:tcW w:w="3255"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val="en-US" w:eastAsia="zh-CN" w:bidi="ar"/>
              </w:rPr>
              <w:t>完成堰坝塘水厂、桐桠村水厂、白云片区水厂、高庙龙泉水厂、永新场镇水厂、高青场镇水厂</w:t>
            </w:r>
            <w:r>
              <w:rPr>
                <w:rFonts w:hint="eastAsia" w:cs="方正仿宋_GB2312"/>
                <w:color w:val="auto"/>
                <w:sz w:val="21"/>
                <w:szCs w:val="21"/>
                <w:highlight w:val="none"/>
                <w:lang w:bidi="ar"/>
              </w:rPr>
              <w:t>，共</w:t>
            </w:r>
            <w:r>
              <w:rPr>
                <w:rFonts w:hint="eastAsia"/>
                <w:color w:val="auto"/>
                <w:sz w:val="21"/>
                <w:szCs w:val="21"/>
                <w:highlight w:val="none"/>
                <w:lang w:val="en-US" w:eastAsia="zh-CN" w:bidi="ar"/>
              </w:rPr>
              <w:t>6</w:t>
            </w:r>
            <w:r>
              <w:rPr>
                <w:rFonts w:hint="eastAsia" w:cs="方正仿宋_GB2312"/>
                <w:color w:val="auto"/>
                <w:sz w:val="21"/>
                <w:szCs w:val="21"/>
                <w:highlight w:val="none"/>
                <w:lang w:bidi="ar"/>
              </w:rPr>
              <w:t>处水厂配置在线监测设备。</w:t>
            </w:r>
          </w:p>
        </w:tc>
        <w:tc>
          <w:tcPr>
            <w:tcW w:w="352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完成</w:t>
            </w:r>
            <w:r>
              <w:rPr>
                <w:rFonts w:hint="eastAsia" w:cs="方正仿宋_GB2312"/>
                <w:color w:val="auto"/>
                <w:sz w:val="21"/>
                <w:szCs w:val="21"/>
                <w:highlight w:val="none"/>
                <w:lang w:val="en-US" w:eastAsia="zh-CN" w:bidi="ar"/>
              </w:rPr>
              <w:t>福禄水厂、照贵水厂、乐升坪水厂、紫荆场镇水厂、罗家场镇水厂、三溪水厂、八景片区水厂、中峰场镇水厂，丁山场镇水厂</w:t>
            </w:r>
            <w:r>
              <w:rPr>
                <w:rFonts w:hint="eastAsia" w:cs="方正仿宋_GB2312"/>
                <w:color w:val="auto"/>
                <w:sz w:val="21"/>
                <w:szCs w:val="21"/>
                <w:highlight w:val="none"/>
                <w:lang w:bidi="ar"/>
              </w:rPr>
              <w:t>共</w:t>
            </w:r>
            <w:r>
              <w:rPr>
                <w:rFonts w:hint="eastAsia"/>
                <w:color w:val="auto"/>
                <w:sz w:val="21"/>
                <w:szCs w:val="21"/>
                <w:highlight w:val="none"/>
                <w:lang w:val="en-US" w:eastAsia="zh-CN" w:bidi="ar"/>
              </w:rPr>
              <w:t>9</w:t>
            </w:r>
            <w:r>
              <w:rPr>
                <w:rFonts w:hint="eastAsia" w:cs="方正仿宋_GB2312"/>
                <w:color w:val="auto"/>
                <w:sz w:val="21"/>
                <w:szCs w:val="21"/>
                <w:highlight w:val="none"/>
                <w:lang w:bidi="ar"/>
              </w:rPr>
              <w:t>处水厂</w:t>
            </w:r>
            <w:r>
              <w:rPr>
                <w:rFonts w:hint="eastAsia" w:cs="方正仿宋_GB2312"/>
                <w:color w:val="auto"/>
                <w:sz w:val="21"/>
                <w:szCs w:val="21"/>
                <w:highlight w:val="none"/>
                <w:lang w:val="en-US" w:eastAsia="zh-CN" w:bidi="ar"/>
              </w:rPr>
              <w:t>,</w:t>
            </w:r>
            <w:r>
              <w:rPr>
                <w:rFonts w:hint="eastAsia" w:cs="方正仿宋_GB2312"/>
                <w:color w:val="auto"/>
                <w:sz w:val="21"/>
                <w:szCs w:val="21"/>
                <w:highlight w:val="none"/>
                <w:lang w:bidi="ar"/>
              </w:rPr>
              <w:t>配置在线监测设备。</w:t>
            </w:r>
          </w:p>
        </w:tc>
        <w:tc>
          <w:tcPr>
            <w:tcW w:w="450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完成</w:t>
            </w:r>
            <w:r>
              <w:rPr>
                <w:rFonts w:hint="eastAsia" w:cs="方正仿宋_GB2312"/>
                <w:color w:val="auto"/>
                <w:sz w:val="21"/>
                <w:szCs w:val="21"/>
                <w:highlight w:val="none"/>
                <w:lang w:val="en-US" w:eastAsia="zh-CN" w:bidi="ar"/>
              </w:rPr>
              <w:t>打通水厂、大罗水厂、新民水厂、梅子桥水厂、响水水厂、新民片区水厂、梨园水厂、万隆场镇水厂、号房水厂、小湾水厂</w:t>
            </w:r>
            <w:r>
              <w:rPr>
                <w:rFonts w:hint="eastAsia" w:cs="方正仿宋_GB2312"/>
                <w:color w:val="auto"/>
                <w:sz w:val="21"/>
                <w:szCs w:val="21"/>
                <w:highlight w:val="none"/>
                <w:lang w:bidi="ar"/>
              </w:rPr>
              <w:t>共</w:t>
            </w:r>
            <w:r>
              <w:rPr>
                <w:rFonts w:hint="eastAsia" w:cs="方正仿宋_GB2312"/>
                <w:color w:val="auto"/>
                <w:sz w:val="21"/>
                <w:szCs w:val="21"/>
                <w:highlight w:val="none"/>
                <w:lang w:val="en-US" w:eastAsia="zh-CN" w:bidi="ar"/>
              </w:rPr>
              <w:t>10</w:t>
            </w:r>
            <w:r>
              <w:rPr>
                <w:rFonts w:hint="eastAsia" w:cs="方正仿宋_GB2312"/>
                <w:color w:val="auto"/>
                <w:sz w:val="21"/>
                <w:szCs w:val="21"/>
                <w:highlight w:val="none"/>
                <w:lang w:bidi="ar"/>
              </w:rPr>
              <w:t>处水厂工程配置在线监测设备。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6</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管理能力提升行动</w:t>
            </w:r>
          </w:p>
        </w:tc>
        <w:tc>
          <w:tcPr>
            <w:tcW w:w="3255"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实现县域统管，新增标准化管理工程</w:t>
            </w:r>
            <w:r>
              <w:rPr>
                <w:rFonts w:hint="eastAsia"/>
                <w:color w:val="auto"/>
                <w:sz w:val="21"/>
                <w:szCs w:val="21"/>
                <w:highlight w:val="none"/>
                <w:lang w:val="en-US" w:eastAsia="zh-CN" w:bidi="ar"/>
              </w:rPr>
              <w:t>4</w:t>
            </w:r>
            <w:r>
              <w:rPr>
                <w:rFonts w:hint="eastAsia" w:cs="方正仿宋_GB2312"/>
                <w:color w:val="auto"/>
                <w:sz w:val="21"/>
                <w:szCs w:val="21"/>
                <w:highlight w:val="none"/>
                <w:lang w:bidi="ar"/>
              </w:rPr>
              <w:t>处。</w:t>
            </w:r>
          </w:p>
        </w:tc>
        <w:tc>
          <w:tcPr>
            <w:tcW w:w="352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新增标准化管理工程</w:t>
            </w:r>
            <w:r>
              <w:rPr>
                <w:rFonts w:hint="eastAsia"/>
                <w:color w:val="auto"/>
                <w:sz w:val="21"/>
                <w:szCs w:val="21"/>
                <w:highlight w:val="none"/>
                <w:lang w:val="en-US" w:eastAsia="zh-CN" w:bidi="ar"/>
              </w:rPr>
              <w:t>7</w:t>
            </w:r>
            <w:r>
              <w:rPr>
                <w:rFonts w:hint="eastAsia" w:cs="方正仿宋_GB2312"/>
                <w:color w:val="auto"/>
                <w:sz w:val="21"/>
                <w:szCs w:val="21"/>
                <w:highlight w:val="none"/>
                <w:lang w:bidi="ar"/>
              </w:rPr>
              <w:t>处。</w:t>
            </w:r>
          </w:p>
        </w:tc>
        <w:tc>
          <w:tcPr>
            <w:tcW w:w="4507" w:type="dxa"/>
            <w:noWrap w:val="0"/>
            <w:vAlign w:val="center"/>
          </w:tcPr>
          <w:p>
            <w:pPr>
              <w:overflowPunct w:val="0"/>
              <w:spacing w:line="260" w:lineRule="exact"/>
              <w:textAlignment w:val="center"/>
              <w:rPr>
                <w:rFonts w:hint="eastAsia"/>
                <w:color w:val="auto"/>
                <w:sz w:val="21"/>
                <w:szCs w:val="21"/>
                <w:highlight w:val="none"/>
              </w:rPr>
            </w:pPr>
            <w:r>
              <w:rPr>
                <w:rFonts w:hint="eastAsia" w:cs="方正仿宋_GB2312"/>
                <w:color w:val="auto"/>
                <w:sz w:val="21"/>
                <w:szCs w:val="21"/>
                <w:highlight w:val="none"/>
                <w:lang w:bidi="ar"/>
              </w:rPr>
              <w:t>新增标准化管理工程</w:t>
            </w:r>
            <w:r>
              <w:rPr>
                <w:rFonts w:hint="eastAsia"/>
                <w:color w:val="auto"/>
                <w:sz w:val="21"/>
                <w:szCs w:val="21"/>
                <w:highlight w:val="none"/>
                <w:lang w:val="en-US" w:eastAsia="zh-CN" w:bidi="ar"/>
              </w:rPr>
              <w:t>6</w:t>
            </w:r>
            <w:r>
              <w:rPr>
                <w:rFonts w:hint="eastAsia" w:cs="方正仿宋_GB2312"/>
                <w:color w:val="auto"/>
                <w:sz w:val="21"/>
                <w:szCs w:val="21"/>
                <w:highlight w:val="none"/>
                <w:lang w:bidi="ar"/>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exact"/>
        </w:trPr>
        <w:tc>
          <w:tcPr>
            <w:tcW w:w="644" w:type="dxa"/>
            <w:noWrap/>
            <w:vAlign w:val="center"/>
          </w:tcPr>
          <w:p>
            <w:pPr>
              <w:overflowPunct w:val="0"/>
              <w:spacing w:line="260" w:lineRule="exact"/>
              <w:jc w:val="center"/>
              <w:textAlignment w:val="center"/>
              <w:rPr>
                <w:rFonts w:hint="eastAsia"/>
                <w:color w:val="auto"/>
                <w:sz w:val="21"/>
                <w:szCs w:val="21"/>
                <w:highlight w:val="none"/>
              </w:rPr>
            </w:pPr>
            <w:r>
              <w:rPr>
                <w:rFonts w:hint="eastAsia"/>
                <w:color w:val="auto"/>
                <w:sz w:val="21"/>
                <w:szCs w:val="21"/>
                <w:highlight w:val="none"/>
                <w:lang w:bidi="ar"/>
              </w:rPr>
              <w:t>7</w:t>
            </w:r>
          </w:p>
        </w:tc>
        <w:tc>
          <w:tcPr>
            <w:tcW w:w="1043" w:type="dxa"/>
            <w:noWrap w:val="0"/>
            <w:vAlign w:val="center"/>
          </w:tcPr>
          <w:p>
            <w:pPr>
              <w:overflowPunct w:val="0"/>
              <w:spacing w:line="260" w:lineRule="exact"/>
              <w:jc w:val="center"/>
              <w:textAlignment w:val="center"/>
              <w:rPr>
                <w:rFonts w:hint="eastAsia"/>
                <w:color w:val="auto"/>
                <w:sz w:val="21"/>
                <w:szCs w:val="21"/>
                <w:highlight w:val="none"/>
              </w:rPr>
            </w:pPr>
            <w:r>
              <w:rPr>
                <w:rFonts w:hint="eastAsia" w:cs="方正仿宋_GB2312"/>
                <w:color w:val="auto"/>
                <w:sz w:val="21"/>
                <w:szCs w:val="21"/>
                <w:highlight w:val="none"/>
                <w:lang w:bidi="ar"/>
              </w:rPr>
              <w:t>应急能力提升行动</w:t>
            </w:r>
          </w:p>
        </w:tc>
        <w:tc>
          <w:tcPr>
            <w:tcW w:w="3255" w:type="dxa"/>
            <w:noWrap w:val="0"/>
            <w:vAlign w:val="center"/>
          </w:tcPr>
          <w:p>
            <w:pPr>
              <w:overflowPunct w:val="0"/>
              <w:spacing w:line="260" w:lineRule="exact"/>
              <w:textAlignment w:val="center"/>
              <w:rPr>
                <w:rFonts w:hint="eastAsia"/>
                <w:color w:val="auto"/>
                <w:spacing w:val="-10"/>
                <w:sz w:val="21"/>
                <w:szCs w:val="21"/>
                <w:highlight w:val="none"/>
              </w:rPr>
            </w:pPr>
            <w:r>
              <w:rPr>
                <w:rFonts w:hint="eastAsia"/>
                <w:color w:val="auto"/>
                <w:spacing w:val="-10"/>
                <w:sz w:val="21"/>
                <w:szCs w:val="21"/>
                <w:highlight w:val="none"/>
                <w:lang w:val="en-US" w:eastAsia="zh-CN" w:bidi="ar"/>
              </w:rPr>
              <w:t>4</w:t>
            </w:r>
            <w:r>
              <w:rPr>
                <w:rFonts w:hint="eastAsia" w:cs="方正仿宋_GB2312"/>
                <w:color w:val="auto"/>
                <w:spacing w:val="-10"/>
                <w:sz w:val="21"/>
                <w:szCs w:val="21"/>
                <w:highlight w:val="none"/>
                <w:lang w:bidi="ar"/>
              </w:rPr>
              <w:t>处农村供水工程增加应急备用水源。</w:t>
            </w:r>
          </w:p>
        </w:tc>
        <w:tc>
          <w:tcPr>
            <w:tcW w:w="3527" w:type="dxa"/>
            <w:noWrap/>
            <w:vAlign w:val="center"/>
          </w:tcPr>
          <w:p>
            <w:pPr>
              <w:overflowPunct w:val="0"/>
              <w:spacing w:line="260" w:lineRule="exact"/>
              <w:textAlignment w:val="center"/>
              <w:rPr>
                <w:rFonts w:hint="eastAsia"/>
                <w:color w:val="auto"/>
                <w:sz w:val="21"/>
                <w:szCs w:val="21"/>
                <w:highlight w:val="none"/>
              </w:rPr>
            </w:pPr>
            <w:r>
              <w:rPr>
                <w:rFonts w:hint="eastAsia"/>
                <w:color w:val="auto"/>
                <w:sz w:val="21"/>
                <w:szCs w:val="21"/>
                <w:highlight w:val="none"/>
                <w:lang w:val="en-US" w:eastAsia="zh-CN" w:bidi="ar"/>
              </w:rPr>
              <w:t>2</w:t>
            </w:r>
            <w:r>
              <w:rPr>
                <w:rFonts w:hint="eastAsia" w:cs="方正仿宋_GB2312"/>
                <w:color w:val="auto"/>
                <w:sz w:val="21"/>
                <w:szCs w:val="21"/>
                <w:highlight w:val="none"/>
                <w:lang w:bidi="ar"/>
              </w:rPr>
              <w:t>处农村供水工程增加应急备用水源。</w:t>
            </w:r>
          </w:p>
        </w:tc>
        <w:tc>
          <w:tcPr>
            <w:tcW w:w="4507" w:type="dxa"/>
            <w:noWrap w:val="0"/>
            <w:vAlign w:val="center"/>
          </w:tcPr>
          <w:p>
            <w:pPr>
              <w:overflowPunct w:val="0"/>
              <w:spacing w:line="260" w:lineRule="exact"/>
              <w:textAlignment w:val="center"/>
              <w:rPr>
                <w:rFonts w:hint="eastAsia"/>
                <w:color w:val="auto"/>
                <w:sz w:val="21"/>
                <w:szCs w:val="21"/>
                <w:highlight w:val="none"/>
              </w:rPr>
            </w:pPr>
            <w:r>
              <w:rPr>
                <w:rFonts w:hint="eastAsia"/>
                <w:color w:val="auto"/>
                <w:sz w:val="21"/>
                <w:szCs w:val="21"/>
                <w:highlight w:val="none"/>
                <w:lang w:val="en-US" w:eastAsia="zh-CN" w:bidi="ar"/>
              </w:rPr>
              <w:t>4</w:t>
            </w:r>
            <w:r>
              <w:rPr>
                <w:rFonts w:hint="eastAsia" w:cs="方正仿宋_GB2312"/>
                <w:color w:val="auto"/>
                <w:sz w:val="21"/>
                <w:szCs w:val="21"/>
                <w:highlight w:val="none"/>
                <w:lang w:bidi="ar"/>
              </w:rPr>
              <w:t>处农村供水工程增加应急备用水源。</w:t>
            </w:r>
          </w:p>
        </w:tc>
      </w:tr>
    </w:tbl>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pPr>
    </w:p>
    <w:p>
      <w:pPr>
        <w:pStyle w:val="16"/>
        <w:overflowPunct w:val="0"/>
        <w:ind w:firstLine="632" w:firstLineChars="200"/>
        <w:outlineLvl w:val="0"/>
        <w:rPr>
          <w:rFonts w:hint="eastAsia"/>
          <w:color w:val="auto"/>
          <w:highlight w:val="none"/>
        </w:rPr>
        <w:sectPr>
          <w:pgSz w:w="16838" w:h="11906" w:orient="landscape"/>
          <w:pgMar w:top="1588" w:right="2098" w:bottom="1474" w:left="1985" w:header="851" w:footer="1474" w:gutter="0"/>
          <w:pgNumType w:fmt="decimal"/>
          <w:cols w:space="720" w:num="1"/>
          <w:docGrid w:type="linesAndChars" w:linePitch="579" w:charSpace="-849"/>
        </w:sectPr>
      </w:pPr>
    </w:p>
    <w:p>
      <w:pPr>
        <w:keepNext w:val="0"/>
        <w:keepLines w:val="0"/>
        <w:pageBreakBefore w:val="0"/>
        <w:widowControl w:val="0"/>
        <w:kinsoku/>
        <w:wordWrap/>
        <w:overflowPunct w:val="0"/>
        <w:topLinePunct w:val="0"/>
        <w:autoSpaceDE/>
        <w:autoSpaceDN/>
        <w:bidi w:val="0"/>
        <w:adjustRightInd/>
        <w:spacing w:line="576" w:lineRule="exact"/>
        <w:textAlignment w:val="auto"/>
        <w:rPr>
          <w:rFonts w:hint="default" w:ascii="Times New Roman" w:hAnsi="Times New Roman" w:eastAsia="方正黑体_GBK" w:cs="Times New Roman"/>
          <w:color w:val="auto"/>
          <w:highlight w:val="none"/>
        </w:rPr>
      </w:pPr>
      <w:r>
        <w:rPr>
          <w:rFonts w:hint="default" w:ascii="Times New Roman" w:hAnsi="Times New Roman" w:eastAsia="方正黑体_GBK" w:cs="Times New Roman"/>
          <w:color w:val="auto"/>
          <w:highlight w:val="none"/>
          <w:lang w:bidi="ar"/>
        </w:rPr>
        <w:t>附件4</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p>
    <w:p>
      <w:pPr>
        <w:keepNext w:val="0"/>
        <w:keepLines w:val="0"/>
        <w:pageBreakBefore w:val="0"/>
        <w:widowControl w:val="0"/>
        <w:kinsoku/>
        <w:wordWrap/>
        <w:overflowPunct w:val="0"/>
        <w:topLinePunct w:val="0"/>
        <w:autoSpaceDE/>
        <w:autoSpaceDN/>
        <w:bidi w:val="0"/>
        <w:adjustRightInd/>
        <w:snapToGrid w:val="0"/>
        <w:spacing w:line="576" w:lineRule="exact"/>
        <w:jc w:val="center"/>
        <w:textAlignment w:val="auto"/>
        <w:outlineLvl w:val="1"/>
        <w:rPr>
          <w:rFonts w:hint="eastAsia" w:ascii="方正小标宋_GBK" w:eastAsia="方正小标宋_GBK"/>
          <w:bCs/>
          <w:color w:val="auto"/>
          <w:sz w:val="44"/>
          <w:szCs w:val="44"/>
          <w:highlight w:val="none"/>
        </w:rPr>
      </w:pPr>
      <w:r>
        <w:rPr>
          <w:rFonts w:hint="eastAsia" w:ascii="方正小标宋_GBK" w:eastAsia="方正小标宋_GBK" w:cs="方正小标宋_GBK"/>
          <w:bCs/>
          <w:color w:val="auto"/>
          <w:sz w:val="44"/>
          <w:szCs w:val="44"/>
          <w:highlight w:val="none"/>
          <w:lang w:bidi="ar"/>
        </w:rPr>
        <w:t>名词解释</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1．</w:t>
      </w:r>
      <w:r>
        <w:rPr>
          <w:rFonts w:hint="eastAsia" w:hAnsi="方正仿宋_GBK" w:cs="方正仿宋_GBK"/>
          <w:bCs/>
          <w:color w:val="auto"/>
          <w:highlight w:val="none"/>
          <w:lang w:bidi="ar"/>
        </w:rPr>
        <w:t>城乡供水一体化：</w:t>
      </w:r>
      <w:r>
        <w:rPr>
          <w:rFonts w:hint="eastAsia" w:hAnsi="方正仿宋_GBK" w:cs="方正仿宋_GBK"/>
          <w:color w:val="auto"/>
          <w:highlight w:val="none"/>
          <w:lang w:bidi="ar"/>
        </w:rPr>
        <w:t>根据《村镇供水工程技术规范》（</w:t>
      </w:r>
      <w:r>
        <w:rPr>
          <w:rFonts w:hint="eastAsia"/>
          <w:color w:val="auto"/>
          <w:highlight w:val="none"/>
          <w:lang w:bidi="ar"/>
        </w:rPr>
        <w:t>GB /T43824—2024</w:t>
      </w:r>
      <w:r>
        <w:rPr>
          <w:rFonts w:hint="eastAsia" w:hAnsi="方正仿宋_GBK" w:cs="方正仿宋_GBK"/>
          <w:color w:val="auto"/>
          <w:highlight w:val="none"/>
          <w:lang w:bidi="ar"/>
        </w:rPr>
        <w:t>），城乡供水一体化是指实施城乡供水资源整合，对城市和农村供水实行统一规划、统一建设、统一管理、统一服务，实现城乡供水同标准、同质量、同服务。本方案结合重庆市实际，重庆市城乡供水一体化包含城市水厂、农村规模化水厂、规范化小型供水工程。</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2．</w:t>
      </w:r>
      <w:r>
        <w:rPr>
          <w:rFonts w:hint="eastAsia" w:hAnsi="方正仿宋_GBK" w:cs="方正仿宋_GBK"/>
          <w:bCs/>
          <w:color w:val="auto"/>
          <w:highlight w:val="none"/>
          <w:lang w:bidi="ar"/>
        </w:rPr>
        <w:t>集中供水工程：</w:t>
      </w:r>
      <w:r>
        <w:rPr>
          <w:rFonts w:hint="eastAsia" w:hAnsi="方正仿宋_GBK" w:cs="方正仿宋_GBK"/>
          <w:color w:val="auto"/>
          <w:highlight w:val="none"/>
          <w:lang w:bidi="ar"/>
        </w:rPr>
        <w:t>指从水源集中取水，经净化和消毒后，通过配水管网输送到用户或集中供水点，且设计供水规模大于等于</w:t>
      </w:r>
      <w:r>
        <w:rPr>
          <w:rFonts w:hint="eastAsia"/>
          <w:color w:val="auto"/>
          <w:highlight w:val="none"/>
          <w:lang w:bidi="ar"/>
        </w:rPr>
        <w:t>10m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或设计供水人口大于等于</w:t>
      </w:r>
      <w:r>
        <w:rPr>
          <w:rFonts w:hint="eastAsia"/>
          <w:color w:val="auto"/>
          <w:highlight w:val="none"/>
          <w:lang w:bidi="ar"/>
        </w:rPr>
        <w:t>100</w:t>
      </w:r>
      <w:r>
        <w:rPr>
          <w:rFonts w:hint="eastAsia" w:hAnsi="方正仿宋_GBK" w:cs="方正仿宋_GBK"/>
          <w:color w:val="auto"/>
          <w:highlight w:val="none"/>
          <w:lang w:bidi="ar"/>
        </w:rPr>
        <w:t>人的供水工程，包含规模化水厂、小型集中供水工程。</w:t>
      </w:r>
    </w:p>
    <w:p>
      <w:pPr>
        <w:keepNext w:val="0"/>
        <w:keepLines w:val="0"/>
        <w:pageBreakBefore w:val="0"/>
        <w:widowControl w:val="0"/>
        <w:kinsoku/>
        <w:wordWrap/>
        <w:overflowPunct w:val="0"/>
        <w:topLinePunct w:val="0"/>
        <w:autoSpaceDE/>
        <w:autoSpaceDN/>
        <w:bidi w:val="0"/>
        <w:adjustRightInd/>
        <w:snapToGrid/>
        <w:spacing w:line="576" w:lineRule="exact"/>
        <w:ind w:firstLine="632" w:firstLineChars="200"/>
        <w:textAlignment w:val="auto"/>
        <w:rPr>
          <w:rFonts w:hint="eastAsia"/>
          <w:color w:val="auto"/>
          <w:highlight w:val="none"/>
        </w:rPr>
      </w:pPr>
      <w:r>
        <w:rPr>
          <w:rFonts w:hint="eastAsia"/>
          <w:bCs/>
          <w:color w:val="auto"/>
          <w:highlight w:val="none"/>
          <w:lang w:bidi="ar"/>
        </w:rPr>
        <w:t>3．</w:t>
      </w:r>
      <w:r>
        <w:rPr>
          <w:rFonts w:hint="eastAsia" w:hAnsi="方正仿宋_GBK" w:cs="方正仿宋_GBK"/>
          <w:bCs/>
          <w:color w:val="auto"/>
          <w:highlight w:val="none"/>
          <w:lang w:bidi="ar"/>
        </w:rPr>
        <w:t>规模化水厂：</w:t>
      </w:r>
      <w:r>
        <w:rPr>
          <w:rFonts w:hint="eastAsia" w:hAnsi="方正仿宋_GBK" w:cs="方正仿宋_GBK"/>
          <w:color w:val="auto"/>
          <w:highlight w:val="none"/>
          <w:lang w:bidi="ar"/>
        </w:rPr>
        <w:t>指设计供水规模大于等于</w:t>
      </w:r>
      <w:r>
        <w:rPr>
          <w:rFonts w:hint="eastAsia"/>
          <w:color w:val="auto"/>
          <w:highlight w:val="none"/>
          <w:lang w:bidi="ar"/>
        </w:rPr>
        <w:t>1000m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或者设计供水人口大于等于</w:t>
      </w:r>
      <w:r>
        <w:rPr>
          <w:rFonts w:hint="eastAsia"/>
          <w:color w:val="auto"/>
          <w:highlight w:val="none"/>
          <w:lang w:bidi="ar"/>
        </w:rPr>
        <w:t>1</w:t>
      </w:r>
      <w:r>
        <w:rPr>
          <w:rFonts w:hint="eastAsia" w:hAnsi="方正仿宋_GBK" w:cs="方正仿宋_GBK"/>
          <w:color w:val="auto"/>
          <w:highlight w:val="none"/>
          <w:lang w:bidi="ar"/>
        </w:rPr>
        <w:t>万人的集中供水工程。</w:t>
      </w:r>
    </w:p>
    <w:p>
      <w:pPr>
        <w:keepNext w:val="0"/>
        <w:keepLines w:val="0"/>
        <w:pageBreakBefore w:val="0"/>
        <w:widowControl w:val="0"/>
        <w:kinsoku/>
        <w:wordWrap/>
        <w:overflowPunct w:val="0"/>
        <w:topLinePunct w:val="0"/>
        <w:autoSpaceDE/>
        <w:autoSpaceDN/>
        <w:bidi w:val="0"/>
        <w:adjustRightInd/>
        <w:snapToGrid/>
        <w:spacing w:line="576" w:lineRule="exact"/>
        <w:ind w:firstLine="632" w:firstLineChars="200"/>
        <w:textAlignment w:val="auto"/>
        <w:rPr>
          <w:rFonts w:hint="eastAsia"/>
          <w:color w:val="auto"/>
          <w:highlight w:val="none"/>
        </w:rPr>
      </w:pPr>
      <w:r>
        <w:rPr>
          <w:rFonts w:hint="eastAsia"/>
          <w:bCs/>
          <w:color w:val="auto"/>
          <w:highlight w:val="none"/>
          <w:lang w:bidi="ar"/>
        </w:rPr>
        <w:t>4．</w:t>
      </w:r>
      <w:r>
        <w:rPr>
          <w:rFonts w:hint="eastAsia" w:hAnsi="方正仿宋_GBK" w:cs="方正仿宋_GBK"/>
          <w:bCs/>
          <w:color w:val="auto"/>
          <w:highlight w:val="none"/>
          <w:lang w:bidi="ar"/>
        </w:rPr>
        <w:t>小型集中供水工程：</w:t>
      </w:r>
      <w:r>
        <w:rPr>
          <w:rFonts w:hint="eastAsia" w:hAnsi="方正仿宋_GBK" w:cs="方正仿宋_GBK"/>
          <w:color w:val="auto"/>
          <w:highlight w:val="none"/>
          <w:lang w:bidi="ar"/>
        </w:rPr>
        <w:t>包括千人供水工程、百人供水工程。千人供水工程指设计供水规模大于</w:t>
      </w:r>
      <w:r>
        <w:rPr>
          <w:rFonts w:hint="eastAsia"/>
          <w:color w:val="auto"/>
          <w:highlight w:val="none"/>
          <w:lang w:bidi="ar"/>
        </w:rPr>
        <w:t>100m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且小于</w:t>
      </w:r>
      <w:r>
        <w:rPr>
          <w:rFonts w:hint="eastAsia"/>
          <w:color w:val="auto"/>
          <w:highlight w:val="none"/>
          <w:lang w:bidi="ar"/>
        </w:rPr>
        <w:t>1000m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或者设计供水人口超过</w:t>
      </w:r>
      <w:r>
        <w:rPr>
          <w:rFonts w:hint="eastAsia"/>
          <w:color w:val="auto"/>
          <w:highlight w:val="none"/>
          <w:lang w:bidi="ar"/>
        </w:rPr>
        <w:t>1000</w:t>
      </w:r>
      <w:r>
        <w:rPr>
          <w:rFonts w:hint="eastAsia" w:hAnsi="方正仿宋_GBK" w:cs="方正仿宋_GBK"/>
          <w:color w:val="auto"/>
          <w:highlight w:val="none"/>
          <w:lang w:bidi="ar"/>
        </w:rPr>
        <w:t>人且小于</w:t>
      </w:r>
      <w:r>
        <w:rPr>
          <w:rFonts w:hint="eastAsia"/>
          <w:color w:val="auto"/>
          <w:highlight w:val="none"/>
          <w:lang w:bidi="ar"/>
        </w:rPr>
        <w:t>1</w:t>
      </w:r>
      <w:r>
        <w:rPr>
          <w:rFonts w:hint="eastAsia" w:hAnsi="方正仿宋_GBK" w:cs="方正仿宋_GBK"/>
          <w:color w:val="auto"/>
          <w:highlight w:val="none"/>
          <w:lang w:bidi="ar"/>
        </w:rPr>
        <w:t>万人的农村集中供水工程，百人供水工程指设计供水规模大于</w:t>
      </w:r>
      <w:r>
        <w:rPr>
          <w:rFonts w:hint="eastAsia"/>
          <w:color w:val="auto"/>
          <w:highlight w:val="none"/>
          <w:lang w:bidi="ar"/>
        </w:rPr>
        <w:t>10m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且小于</w:t>
      </w:r>
      <w:r>
        <w:rPr>
          <w:rFonts w:hint="eastAsia"/>
          <w:color w:val="auto"/>
          <w:highlight w:val="none"/>
          <w:lang w:bidi="ar"/>
        </w:rPr>
        <w:t>100m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或设计供水人口超过</w:t>
      </w:r>
      <w:r>
        <w:rPr>
          <w:rFonts w:hint="eastAsia"/>
          <w:color w:val="auto"/>
          <w:highlight w:val="none"/>
          <w:lang w:bidi="ar"/>
        </w:rPr>
        <w:t>100</w:t>
      </w:r>
      <w:r>
        <w:rPr>
          <w:rFonts w:hint="eastAsia" w:hAnsi="方正仿宋_GBK" w:cs="方正仿宋_GBK"/>
          <w:color w:val="auto"/>
          <w:highlight w:val="none"/>
          <w:lang w:bidi="ar"/>
        </w:rPr>
        <w:t>人且小于</w:t>
      </w:r>
      <w:r>
        <w:rPr>
          <w:rFonts w:hint="eastAsia"/>
          <w:color w:val="auto"/>
          <w:highlight w:val="none"/>
          <w:lang w:bidi="ar"/>
        </w:rPr>
        <w:t>1000</w:t>
      </w:r>
      <w:r>
        <w:rPr>
          <w:rFonts w:hint="eastAsia" w:hAnsi="方正仿宋_GBK" w:cs="方正仿宋_GBK"/>
          <w:color w:val="auto"/>
          <w:highlight w:val="none"/>
          <w:lang w:bidi="ar"/>
        </w:rPr>
        <w:t>人的农村集中供水工程。</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5．</w:t>
      </w:r>
      <w:r>
        <w:rPr>
          <w:rFonts w:hint="eastAsia" w:hAnsi="方正仿宋_GBK" w:cs="方正仿宋_GBK"/>
          <w:bCs/>
          <w:color w:val="auto"/>
          <w:spacing w:val="-2"/>
          <w:highlight w:val="none"/>
          <w:lang w:bidi="ar"/>
        </w:rPr>
        <w:t>规范化小型供水工程：</w:t>
      </w:r>
      <w:r>
        <w:rPr>
          <w:rFonts w:hint="eastAsia" w:hAnsi="方正仿宋_GBK" w:cs="方正仿宋_GBK"/>
          <w:color w:val="auto"/>
          <w:spacing w:val="-2"/>
          <w:highlight w:val="none"/>
          <w:lang w:bidi="ar"/>
        </w:rPr>
        <w:t>符合《小型农村供水规范化提升技</w:t>
      </w:r>
      <w:r>
        <w:rPr>
          <w:rFonts w:hint="eastAsia" w:hAnsi="方正仿宋_GBK" w:cs="方正仿宋_GBK"/>
          <w:color w:val="auto"/>
          <w:highlight w:val="none"/>
          <w:lang w:bidi="ar"/>
        </w:rPr>
        <w:t>术规程》要求的小型集中供水工程。</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6．</w:t>
      </w:r>
      <w:r>
        <w:rPr>
          <w:rFonts w:hint="eastAsia" w:hAnsi="方正仿宋_GBK" w:cs="方正仿宋_GBK"/>
          <w:bCs/>
          <w:color w:val="auto"/>
          <w:spacing w:val="-2"/>
          <w:highlight w:val="none"/>
          <w:lang w:bidi="ar"/>
        </w:rPr>
        <w:t>小型供水工程规范化建设和改造：</w:t>
      </w:r>
      <w:r>
        <w:rPr>
          <w:rFonts w:hint="eastAsia" w:hAnsi="方正仿宋_GBK" w:cs="方正仿宋_GBK"/>
          <w:color w:val="auto"/>
          <w:spacing w:val="-2"/>
          <w:highlight w:val="none"/>
          <w:lang w:bidi="ar"/>
        </w:rPr>
        <w:t>按照国家有关建设标准，</w:t>
      </w:r>
      <w:r>
        <w:rPr>
          <w:rFonts w:hint="eastAsia" w:hAnsi="方正仿宋_GBK" w:cs="方正仿宋_GBK"/>
          <w:color w:val="auto"/>
          <w:highlight w:val="none"/>
          <w:lang w:bidi="ar"/>
        </w:rPr>
        <w:t>以保证供水安全和可靠，提升供水水量和水质保障程度为目标，对现有农村小型供水工程进行工艺改进、构筑物改扩建、主要单元更新和管理能力提升的活动。</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7．</w:t>
      </w:r>
      <w:r>
        <w:rPr>
          <w:rFonts w:hint="eastAsia" w:hAnsi="方正仿宋_GBK" w:cs="方正仿宋_GBK"/>
          <w:bCs/>
          <w:color w:val="auto"/>
          <w:highlight w:val="none"/>
          <w:lang w:bidi="ar"/>
        </w:rPr>
        <w:t>小散工程：</w:t>
      </w:r>
      <w:r>
        <w:rPr>
          <w:rFonts w:hint="eastAsia" w:hAnsi="方正仿宋_GBK" w:cs="方正仿宋_GBK"/>
          <w:color w:val="auto"/>
          <w:highlight w:val="none"/>
          <w:lang w:bidi="ar"/>
        </w:rPr>
        <w:t>指小型集中供水工程和设计供水规模小于</w:t>
      </w:r>
      <w:r>
        <w:rPr>
          <w:rFonts w:hint="eastAsia"/>
          <w:color w:val="auto"/>
          <w:highlight w:val="none"/>
          <w:lang w:bidi="ar"/>
        </w:rPr>
        <w:t>10m</w:t>
      </w:r>
      <w:r>
        <w:rPr>
          <w:rFonts w:hint="eastAsia"/>
          <w:color w:val="auto"/>
          <w:highlight w:val="none"/>
          <w:vertAlign w:val="superscript"/>
          <w:lang w:bidi="ar"/>
        </w:rPr>
        <w:t>3</w:t>
      </w:r>
      <w:r>
        <w:rPr>
          <w:rFonts w:hint="eastAsia"/>
          <w:color w:val="auto"/>
          <w:highlight w:val="none"/>
          <w:lang w:bidi="ar"/>
        </w:rPr>
        <w:t>/d</w:t>
      </w:r>
      <w:r>
        <w:rPr>
          <w:rFonts w:hint="eastAsia" w:hAnsi="方正仿宋_GBK" w:cs="方正仿宋_GBK"/>
          <w:color w:val="auto"/>
          <w:highlight w:val="none"/>
          <w:lang w:bidi="ar"/>
        </w:rPr>
        <w:t>且设计供水人口小于</w:t>
      </w:r>
      <w:r>
        <w:rPr>
          <w:rFonts w:hint="eastAsia"/>
          <w:color w:val="auto"/>
          <w:highlight w:val="none"/>
          <w:lang w:bidi="ar"/>
        </w:rPr>
        <w:t>100</w:t>
      </w:r>
      <w:r>
        <w:rPr>
          <w:rFonts w:hint="eastAsia" w:hAnsi="方正仿宋_GBK" w:cs="方正仿宋_GBK"/>
          <w:color w:val="auto"/>
          <w:highlight w:val="none"/>
          <w:lang w:bidi="ar"/>
        </w:rPr>
        <w:t>人的分散供水工程。</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8．</w:t>
      </w:r>
      <w:r>
        <w:rPr>
          <w:rFonts w:hint="eastAsia" w:hAnsi="方正仿宋_GBK" w:cs="方正仿宋_GBK"/>
          <w:bCs/>
          <w:color w:val="auto"/>
          <w:highlight w:val="none"/>
          <w:lang w:bidi="ar"/>
        </w:rPr>
        <w:t>县域统管：</w:t>
      </w:r>
      <w:r>
        <w:rPr>
          <w:rFonts w:hint="eastAsia" w:hAnsi="方正仿宋_GBK" w:cs="方正仿宋_GBK"/>
          <w:color w:val="auto"/>
          <w:highlight w:val="none"/>
          <w:lang w:bidi="ar"/>
        </w:rPr>
        <w:t>指以县域为单元，由专业化供水机构实施县域或片区农村供水工程统一管理、统一运维、统一服务。</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9．</w:t>
      </w:r>
      <w:r>
        <w:rPr>
          <w:rFonts w:hint="eastAsia" w:hAnsi="方正仿宋_GBK" w:cs="方正仿宋_GBK"/>
          <w:bCs/>
          <w:color w:val="auto"/>
          <w:highlight w:val="none"/>
          <w:lang w:bidi="ar"/>
        </w:rPr>
        <w:t>重点水源工程：</w:t>
      </w:r>
      <w:r>
        <w:rPr>
          <w:rFonts w:hint="eastAsia" w:hAnsi="方正仿宋_GBK" w:cs="方正仿宋_GBK"/>
          <w:color w:val="auto"/>
          <w:highlight w:val="none"/>
          <w:lang w:bidi="ar"/>
        </w:rPr>
        <w:t>指小（</w:t>
      </w:r>
      <w:r>
        <w:rPr>
          <w:rFonts w:hint="eastAsia"/>
          <w:color w:val="auto"/>
          <w:highlight w:val="none"/>
          <w:lang w:bidi="ar"/>
        </w:rPr>
        <w:t>2</w:t>
      </w:r>
      <w:r>
        <w:rPr>
          <w:rFonts w:hint="eastAsia" w:hAnsi="方正仿宋_GBK" w:cs="方正仿宋_GBK"/>
          <w:color w:val="auto"/>
          <w:highlight w:val="none"/>
          <w:lang w:bidi="ar"/>
        </w:rPr>
        <w:t>）型及以上水库和年引提（调）水能力</w:t>
      </w:r>
      <w:r>
        <w:rPr>
          <w:rFonts w:hint="eastAsia"/>
          <w:color w:val="auto"/>
          <w:highlight w:val="none"/>
          <w:lang w:bidi="ar"/>
        </w:rPr>
        <w:t>10</w:t>
      </w:r>
      <w:r>
        <w:rPr>
          <w:rFonts w:hint="eastAsia" w:hAnsi="方正仿宋_GBK" w:cs="方正仿宋_GBK"/>
          <w:color w:val="auto"/>
          <w:highlight w:val="none"/>
          <w:lang w:bidi="ar"/>
        </w:rPr>
        <w:t>万立方米以上的引提（调）水工程。</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10．</w:t>
      </w:r>
      <w:r>
        <w:rPr>
          <w:rFonts w:hint="eastAsia" w:hAnsi="方正仿宋_GBK" w:cs="方正仿宋_GBK"/>
          <w:bCs/>
          <w:color w:val="auto"/>
          <w:highlight w:val="none"/>
          <w:lang w:bidi="ar"/>
        </w:rPr>
        <w:t>特殊干旱年份：</w:t>
      </w:r>
      <w:r>
        <w:rPr>
          <w:rFonts w:hint="eastAsia" w:hAnsi="方正仿宋_GBK" w:cs="方正仿宋_GBK"/>
          <w:color w:val="auto"/>
          <w:highlight w:val="none"/>
          <w:lang w:bidi="ar"/>
        </w:rPr>
        <w:t>指由于降水量显著低于正常水平（本方案主要参考近</w:t>
      </w:r>
      <w:r>
        <w:rPr>
          <w:rFonts w:hint="eastAsia"/>
          <w:color w:val="auto"/>
          <w:highlight w:val="none"/>
          <w:lang w:bidi="ar"/>
        </w:rPr>
        <w:t>20</w:t>
      </w:r>
      <w:r>
        <w:rPr>
          <w:rFonts w:hint="eastAsia" w:hAnsi="方正仿宋_GBK" w:cs="方正仿宋_GBK"/>
          <w:color w:val="auto"/>
          <w:highlight w:val="none"/>
          <w:lang w:bidi="ar"/>
        </w:rPr>
        <w:t>年的农村地区降水量），导致水资源严重短缺的年份。</w:t>
      </w:r>
    </w:p>
    <w:p>
      <w:pPr>
        <w:keepNext w:val="0"/>
        <w:keepLines w:val="0"/>
        <w:pageBreakBefore w:val="0"/>
        <w:widowControl w:val="0"/>
        <w:kinsoku/>
        <w:wordWrap/>
        <w:overflowPunct w:val="0"/>
        <w:topLinePunct w:val="0"/>
        <w:autoSpaceDE/>
        <w:autoSpaceDN/>
        <w:bidi w:val="0"/>
        <w:adjustRightInd/>
        <w:spacing w:line="576" w:lineRule="exact"/>
        <w:ind w:firstLine="632" w:firstLineChars="200"/>
        <w:textAlignment w:val="auto"/>
        <w:rPr>
          <w:rFonts w:hint="eastAsia"/>
          <w:color w:val="auto"/>
          <w:highlight w:val="none"/>
        </w:rPr>
      </w:pPr>
      <w:r>
        <w:rPr>
          <w:rFonts w:hint="eastAsia"/>
          <w:bCs/>
          <w:color w:val="auto"/>
          <w:highlight w:val="none"/>
          <w:lang w:bidi="ar"/>
        </w:rPr>
        <w:t>11．</w:t>
      </w:r>
      <w:r>
        <w:rPr>
          <w:rFonts w:hint="eastAsia" w:hAnsi="方正仿宋_GBK" w:cs="方正仿宋_GBK"/>
          <w:bCs/>
          <w:color w:val="auto"/>
          <w:highlight w:val="none"/>
          <w:lang w:bidi="ar"/>
        </w:rPr>
        <w:t>易旱区域：</w:t>
      </w:r>
      <w:r>
        <w:rPr>
          <w:rFonts w:hint="eastAsia" w:hAnsi="方正仿宋_GBK" w:cs="方正仿宋_GBK"/>
          <w:color w:val="auto"/>
          <w:highlight w:val="none"/>
          <w:lang w:bidi="ar"/>
        </w:rPr>
        <w:t>指经常发生旱灾的区域（本方案以我</w:t>
      </w:r>
      <w:r>
        <w:rPr>
          <w:rFonts w:hint="eastAsia" w:hAnsi="方正仿宋_GBK" w:cs="方正仿宋_GBK"/>
          <w:color w:val="auto"/>
          <w:highlight w:val="none"/>
          <w:lang w:val="en-US" w:eastAsia="zh-CN" w:bidi="ar"/>
        </w:rPr>
        <w:t>区</w:t>
      </w:r>
      <w:r>
        <w:rPr>
          <w:rFonts w:hint="eastAsia" w:hAnsi="方正仿宋_GBK" w:cs="方正仿宋_GBK"/>
          <w:color w:val="auto"/>
          <w:highlight w:val="none"/>
          <w:lang w:bidi="ar"/>
        </w:rPr>
        <w:t>有完整气象记录以来最严重旱情的</w:t>
      </w:r>
      <w:r>
        <w:rPr>
          <w:rFonts w:hint="eastAsia"/>
          <w:color w:val="auto"/>
          <w:highlight w:val="none"/>
          <w:lang w:bidi="ar"/>
        </w:rPr>
        <w:t>2022</w:t>
      </w:r>
      <w:r>
        <w:rPr>
          <w:rFonts w:hint="eastAsia" w:hAnsi="方正仿宋_GBK" w:cs="方正仿宋_GBK"/>
          <w:color w:val="auto"/>
          <w:highlight w:val="none"/>
          <w:lang w:bidi="ar"/>
        </w:rPr>
        <w:t>年、打破自</w:t>
      </w:r>
      <w:r>
        <w:rPr>
          <w:rFonts w:hint="eastAsia"/>
          <w:color w:val="auto"/>
          <w:highlight w:val="none"/>
          <w:lang w:bidi="ar"/>
        </w:rPr>
        <w:t>1961</w:t>
      </w:r>
      <w:r>
        <w:rPr>
          <w:rFonts w:hint="eastAsia" w:hAnsi="方正仿宋_GBK" w:cs="方正仿宋_GBK"/>
          <w:color w:val="auto"/>
          <w:highlight w:val="none"/>
          <w:lang w:bidi="ar"/>
        </w:rPr>
        <w:t>年以来特重高温天气持续时间最长记录的</w:t>
      </w:r>
      <w:r>
        <w:rPr>
          <w:rFonts w:hint="eastAsia"/>
          <w:color w:val="auto"/>
          <w:highlight w:val="none"/>
          <w:lang w:bidi="ar"/>
        </w:rPr>
        <w:t>2024</w:t>
      </w:r>
      <w:r>
        <w:rPr>
          <w:rFonts w:hint="eastAsia" w:hAnsi="方正仿宋_GBK" w:cs="方正仿宋_GBK"/>
          <w:color w:val="auto"/>
          <w:highlight w:val="none"/>
          <w:lang w:bidi="ar"/>
        </w:rPr>
        <w:t>年发生农村饮水干旱缺水涉及的镇、村为基础，结合实际情况综合确定易旱区域）。</w:t>
      </w:r>
    </w:p>
    <w:p>
      <w:pPr>
        <w:pStyle w:val="16"/>
        <w:overflowPunct w:val="0"/>
        <w:spacing w:line="560" w:lineRule="exact"/>
        <w:outlineLvl w:val="0"/>
        <w:rPr>
          <w:rFonts w:hint="eastAsia"/>
          <w:color w:val="auto"/>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spacing w:line="240" w:lineRule="exact"/>
        <w:rPr>
          <w:rFonts w:hint="eastAsia"/>
          <w:highlight w:val="none"/>
        </w:rPr>
      </w:pPr>
    </w:p>
    <w:p>
      <w:pP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rPr>
          <w:rFonts w:hint="eastAsia"/>
          <w:highlight w:val="none"/>
        </w:rPr>
      </w:pP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highlight w:val="none"/>
        </w:rPr>
      </w:pPr>
    </w:p>
    <w:p>
      <w:pPr>
        <w:rPr>
          <w:rFonts w:hint="eastAsia"/>
          <w:highlight w:val="none"/>
        </w:rPr>
      </w:pPr>
    </w:p>
    <w:p>
      <w:pPr>
        <w:rPr>
          <w:rFonts w:hint="eastAsia"/>
          <w:highlight w:val="none"/>
        </w:rPr>
      </w:pPr>
    </w:p>
    <w:p>
      <w:pPr>
        <w:pBdr>
          <w:top w:val="single" w:color="auto" w:sz="4" w:space="1"/>
          <w:bottom w:val="single" w:color="auto" w:sz="6" w:space="1"/>
        </w:pBdr>
        <w:ind w:firstLine="276" w:firstLineChars="100"/>
        <w:rPr>
          <w:highlight w:val="none"/>
        </w:rPr>
      </w:pPr>
      <w:r>
        <w:rPr>
          <w:rFonts w:hint="eastAsia"/>
          <w:color w:val="000000"/>
          <w:kern w:val="0"/>
          <w:sz w:val="28"/>
          <w:szCs w:val="28"/>
          <w:highlight w:val="none"/>
        </w:rPr>
        <w:t>重庆市綦江区人民政府办公室</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lang w:val="en-US" w:eastAsia="zh-CN"/>
        </w:rPr>
        <w:t>2025</w:t>
      </w:r>
      <w:r>
        <w:rPr>
          <w:rFonts w:hint="eastAsia"/>
          <w:sz w:val="28"/>
          <w:szCs w:val="28"/>
          <w:highlight w:val="none"/>
        </w:rPr>
        <w:t>年</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10</w:t>
      </w:r>
      <w:r>
        <w:rPr>
          <w:rFonts w:hint="eastAsia"/>
          <w:sz w:val="28"/>
          <w:szCs w:val="28"/>
          <w:highlight w:val="none"/>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74" w:gutter="0"/>
      <w:pgNumType w:fmt="decimal" w:start="14"/>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snapToGrid/>
      <w:jc w:val="right"/>
      <w:rPr>
        <w:rFonts w:hint="eastAsia"/>
        <w:kern w:val="28"/>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wordWrap w:val="0"/>
                  <w:snapToGrid/>
                  <w:jc w:val="right"/>
                </w:pPr>
                <w:r>
                  <w:rPr>
                    <w:rFonts w:hint="eastAsia"/>
                    <w:kern w:val="28"/>
                    <w:sz w:val="28"/>
                    <w:szCs w:val="21"/>
                  </w:rPr>
                  <w:t xml:space="preserve">— </w:t>
                </w:r>
                <w:r>
                  <w:rPr>
                    <w:rFonts w:hint="eastAsia"/>
                    <w:kern w:val="28"/>
                    <w:sz w:val="28"/>
                    <w:szCs w:val="21"/>
                  </w:rPr>
                  <w:fldChar w:fldCharType="begin"/>
                </w:r>
                <w:r>
                  <w:rPr>
                    <w:rFonts w:hint="eastAsia"/>
                    <w:kern w:val="28"/>
                    <w:sz w:val="28"/>
                    <w:szCs w:val="21"/>
                  </w:rPr>
                  <w:instrText xml:space="preserve"> PAGE </w:instrText>
                </w:r>
                <w:r>
                  <w:rPr>
                    <w:rFonts w:hint="eastAsia"/>
                    <w:kern w:val="28"/>
                    <w:sz w:val="28"/>
                    <w:szCs w:val="21"/>
                  </w:rPr>
                  <w:fldChar w:fldCharType="separate"/>
                </w:r>
                <w:r>
                  <w:rPr>
                    <w:kern w:val="28"/>
                    <w:sz w:val="28"/>
                    <w:szCs w:val="21"/>
                  </w:rPr>
                  <w:t>11</w:t>
                </w:r>
                <w:r>
                  <w:rPr>
                    <w:rFonts w:hint="eastAsia"/>
                    <w:kern w:val="28"/>
                    <w:sz w:val="28"/>
                    <w:szCs w:val="21"/>
                  </w:rPr>
                  <w:fldChar w:fldCharType="end"/>
                </w:r>
                <w:r>
                  <w:rPr>
                    <w:rFonts w:hint="eastAsia"/>
                    <w:kern w:val="28"/>
                    <w:sz w:val="28"/>
                    <w:szCs w:val="21"/>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ind w:right="360" w:firstLine="360"/>
                  <w:jc w:val="right"/>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4"/>
                    <w:rFonts w:hint="eastAsia"/>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60" w:firstLine="360"/>
      <w:jc w:val="right"/>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4"/>
        <w:rFonts w:hint="eastAsia"/>
        <w:sz w:val="28"/>
      </w:rPr>
      <w:t>―</w:t>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4B971"/>
    <w:multiLevelType w:val="singleLevel"/>
    <w:tmpl w:val="6E54B9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FF351D"/>
    <w:rsid w:val="06F12516"/>
    <w:rsid w:val="0D7F6C9A"/>
    <w:rsid w:val="0DB723EB"/>
    <w:rsid w:val="1DE6E60A"/>
    <w:rsid w:val="2AC5499C"/>
    <w:rsid w:val="2EB7655F"/>
    <w:rsid w:val="2FF97B17"/>
    <w:rsid w:val="3FF78859"/>
    <w:rsid w:val="47F70486"/>
    <w:rsid w:val="58353DB1"/>
    <w:rsid w:val="5B576D34"/>
    <w:rsid w:val="5C052CF9"/>
    <w:rsid w:val="61DC6381"/>
    <w:rsid w:val="65E6594A"/>
    <w:rsid w:val="65F80DC2"/>
    <w:rsid w:val="69B268F8"/>
    <w:rsid w:val="6AFF351D"/>
    <w:rsid w:val="6BFD319F"/>
    <w:rsid w:val="6DFF3E69"/>
    <w:rsid w:val="6E7B3213"/>
    <w:rsid w:val="6F4EAB41"/>
    <w:rsid w:val="6FAD6448"/>
    <w:rsid w:val="73B79BF9"/>
    <w:rsid w:val="77445EF3"/>
    <w:rsid w:val="77D06FC1"/>
    <w:rsid w:val="7BCB0AAD"/>
    <w:rsid w:val="7F67C366"/>
    <w:rsid w:val="7FBD6DA0"/>
    <w:rsid w:val="AB9D5A93"/>
    <w:rsid w:val="AFD9ADD0"/>
    <w:rsid w:val="BA7B23C6"/>
    <w:rsid w:val="BFD7647F"/>
    <w:rsid w:val="BFED5CD6"/>
    <w:rsid w:val="BFF944D6"/>
    <w:rsid w:val="BFFF0966"/>
    <w:rsid w:val="BFFF9486"/>
    <w:rsid w:val="C3FFC79E"/>
    <w:rsid w:val="D77E01CF"/>
    <w:rsid w:val="DBFFBD7B"/>
    <w:rsid w:val="DE737F44"/>
    <w:rsid w:val="DF7150E6"/>
    <w:rsid w:val="E7F7035C"/>
    <w:rsid w:val="F1D39062"/>
    <w:rsid w:val="F44BD5DB"/>
    <w:rsid w:val="FCEFB20D"/>
    <w:rsid w:val="FCF792C5"/>
    <w:rsid w:val="FD47291A"/>
    <w:rsid w:val="FF55BD7C"/>
    <w:rsid w:val="FF6DF31F"/>
    <w:rsid w:val="FFBDF334"/>
    <w:rsid w:val="FFBF3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line="580" w:lineRule="exact"/>
      <w:jc w:val="center"/>
      <w:outlineLvl w:val="0"/>
    </w:pPr>
    <w:rPr>
      <w:rFonts w:ascii="Calibri" w:hAnsi="Calibri" w:eastAsia="方正小标宋_GBK" w:cs="Times New Roman"/>
      <w:kern w:val="44"/>
      <w:sz w:val="44"/>
      <w:szCs w:val="32"/>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32"/>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spacing w:line="570" w:lineRule="exact"/>
      <w:ind w:firstLine="616"/>
    </w:pPr>
    <w:rPr>
      <w:rFonts w:ascii="Times New Roman" w:hAnsi="Calibri" w:cs="Times New Roman"/>
      <w:spacing w:val="-6"/>
      <w:sz w:val="21"/>
      <w:szCs w:val="21"/>
    </w:rPr>
  </w:style>
  <w:style w:type="paragraph" w:styleId="6">
    <w:name w:val="Body Text"/>
    <w:basedOn w:val="1"/>
    <w:qFormat/>
    <w:uiPriority w:val="0"/>
    <w:pPr>
      <w:spacing w:after="120"/>
    </w:pPr>
    <w:rPr>
      <w:rFonts w:ascii="Times New Roman" w:hAnsi="Times New Roman" w:cs="Times New Roman"/>
      <w:szCs w:val="32"/>
    </w:rPr>
  </w:style>
  <w:style w:type="paragraph" w:styleId="7">
    <w:name w:val="Date"/>
    <w:basedOn w:val="1"/>
    <w:next w:val="1"/>
    <w:qFormat/>
    <w:uiPriority w:val="0"/>
    <w:pPr>
      <w:ind w:left="100" w:leftChars="2500"/>
    </w:pPr>
    <w:rPr>
      <w:rFonts w:ascii="Times New Roman" w:hAnsi="Times New Roman" w:cs="Times New Roman"/>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qFormat/>
    <w:uiPriority w:val="0"/>
    <w:pPr>
      <w:tabs>
        <w:tab w:val="left" w:pos="8058"/>
      </w:tabs>
      <w:ind w:left="1564" w:leftChars="201" w:hanging="929" w:hangingChars="294"/>
    </w:pPr>
    <w:rPr>
      <w:rFonts w:ascii="Times New Roman" w:hAnsi="Times New Roman" w:cs="Times New Roman"/>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paragraph" w:customStyle="1" w:styleId="15">
    <w:name w:val="_Style 6"/>
    <w:basedOn w:val="1"/>
    <w:qFormat/>
    <w:uiPriority w:val="0"/>
  </w:style>
  <w:style w:type="paragraph" w:customStyle="1" w:styleId="16">
    <w:name w:val="正文1"/>
    <w:qFormat/>
    <w:uiPriority w:val="0"/>
    <w:pPr>
      <w:widowControl w:val="0"/>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16</Pages>
  <Words>6169</Words>
  <Characters>6467</Characters>
  <Lines>57</Lines>
  <Paragraphs>16</Paragraphs>
  <TotalTime>1</TotalTime>
  <ScaleCrop>false</ScaleCrop>
  <LinksUpToDate>false</LinksUpToDate>
  <CharactersWithSpaces>6541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2025-06-30T18:21:00Z</dcterms:created>
  <dc:creator>小肖</dc:creator>
  <cp:lastModifiedBy>Administrator</cp:lastModifiedBy>
  <cp:lastPrinted>2025-09-11T08:06:00Z</cp:lastPrinted>
  <dcterms:modified xsi:type="dcterms:W3CDTF">2025-09-15T03:39:57Z</dcterms:modified>
  <dc:title>巫山县人民政府办公室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TemplateDocerSaveRecord">
    <vt:lpwstr>eyJoZGlkIjoiNjYxODQzOGRjZDg0M2IzNjk2YWExM2YwYzIxNmIwZGUiLCJ1c2VySWQiOiIxNDcwNzg2MDE5In0=</vt:lpwstr>
  </property>
  <property fmtid="{D5CDD505-2E9C-101B-9397-08002B2CF9AE}" pid="4" name="ICV">
    <vt:lpwstr>B7DD1E9DB55D4A0B82DBC570B06E6DE2_13</vt:lpwstr>
  </property>
</Properties>
</file>