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highlight w:val="yellow"/>
          <w:lang w:eastAsia="zh-CN"/>
        </w:rPr>
      </w:pPr>
      <w:r>
        <w:rPr>
          <w:rFonts w:hint="eastAsia" w:ascii="方正小标宋_GBK" w:hAnsi="方正小标宋_GBK" w:eastAsia="方正小标宋_GBK" w:cs="方正小标宋_GBK"/>
          <w:sz w:val="44"/>
          <w:szCs w:val="44"/>
          <w:highlight w:val="none"/>
        </w:rPr>
        <w:t>重庆市綦江区非住宅国有建设用地使用权续期地价</w:t>
      </w:r>
      <w:r>
        <w:rPr>
          <w:rFonts w:hint="eastAsia" w:ascii="方正小标宋_GBK" w:hAnsi="方正小标宋_GBK" w:eastAsia="方正小标宋_GBK" w:cs="方正小标宋_GBK"/>
          <w:sz w:val="44"/>
          <w:szCs w:val="44"/>
          <w:highlight w:val="none"/>
          <w:lang w:val="en-US" w:eastAsia="zh-CN"/>
        </w:rPr>
        <w:t>确定</w:t>
      </w:r>
      <w:r>
        <w:rPr>
          <w:rFonts w:hint="eastAsia" w:ascii="方正小标宋_GBK" w:hAnsi="方正小标宋_GBK" w:eastAsia="方正小标宋_GBK" w:cs="方正小标宋_GBK"/>
          <w:sz w:val="44"/>
          <w:szCs w:val="44"/>
          <w:highlight w:val="none"/>
        </w:rPr>
        <w:t>规则</w:t>
      </w:r>
      <w:r>
        <w:rPr>
          <w:rFonts w:hint="eastAsia" w:ascii="方正小标宋_GBK" w:hAnsi="方正小标宋_GBK" w:eastAsia="方正小标宋_GBK" w:cs="方正小标宋_GBK"/>
          <w:sz w:val="44"/>
          <w:szCs w:val="44"/>
          <w:highlight w:val="none"/>
          <w:lang w:eastAsia="zh-CN"/>
        </w:rPr>
        <w:t>（</w:t>
      </w:r>
      <w:r>
        <w:rPr>
          <w:rFonts w:hint="eastAsia" w:ascii="方正小标宋_GBK" w:hAnsi="方正小标宋_GBK" w:eastAsia="方正小标宋_GBK" w:cs="方正小标宋_GBK"/>
          <w:sz w:val="44"/>
          <w:szCs w:val="44"/>
          <w:highlight w:val="none"/>
          <w:lang w:val="en-US" w:eastAsia="zh-CN"/>
        </w:rPr>
        <w:t>试行</w:t>
      </w:r>
      <w:r>
        <w:rPr>
          <w:rFonts w:hint="eastAsia" w:ascii="方正小标宋_GBK" w:hAnsi="方正小标宋_GBK" w:eastAsia="方正小标宋_GBK" w:cs="方正小标宋_GBK"/>
          <w:sz w:val="44"/>
          <w:szCs w:val="44"/>
          <w:highlight w:val="none"/>
          <w:lang w:eastAsia="zh-CN"/>
        </w:rPr>
        <w:t>）</w:t>
      </w:r>
    </w:p>
    <w:p>
      <w:pPr>
        <w:keepNext w:val="0"/>
        <w:keepLines w:val="0"/>
        <w:pageBreakBefore w:val="0"/>
        <w:kinsoku/>
        <w:wordWrap/>
        <w:overflowPunct/>
        <w:topLinePunct w:val="0"/>
        <w:autoSpaceDE/>
        <w:autoSpaceDN/>
        <w:bidi w:val="0"/>
        <w:adjustRightInd/>
        <w:snapToGrid/>
        <w:spacing w:line="560" w:lineRule="exact"/>
        <w:textAlignment w:val="auto"/>
        <w:rPr>
          <w:rFonts w:hint="eastAsia"/>
          <w:sz w:val="28"/>
          <w:szCs w:val="28"/>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第一章 总则</w:t>
      </w:r>
    </w:p>
    <w:p>
      <w:pPr>
        <w:keepNext w:val="0"/>
        <w:keepLines w:val="0"/>
        <w:pageBreakBefore w:val="0"/>
        <w:kinsoku/>
        <w:wordWrap/>
        <w:overflowPunct/>
        <w:topLinePunct w:val="0"/>
        <w:autoSpaceDE/>
        <w:autoSpaceDN/>
        <w:bidi w:val="0"/>
        <w:adjustRightInd/>
        <w:snapToGrid/>
        <w:spacing w:line="560" w:lineRule="exact"/>
        <w:textAlignment w:val="auto"/>
        <w:rPr>
          <w:rFonts w:hint="eastAsia"/>
          <w:sz w:val="28"/>
          <w:szCs w:val="28"/>
        </w:rPr>
      </w:pPr>
    </w:p>
    <w:p>
      <w:pPr>
        <w:keepNext w:val="0"/>
        <w:keepLines w:val="0"/>
        <w:pageBreakBefore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第一条</w:t>
      </w:r>
      <w:r>
        <w:rPr>
          <w:rFonts w:hint="eastAsia" w:ascii="仿宋" w:hAnsi="仿宋" w:eastAsia="仿宋" w:cs="仿宋"/>
          <w:b/>
          <w:bCs/>
          <w:sz w:val="28"/>
          <w:szCs w:val="28"/>
          <w:lang w:eastAsia="zh-CN"/>
        </w:rPr>
        <w:t>　</w:t>
      </w:r>
      <w:r>
        <w:rPr>
          <w:rFonts w:hint="eastAsia" w:ascii="仿宋" w:hAnsi="仿宋" w:eastAsia="仿宋" w:cs="仿宋"/>
          <w:b/>
          <w:bCs/>
          <w:sz w:val="28"/>
          <w:szCs w:val="28"/>
        </w:rPr>
        <w:t>目的依据</w:t>
      </w:r>
    </w:p>
    <w:p>
      <w:pPr>
        <w:pStyle w:val="13"/>
        <w:keepNext w:val="0"/>
        <w:keepLines w:val="0"/>
        <w:pageBreakBefore w:val="0"/>
        <w:kinsoku/>
        <w:wordWrap/>
        <w:overflowPunct/>
        <w:topLinePunct w:val="0"/>
        <w:autoSpaceDE/>
        <w:autoSpaceDN/>
        <w:bidi w:val="0"/>
        <w:adjustRightInd/>
        <w:snapToGrid/>
        <w:spacing w:before="0" w:after="0" w:line="560" w:lineRule="exact"/>
        <w:ind w:firstLine="560" w:firstLineChars="200"/>
        <w:textAlignment w:val="auto"/>
        <w:rPr>
          <w:rFonts w:hint="eastAsia" w:ascii="仿宋" w:hAnsi="仿宋" w:eastAsia="仿宋"/>
          <w:sz w:val="28"/>
          <w:szCs w:val="28"/>
        </w:rPr>
      </w:pPr>
      <w:r>
        <w:rPr>
          <w:rFonts w:hint="eastAsia" w:ascii="仿宋" w:hAnsi="仿宋" w:eastAsia="仿宋" w:cs="仿宋"/>
          <w:sz w:val="28"/>
          <w:szCs w:val="28"/>
        </w:rPr>
        <w:t>为规范本区非住宅类国有建设用地使用权续期地价评估与管理工作，建立科学、高效、透明的地价形成机制，保障土地所有权人和使用权人合法权益，根据《中华人民共和国民法典》《中华人民共和国土地管理法》</w:t>
      </w:r>
      <w:r>
        <w:rPr>
          <w:rFonts w:ascii="仿宋" w:hAnsi="仿宋" w:eastAsia="仿宋"/>
          <w:sz w:val="28"/>
          <w:szCs w:val="28"/>
        </w:rPr>
        <w:t>《中华人民共和国城市房地产管理法》</w:t>
      </w:r>
      <w:r>
        <w:rPr>
          <w:rFonts w:hint="eastAsia" w:ascii="仿宋" w:hAnsi="仿宋" w:eastAsia="仿宋"/>
          <w:sz w:val="28"/>
          <w:szCs w:val="28"/>
          <w:lang w:eastAsia="zh-CN"/>
        </w:rPr>
        <w:t>《中华人民共和国城镇国有土地使用权出让和转让暂行条例》</w:t>
      </w:r>
      <w:r>
        <w:rPr>
          <w:rFonts w:hint="eastAsia" w:ascii="仿宋" w:hAnsi="仿宋" w:eastAsia="仿宋" w:cs="仿宋"/>
          <w:sz w:val="28"/>
          <w:szCs w:val="28"/>
          <w:highlight w:val="none"/>
        </w:rPr>
        <w:t>《重庆市土地管理条例》</w:t>
      </w:r>
      <w:r>
        <w:rPr>
          <w:rFonts w:ascii="仿宋" w:hAnsi="仿宋" w:eastAsia="仿宋"/>
          <w:sz w:val="28"/>
          <w:szCs w:val="28"/>
        </w:rPr>
        <w:t>《重庆市綦江区非住宅国有建设用地使用权续期管理暂行办法（试行）》</w:t>
      </w:r>
      <w:r>
        <w:rPr>
          <w:rFonts w:hint="eastAsia" w:ascii="仿宋" w:hAnsi="仿宋" w:eastAsia="仿宋" w:cs="仿宋"/>
          <w:sz w:val="28"/>
          <w:szCs w:val="28"/>
        </w:rPr>
        <w:t>等法律法规及相关政策规定</w:t>
      </w:r>
      <w:r>
        <w:rPr>
          <w:rFonts w:ascii="仿宋" w:hAnsi="仿宋" w:eastAsia="仿宋"/>
          <w:sz w:val="28"/>
          <w:szCs w:val="28"/>
        </w:rPr>
        <w:t>，结合我区实际，制定本规则。</w:t>
      </w:r>
    </w:p>
    <w:p>
      <w:pPr>
        <w:pStyle w:val="2"/>
        <w:keepNext w:val="0"/>
        <w:keepLines w:val="0"/>
        <w:pageBreakBefore w:val="0"/>
        <w:kinsoku/>
        <w:overflowPunct/>
        <w:topLinePunct w:val="0"/>
        <w:autoSpaceDE/>
        <w:autoSpaceDN/>
        <w:bidi w:val="0"/>
        <w:adjustRightInd/>
        <w:snapToGrid/>
        <w:spacing w:before="0" w:after="0" w:line="560" w:lineRule="exact"/>
        <w:ind w:firstLine="562" w:firstLineChars="200"/>
        <w:textAlignment w:val="auto"/>
        <w:rPr>
          <w:rFonts w:hint="eastAsia" w:ascii="仿宋" w:hAnsi="仿宋" w:eastAsia="仿宋"/>
          <w:sz w:val="28"/>
          <w:szCs w:val="28"/>
        </w:rPr>
      </w:pPr>
      <w:r>
        <w:rPr>
          <w:rFonts w:ascii="仿宋" w:hAnsi="仿宋" w:eastAsia="仿宋"/>
          <w:sz w:val="28"/>
          <w:szCs w:val="28"/>
        </w:rPr>
        <w:t>第二条 适用范围</w:t>
      </w:r>
    </w:p>
    <w:p>
      <w:pPr>
        <w:pStyle w:val="13"/>
        <w:keepNext w:val="0"/>
        <w:keepLines w:val="0"/>
        <w:pageBreakBefore w:val="0"/>
        <w:kinsoku/>
        <w:overflowPunct/>
        <w:topLinePunct w:val="0"/>
        <w:autoSpaceDE/>
        <w:autoSpaceDN/>
        <w:bidi w:val="0"/>
        <w:adjustRightInd/>
        <w:snapToGrid/>
        <w:spacing w:before="0" w:after="0" w:line="560" w:lineRule="exact"/>
        <w:ind w:firstLine="560" w:firstLineChars="200"/>
        <w:textAlignment w:val="auto"/>
        <w:rPr>
          <w:rFonts w:hint="eastAsia" w:ascii="仿宋" w:hAnsi="仿宋" w:eastAsia="仿宋"/>
          <w:sz w:val="28"/>
          <w:szCs w:val="28"/>
        </w:rPr>
      </w:pPr>
      <w:r>
        <w:rPr>
          <w:rFonts w:ascii="仿宋" w:hAnsi="仿宋" w:eastAsia="仿宋"/>
          <w:sz w:val="28"/>
          <w:szCs w:val="28"/>
        </w:rPr>
        <w:t>本规则适用于綦江区行政区域内，土地使用权人主动申请的非住宅</w:t>
      </w:r>
      <w:r>
        <w:rPr>
          <w:rFonts w:hint="eastAsia" w:ascii="仿宋" w:hAnsi="仿宋" w:eastAsia="仿宋"/>
          <w:sz w:val="28"/>
          <w:szCs w:val="28"/>
        </w:rPr>
        <w:t>（包括</w:t>
      </w:r>
      <w:r>
        <w:rPr>
          <w:rFonts w:hint="eastAsia" w:ascii="仿宋" w:hAnsi="仿宋" w:eastAsia="仿宋"/>
          <w:sz w:val="28"/>
          <w:szCs w:val="28"/>
          <w:lang w:val="en-US" w:eastAsia="zh-CN"/>
        </w:rPr>
        <w:t>商服用地</w:t>
      </w:r>
      <w:r>
        <w:rPr>
          <w:rFonts w:hint="eastAsia" w:ascii="仿宋" w:hAnsi="仿宋" w:eastAsia="仿宋"/>
          <w:sz w:val="28"/>
          <w:szCs w:val="28"/>
        </w:rPr>
        <w:t>、</w:t>
      </w:r>
      <w:r>
        <w:rPr>
          <w:rFonts w:hint="eastAsia" w:ascii="仿宋" w:hAnsi="仿宋" w:eastAsia="仿宋"/>
          <w:sz w:val="28"/>
          <w:szCs w:val="28"/>
          <w:lang w:val="en-US" w:eastAsia="zh-CN"/>
        </w:rPr>
        <w:t>工业仓储用地、公共管理与公共服务用地</w:t>
      </w:r>
      <w:r>
        <w:rPr>
          <w:rFonts w:hint="eastAsia" w:ascii="仿宋" w:hAnsi="仿宋" w:eastAsia="仿宋"/>
          <w:sz w:val="28"/>
          <w:szCs w:val="28"/>
        </w:rPr>
        <w:t>等）</w:t>
      </w:r>
      <w:r>
        <w:rPr>
          <w:rFonts w:ascii="仿宋" w:hAnsi="仿宋" w:eastAsia="仿宋"/>
          <w:sz w:val="28"/>
          <w:szCs w:val="28"/>
        </w:rPr>
        <w:t>国有建设用地使用权续期地价评估</w:t>
      </w:r>
      <w:r>
        <w:rPr>
          <w:rFonts w:hint="eastAsia" w:ascii="仿宋" w:hAnsi="仿宋" w:eastAsia="仿宋"/>
          <w:sz w:val="28"/>
          <w:szCs w:val="28"/>
          <w:lang w:eastAsia="zh-CN"/>
        </w:rPr>
        <w:t>、</w:t>
      </w:r>
      <w:r>
        <w:rPr>
          <w:rFonts w:hint="eastAsia" w:ascii="仿宋" w:hAnsi="仿宋" w:eastAsia="仿宋"/>
          <w:sz w:val="28"/>
          <w:szCs w:val="28"/>
        </w:rPr>
        <w:t>确定及管理活动</w:t>
      </w:r>
      <w:r>
        <w:rPr>
          <w:rFonts w:ascii="仿宋" w:hAnsi="仿宋" w:eastAsia="仿宋"/>
          <w:sz w:val="28"/>
          <w:szCs w:val="28"/>
        </w:rPr>
        <w:t>，包括：</w:t>
      </w:r>
    </w:p>
    <w:p>
      <w:pPr>
        <w:pStyle w:val="13"/>
        <w:keepNext w:val="0"/>
        <w:keepLines w:val="0"/>
        <w:pageBreakBefore w:val="0"/>
        <w:numPr>
          <w:ilvl w:val="0"/>
          <w:numId w:val="0"/>
        </w:numPr>
        <w:kinsoku/>
        <w:overflowPunct/>
        <w:topLinePunct w:val="0"/>
        <w:autoSpaceDE/>
        <w:autoSpaceDN/>
        <w:bidi w:val="0"/>
        <w:adjustRightInd/>
        <w:snapToGrid/>
        <w:spacing w:before="0" w:after="0" w:line="560" w:lineRule="exact"/>
        <w:ind w:left="0" w:leftChars="0" w:firstLine="560" w:firstLineChars="200"/>
        <w:textAlignment w:val="auto"/>
        <w:rPr>
          <w:rFonts w:hint="eastAsia" w:ascii="仿宋" w:hAnsi="仿宋" w:eastAsia="仿宋"/>
          <w:sz w:val="28"/>
          <w:szCs w:val="28"/>
          <w:highlight w:val="none"/>
        </w:rPr>
      </w:pPr>
      <w:r>
        <w:rPr>
          <w:rFonts w:hint="eastAsia" w:ascii="仿宋" w:hAnsi="仿宋" w:eastAsia="仿宋" w:cs="Arial"/>
          <w:sz w:val="28"/>
          <w:szCs w:val="28"/>
          <w:highlight w:val="none"/>
          <w:lang w:val="en-US" w:eastAsia="zh-CN" w:bidi="ar-SA"/>
        </w:rPr>
        <w:t>1、五年内将到期的土地</w:t>
      </w:r>
      <w:r>
        <w:rPr>
          <w:rFonts w:ascii="仿宋" w:hAnsi="仿宋" w:eastAsia="仿宋"/>
          <w:sz w:val="28"/>
          <w:szCs w:val="28"/>
          <w:highlight w:val="none"/>
        </w:rPr>
        <w:t>续期</w:t>
      </w:r>
      <w:r>
        <w:rPr>
          <w:rFonts w:hint="eastAsia" w:ascii="仿宋" w:hAnsi="仿宋" w:eastAsia="仿宋"/>
          <w:sz w:val="28"/>
          <w:szCs w:val="28"/>
          <w:highlight w:val="none"/>
          <w:lang w:val="en-US" w:eastAsia="zh-CN"/>
        </w:rPr>
        <w:t>价格确定</w:t>
      </w:r>
      <w:r>
        <w:rPr>
          <w:rFonts w:ascii="仿宋" w:hAnsi="仿宋" w:eastAsia="仿宋"/>
          <w:sz w:val="28"/>
          <w:szCs w:val="28"/>
          <w:highlight w:val="none"/>
        </w:rPr>
        <w:t>；</w:t>
      </w:r>
    </w:p>
    <w:p>
      <w:pPr>
        <w:pStyle w:val="13"/>
        <w:keepNext w:val="0"/>
        <w:keepLines w:val="0"/>
        <w:pageBreakBefore w:val="0"/>
        <w:numPr>
          <w:ilvl w:val="0"/>
          <w:numId w:val="0"/>
        </w:numPr>
        <w:kinsoku/>
        <w:overflowPunct/>
        <w:topLinePunct w:val="0"/>
        <w:autoSpaceDE/>
        <w:autoSpaceDN/>
        <w:bidi w:val="0"/>
        <w:adjustRightInd/>
        <w:snapToGrid/>
        <w:spacing w:before="0" w:after="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2、</w:t>
      </w:r>
      <w:r>
        <w:rPr>
          <w:rFonts w:ascii="仿宋" w:hAnsi="仿宋" w:eastAsia="仿宋"/>
          <w:color w:val="auto"/>
          <w:sz w:val="28"/>
          <w:szCs w:val="28"/>
          <w:highlight w:val="none"/>
        </w:rPr>
        <w:t>本规则生效前已过期土地的续期</w:t>
      </w:r>
      <w:r>
        <w:rPr>
          <w:rFonts w:hint="eastAsia" w:ascii="仿宋" w:hAnsi="仿宋" w:eastAsia="仿宋"/>
          <w:sz w:val="28"/>
          <w:szCs w:val="28"/>
          <w:highlight w:val="none"/>
          <w:lang w:val="en-US" w:eastAsia="zh-CN"/>
        </w:rPr>
        <w:t>价格确定</w:t>
      </w:r>
      <w:r>
        <w:rPr>
          <w:rFonts w:ascii="仿宋" w:hAnsi="仿宋" w:eastAsia="仿宋"/>
          <w:color w:val="auto"/>
          <w:sz w:val="28"/>
          <w:szCs w:val="28"/>
          <w:highlight w:val="none"/>
        </w:rPr>
        <w:t>。</w:t>
      </w:r>
    </w:p>
    <w:p>
      <w:pPr>
        <w:keepNext w:val="0"/>
        <w:keepLines w:val="0"/>
        <w:pageBreakBefore w:val="0"/>
        <w:kinsoku/>
        <w:wordWrap/>
        <w:overflowPunct/>
        <w:topLinePunct w:val="0"/>
        <w:autoSpaceDE/>
        <w:autoSpaceDN/>
        <w:bidi w:val="0"/>
        <w:adjustRightInd/>
        <w:snapToGrid/>
        <w:spacing w:line="560" w:lineRule="exact"/>
        <w:ind w:firstLine="562"/>
        <w:textAlignment w:val="auto"/>
        <w:rPr>
          <w:rFonts w:hint="default" w:ascii="仿宋" w:hAnsi="仿宋" w:eastAsia="仿宋" w:cs="仿宋"/>
          <w:b/>
          <w:bCs/>
          <w:sz w:val="28"/>
          <w:szCs w:val="28"/>
          <w:lang w:val="en-US" w:eastAsia="zh-CN"/>
        </w:rPr>
      </w:pPr>
      <w:r>
        <w:rPr>
          <w:rFonts w:hint="eastAsia" w:ascii="仿宋" w:hAnsi="仿宋" w:eastAsia="仿宋" w:cs="仿宋"/>
          <w:b/>
          <w:bCs/>
          <w:sz w:val="28"/>
          <w:szCs w:val="28"/>
        </w:rPr>
        <w:t>第三条</w:t>
      </w:r>
      <w:r>
        <w:rPr>
          <w:rFonts w:hint="eastAsia" w:ascii="仿宋" w:hAnsi="仿宋" w:eastAsia="仿宋" w:cs="仿宋"/>
          <w:b/>
          <w:bCs/>
          <w:sz w:val="28"/>
          <w:szCs w:val="28"/>
          <w:lang w:eastAsia="zh-CN"/>
        </w:rPr>
        <w:t>　</w:t>
      </w:r>
      <w:r>
        <w:rPr>
          <w:rFonts w:hint="eastAsia" w:ascii="仿宋" w:hAnsi="仿宋" w:eastAsia="仿宋" w:cs="仿宋"/>
          <w:b/>
          <w:bCs/>
          <w:sz w:val="28"/>
          <w:szCs w:val="28"/>
          <w:lang w:val="en-US" w:eastAsia="zh-CN"/>
        </w:rPr>
        <w:t>组织实施</w:t>
      </w:r>
    </w:p>
    <w:p>
      <w:pPr>
        <w:keepNext w:val="0"/>
        <w:keepLines w:val="0"/>
        <w:pageBreakBefore w:val="0"/>
        <w:kinsoku/>
        <w:wordWrap/>
        <w:overflowPunct/>
        <w:topLinePunct w:val="0"/>
        <w:autoSpaceDE/>
        <w:autoSpaceDN/>
        <w:bidi w:val="0"/>
        <w:adjustRightInd/>
        <w:snapToGrid/>
        <w:spacing w:line="560" w:lineRule="exact"/>
        <w:ind w:firstLine="562"/>
        <w:textAlignment w:val="auto"/>
        <w:rPr>
          <w:rFonts w:hint="eastAsia" w:ascii="仿宋" w:hAnsi="仿宋" w:eastAsia="仿宋" w:cs="仿宋"/>
          <w:sz w:val="28"/>
          <w:szCs w:val="28"/>
        </w:rPr>
      </w:pPr>
      <w:r>
        <w:rPr>
          <w:rFonts w:hint="eastAsia" w:ascii="仿宋" w:hAnsi="仿宋" w:eastAsia="仿宋" w:cs="仿宋"/>
          <w:sz w:val="28"/>
          <w:szCs w:val="28"/>
        </w:rPr>
        <w:t>区规划和自然资源局（以下简称“区</w:t>
      </w:r>
      <w:r>
        <w:rPr>
          <w:rFonts w:hint="eastAsia" w:ascii="仿宋" w:hAnsi="仿宋" w:eastAsia="仿宋" w:cs="仿宋"/>
          <w:sz w:val="28"/>
          <w:szCs w:val="28"/>
          <w:lang w:val="en-US" w:eastAsia="zh-CN"/>
        </w:rPr>
        <w:t>规资</w:t>
      </w:r>
      <w:r>
        <w:rPr>
          <w:rFonts w:hint="eastAsia" w:ascii="仿宋" w:hAnsi="仿宋" w:eastAsia="仿宋" w:cs="仿宋"/>
          <w:sz w:val="28"/>
          <w:szCs w:val="28"/>
        </w:rPr>
        <w:t>局”）是此项工作的组织实施</w:t>
      </w:r>
      <w:r>
        <w:rPr>
          <w:rFonts w:hint="eastAsia" w:ascii="仿宋" w:hAnsi="仿宋" w:eastAsia="仿宋" w:cs="仿宋"/>
          <w:sz w:val="28"/>
          <w:szCs w:val="28"/>
          <w:lang w:val="en-US" w:eastAsia="zh-CN"/>
        </w:rPr>
        <w:t>单位</w:t>
      </w:r>
      <w:r>
        <w:rPr>
          <w:rFonts w:hint="eastAsia" w:ascii="仿宋" w:hAnsi="仿宋" w:eastAsia="仿宋" w:cs="仿宋"/>
          <w:sz w:val="28"/>
          <w:szCs w:val="28"/>
        </w:rPr>
        <w:t>，负责建立并维护“綦江区建设用地使用权</w:t>
      </w:r>
      <w:r>
        <w:rPr>
          <w:rFonts w:hint="eastAsia" w:ascii="仿宋" w:hAnsi="仿宋" w:eastAsia="仿宋" w:cs="仿宋"/>
          <w:sz w:val="28"/>
          <w:szCs w:val="28"/>
          <w:lang w:val="en-US" w:eastAsia="zh-CN"/>
        </w:rPr>
        <w:t>续期地价管理</w:t>
      </w:r>
      <w:r>
        <w:rPr>
          <w:rFonts w:hint="eastAsia" w:ascii="仿宋" w:hAnsi="仿宋" w:eastAsia="仿宋" w:cs="仿宋"/>
          <w:sz w:val="28"/>
          <w:szCs w:val="28"/>
        </w:rPr>
        <w:t>系统”（以下简称“</w:t>
      </w:r>
      <w:r>
        <w:rPr>
          <w:rFonts w:hint="eastAsia" w:ascii="仿宋" w:hAnsi="仿宋" w:eastAsia="仿宋" w:cs="仿宋"/>
          <w:sz w:val="28"/>
          <w:szCs w:val="28"/>
          <w:lang w:val="en-US" w:eastAsia="zh-CN"/>
        </w:rPr>
        <w:t>管理</w:t>
      </w:r>
      <w:r>
        <w:rPr>
          <w:rFonts w:hint="eastAsia" w:ascii="仿宋" w:hAnsi="仿宋" w:eastAsia="仿宋" w:cs="仿宋"/>
          <w:sz w:val="28"/>
          <w:szCs w:val="28"/>
        </w:rPr>
        <w:t>系统”）。</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b/>
          <w:bCs/>
          <w:sz w:val="28"/>
          <w:szCs w:val="28"/>
        </w:rPr>
      </w:pPr>
      <w:r>
        <w:rPr>
          <w:rFonts w:hint="eastAsia" w:ascii="仿宋" w:hAnsi="仿宋" w:eastAsia="仿宋" w:cs="仿宋"/>
          <w:b/>
          <w:bCs/>
          <w:sz w:val="28"/>
          <w:szCs w:val="28"/>
          <w:lang w:eastAsia="zh-CN"/>
        </w:rPr>
        <w:t>　　</w:t>
      </w:r>
      <w:r>
        <w:rPr>
          <w:rFonts w:hint="eastAsia" w:ascii="仿宋" w:hAnsi="仿宋" w:eastAsia="仿宋" w:cs="仿宋"/>
          <w:b/>
          <w:bCs/>
          <w:sz w:val="28"/>
          <w:szCs w:val="28"/>
        </w:rPr>
        <w:t>第四条</w:t>
      </w:r>
      <w:r>
        <w:rPr>
          <w:rFonts w:hint="eastAsia" w:ascii="仿宋" w:hAnsi="仿宋" w:eastAsia="仿宋" w:cs="仿宋"/>
          <w:b/>
          <w:bCs/>
          <w:sz w:val="28"/>
          <w:szCs w:val="28"/>
          <w:lang w:eastAsia="zh-CN"/>
        </w:rPr>
        <w:t>　</w:t>
      </w:r>
      <w:r>
        <w:rPr>
          <w:rFonts w:hint="eastAsia" w:ascii="仿宋" w:hAnsi="仿宋" w:eastAsia="仿宋" w:cs="仿宋"/>
          <w:b/>
          <w:bCs/>
          <w:sz w:val="28"/>
          <w:szCs w:val="28"/>
        </w:rPr>
        <w:t>基本原则</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lang w:eastAsia="zh-CN"/>
        </w:rPr>
        <w:t>　　</w:t>
      </w:r>
      <w:r>
        <w:rPr>
          <w:rFonts w:hint="eastAsia" w:ascii="仿宋" w:hAnsi="仿宋" w:eastAsia="仿宋" w:cs="仿宋"/>
          <w:sz w:val="28"/>
          <w:szCs w:val="28"/>
          <w:lang w:val="en-US" w:eastAsia="zh-CN"/>
        </w:rPr>
        <w:t>1、</w:t>
      </w:r>
      <w:r>
        <w:rPr>
          <w:rFonts w:hint="eastAsia" w:ascii="仿宋" w:hAnsi="仿宋" w:eastAsia="仿宋" w:cs="仿宋"/>
          <w:sz w:val="28"/>
          <w:szCs w:val="28"/>
        </w:rPr>
        <w:t>高效便民原则：利用信息化手段，简化流程，提高服务效率。</w:t>
      </w:r>
    </w:p>
    <w:p>
      <w:pPr>
        <w:keepNext w:val="0"/>
        <w:keepLines w:val="0"/>
        <w:pageBreakBefore w:val="0"/>
        <w:kinsoku/>
        <w:wordWrap/>
        <w:overflowPunct/>
        <w:topLinePunct w:val="0"/>
        <w:autoSpaceDE/>
        <w:autoSpaceDN/>
        <w:bidi w:val="0"/>
        <w:adjustRightInd/>
        <w:snapToGrid/>
        <w:spacing w:line="560" w:lineRule="exact"/>
        <w:ind w:firstLine="563"/>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动态更新原则：评估体系与系统数据应定期更新，及时反映市场及政策变化。</w:t>
      </w:r>
    </w:p>
    <w:p>
      <w:pPr>
        <w:keepNext w:val="0"/>
        <w:keepLines w:val="0"/>
        <w:pageBreakBefore w:val="0"/>
        <w:kinsoku/>
        <w:wordWrap/>
        <w:overflowPunct/>
        <w:topLinePunct w:val="0"/>
        <w:autoSpaceDE/>
        <w:autoSpaceDN/>
        <w:bidi w:val="0"/>
        <w:adjustRightInd/>
        <w:snapToGrid/>
        <w:spacing w:line="560" w:lineRule="exact"/>
        <w:ind w:firstLine="563"/>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3、</w:t>
      </w:r>
      <w:r>
        <w:rPr>
          <w:rFonts w:hint="eastAsia" w:ascii="仿宋" w:hAnsi="仿宋" w:eastAsia="仿宋" w:cs="仿宋"/>
          <w:sz w:val="28"/>
          <w:szCs w:val="28"/>
          <w:lang w:eastAsia="zh-CN"/>
        </w:rPr>
        <w:t>程序正当原则： 必须履行严格的内部审核与集体决策程序，确保过程透明、权责清晰。</w:t>
      </w:r>
    </w:p>
    <w:p>
      <w:pPr>
        <w:keepNext w:val="0"/>
        <w:keepLines w:val="0"/>
        <w:pageBreakBefore w:val="0"/>
        <w:kinsoku/>
        <w:wordWrap/>
        <w:overflowPunct/>
        <w:topLinePunct w:val="0"/>
        <w:autoSpaceDE/>
        <w:autoSpaceDN/>
        <w:bidi w:val="0"/>
        <w:adjustRightInd/>
        <w:snapToGrid/>
        <w:spacing w:line="560" w:lineRule="exact"/>
        <w:ind w:firstLine="563"/>
        <w:textAlignment w:val="auto"/>
        <w:rPr>
          <w:rFonts w:hint="eastAsia" w:ascii="仿宋" w:hAnsi="仿宋" w:eastAsia="仿宋" w:cs="仿宋"/>
          <w:sz w:val="28"/>
          <w:szCs w:val="28"/>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 xml:space="preserve">第二章 </w:t>
      </w:r>
      <w:r>
        <w:rPr>
          <w:rFonts w:hint="eastAsia" w:ascii="仿宋" w:hAnsi="仿宋" w:eastAsia="仿宋" w:cs="仿宋"/>
          <w:b/>
          <w:bCs/>
          <w:sz w:val="28"/>
          <w:szCs w:val="28"/>
          <w:lang w:val="en-US" w:eastAsia="zh-CN"/>
        </w:rPr>
        <w:t>管理</w:t>
      </w:r>
      <w:r>
        <w:rPr>
          <w:rFonts w:hint="eastAsia" w:ascii="仿宋" w:hAnsi="仿宋" w:eastAsia="仿宋" w:cs="仿宋"/>
          <w:b/>
          <w:bCs/>
          <w:sz w:val="28"/>
          <w:szCs w:val="28"/>
        </w:rPr>
        <w:t>系统的建立</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b/>
          <w:bCs/>
          <w:sz w:val="28"/>
          <w:szCs w:val="28"/>
        </w:rPr>
      </w:pPr>
      <w:r>
        <w:rPr>
          <w:rFonts w:hint="eastAsia" w:ascii="仿宋" w:hAnsi="仿宋" w:eastAsia="仿宋" w:cs="仿宋"/>
          <w:b/>
          <w:bCs/>
          <w:sz w:val="28"/>
          <w:szCs w:val="28"/>
          <w:lang w:eastAsia="zh-CN"/>
        </w:rPr>
        <w:t>　　</w:t>
      </w:r>
      <w:r>
        <w:rPr>
          <w:rFonts w:hint="eastAsia" w:ascii="仿宋" w:hAnsi="仿宋" w:eastAsia="仿宋" w:cs="仿宋"/>
          <w:b/>
          <w:bCs/>
          <w:sz w:val="28"/>
          <w:szCs w:val="28"/>
        </w:rPr>
        <w:t>第五条</w:t>
      </w:r>
      <w:r>
        <w:rPr>
          <w:rFonts w:hint="eastAsia" w:ascii="仿宋" w:hAnsi="仿宋" w:eastAsia="仿宋" w:cs="仿宋"/>
          <w:b/>
          <w:bCs/>
          <w:sz w:val="28"/>
          <w:szCs w:val="28"/>
          <w:lang w:eastAsia="zh-CN"/>
        </w:rPr>
        <w:t>　</w:t>
      </w:r>
      <w:r>
        <w:rPr>
          <w:rFonts w:hint="eastAsia" w:ascii="仿宋" w:hAnsi="仿宋" w:eastAsia="仿宋" w:cs="仿宋"/>
          <w:b/>
          <w:bCs/>
          <w:sz w:val="28"/>
          <w:szCs w:val="28"/>
        </w:rPr>
        <w:t>系统功能定位</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lang w:eastAsia="zh-CN"/>
        </w:rPr>
        <w:t>　　</w:t>
      </w:r>
      <w:r>
        <w:rPr>
          <w:rFonts w:hint="eastAsia" w:ascii="仿宋" w:hAnsi="仿宋" w:eastAsia="仿宋" w:cs="仿宋"/>
          <w:sz w:val="28"/>
          <w:szCs w:val="28"/>
        </w:rPr>
        <w:t>“</w:t>
      </w:r>
      <w:r>
        <w:rPr>
          <w:rFonts w:hint="eastAsia" w:ascii="仿宋" w:hAnsi="仿宋" w:eastAsia="仿宋" w:cs="仿宋"/>
          <w:sz w:val="28"/>
          <w:szCs w:val="28"/>
          <w:lang w:val="en-US" w:eastAsia="zh-CN"/>
        </w:rPr>
        <w:t>管理系统</w:t>
      </w:r>
      <w:r>
        <w:rPr>
          <w:rFonts w:hint="eastAsia" w:ascii="仿宋" w:hAnsi="仿宋" w:eastAsia="仿宋" w:cs="仿宋"/>
          <w:sz w:val="28"/>
          <w:szCs w:val="28"/>
        </w:rPr>
        <w:t>”是用于存储、管理和发布未来一定期限内将到期</w:t>
      </w:r>
      <w:r>
        <w:rPr>
          <w:rFonts w:hint="eastAsia" w:ascii="仿宋" w:hAnsi="仿宋" w:eastAsia="仿宋" w:cs="仿宋"/>
          <w:sz w:val="28"/>
          <w:szCs w:val="28"/>
          <w:lang w:val="en-US" w:eastAsia="zh-CN"/>
        </w:rPr>
        <w:t>或已到期</w:t>
      </w:r>
      <w:r>
        <w:rPr>
          <w:rFonts w:hint="eastAsia" w:ascii="仿宋" w:hAnsi="仿宋" w:eastAsia="仿宋" w:cs="仿宋"/>
          <w:sz w:val="28"/>
          <w:szCs w:val="28"/>
        </w:rPr>
        <w:t>的非住宅宗地续期补缴地价的信息化平台，为土地使用权人提供</w:t>
      </w:r>
      <w:r>
        <w:rPr>
          <w:rFonts w:hint="eastAsia" w:ascii="仿宋" w:hAnsi="仿宋" w:eastAsia="仿宋" w:cs="仿宋"/>
          <w:sz w:val="28"/>
          <w:szCs w:val="28"/>
          <w:lang w:val="en-US" w:eastAsia="zh-CN"/>
        </w:rPr>
        <w:t>土地续期补缴</w:t>
      </w:r>
      <w:r>
        <w:rPr>
          <w:rFonts w:hint="eastAsia" w:ascii="仿宋" w:hAnsi="仿宋" w:eastAsia="仿宋" w:cs="仿宋"/>
          <w:sz w:val="28"/>
          <w:szCs w:val="28"/>
        </w:rPr>
        <w:t>价格</w:t>
      </w:r>
      <w:r>
        <w:rPr>
          <w:rFonts w:hint="eastAsia" w:ascii="仿宋" w:hAnsi="仿宋" w:eastAsia="仿宋" w:cs="仿宋"/>
          <w:sz w:val="28"/>
          <w:szCs w:val="28"/>
          <w:lang w:val="en-US" w:eastAsia="zh-CN"/>
        </w:rPr>
        <w:t>参考</w:t>
      </w:r>
      <w:r>
        <w:rPr>
          <w:rFonts w:hint="eastAsia" w:ascii="仿宋" w:hAnsi="仿宋" w:eastAsia="仿宋" w:cs="仿宋"/>
          <w:sz w:val="28"/>
          <w:szCs w:val="28"/>
        </w:rPr>
        <w:t>，为后续正式续期审批提供地价依据。</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lang w:eastAsia="zh-CN"/>
        </w:rPr>
        <w:t>　　</w:t>
      </w:r>
      <w:r>
        <w:rPr>
          <w:rFonts w:hint="eastAsia" w:ascii="仿宋" w:hAnsi="仿宋" w:eastAsia="仿宋" w:cs="仿宋"/>
          <w:b/>
          <w:bCs/>
          <w:sz w:val="28"/>
          <w:szCs w:val="28"/>
        </w:rPr>
        <w:t>第六条</w:t>
      </w:r>
      <w:r>
        <w:rPr>
          <w:rFonts w:hint="eastAsia" w:ascii="仿宋" w:hAnsi="仿宋" w:eastAsia="仿宋" w:cs="仿宋"/>
          <w:b/>
          <w:bCs/>
          <w:sz w:val="28"/>
          <w:szCs w:val="28"/>
          <w:lang w:eastAsia="zh-CN"/>
        </w:rPr>
        <w:t>　</w:t>
      </w:r>
      <w:r>
        <w:rPr>
          <w:rFonts w:hint="eastAsia" w:ascii="仿宋" w:hAnsi="仿宋" w:eastAsia="仿宋" w:cs="仿宋"/>
          <w:b/>
          <w:bCs/>
          <w:sz w:val="28"/>
          <w:szCs w:val="28"/>
        </w:rPr>
        <w:t>范围确定</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lang w:eastAsia="zh-CN"/>
        </w:rPr>
        <w:t>　　</w:t>
      </w:r>
      <w:r>
        <w:rPr>
          <w:rFonts w:hint="eastAsia" w:ascii="仿宋" w:hAnsi="仿宋" w:eastAsia="仿宋" w:cs="仿宋"/>
          <w:sz w:val="28"/>
          <w:szCs w:val="28"/>
        </w:rPr>
        <w:t>以本规则实施为起点，由区</w:t>
      </w:r>
      <w:r>
        <w:rPr>
          <w:rFonts w:hint="eastAsia" w:ascii="仿宋" w:hAnsi="仿宋" w:eastAsia="仿宋" w:cs="仿宋"/>
          <w:sz w:val="28"/>
          <w:szCs w:val="28"/>
          <w:lang w:eastAsia="zh-CN"/>
        </w:rPr>
        <w:t>规资局</w:t>
      </w:r>
      <w:r>
        <w:rPr>
          <w:rFonts w:hint="eastAsia" w:ascii="仿宋" w:hAnsi="仿宋" w:eastAsia="仿宋" w:cs="仿宋"/>
          <w:sz w:val="28"/>
          <w:szCs w:val="28"/>
        </w:rPr>
        <w:t>组织梳</w:t>
      </w:r>
      <w:r>
        <w:rPr>
          <w:rFonts w:hint="eastAsia" w:ascii="仿宋" w:hAnsi="仿宋" w:eastAsia="仿宋" w:cs="仿宋"/>
          <w:sz w:val="28"/>
          <w:szCs w:val="28"/>
          <w:highlight w:val="none"/>
        </w:rPr>
        <w:t>理</w:t>
      </w:r>
      <w:r>
        <w:rPr>
          <w:rFonts w:hint="eastAsia" w:ascii="仿宋" w:hAnsi="仿宋" w:eastAsia="仿宋" w:cs="仿宋"/>
          <w:sz w:val="28"/>
          <w:szCs w:val="28"/>
          <w:highlight w:val="none"/>
          <w:lang w:val="en-US" w:eastAsia="zh-CN"/>
        </w:rPr>
        <w:t>已到期及</w:t>
      </w:r>
      <w:r>
        <w:rPr>
          <w:rFonts w:hint="eastAsia" w:ascii="仿宋" w:hAnsi="仿宋" w:eastAsia="仿宋" w:cs="仿宋"/>
          <w:sz w:val="28"/>
          <w:szCs w:val="28"/>
          <w:highlight w:val="none"/>
        </w:rPr>
        <w:t>未来</w:t>
      </w:r>
      <w:r>
        <w:rPr>
          <w:rFonts w:hint="eastAsia" w:ascii="仿宋" w:hAnsi="仿宋" w:eastAsia="仿宋" w:cs="仿宋"/>
          <w:sz w:val="28"/>
          <w:szCs w:val="28"/>
          <w:highlight w:val="none"/>
          <w:lang w:val="en-US" w:eastAsia="zh-CN"/>
        </w:rPr>
        <w:t>五</w:t>
      </w:r>
      <w:r>
        <w:rPr>
          <w:rFonts w:hint="eastAsia" w:ascii="仿宋" w:hAnsi="仿宋" w:eastAsia="仿宋" w:cs="仿宋"/>
          <w:sz w:val="28"/>
          <w:szCs w:val="28"/>
          <w:highlight w:val="none"/>
        </w:rPr>
        <w:t>年内</w:t>
      </w:r>
      <w:r>
        <w:rPr>
          <w:rFonts w:hint="eastAsia" w:ascii="仿宋" w:hAnsi="仿宋" w:eastAsia="仿宋" w:cs="仿宋"/>
          <w:sz w:val="28"/>
          <w:szCs w:val="28"/>
        </w:rPr>
        <w:t>（可按自然年度或滚动年度）使用权期限将届满的非住宅宗地，形成初始评估宗地清单。</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b/>
          <w:bCs/>
          <w:sz w:val="28"/>
          <w:szCs w:val="28"/>
        </w:rPr>
      </w:pPr>
      <w:r>
        <w:rPr>
          <w:rFonts w:hint="eastAsia" w:ascii="仿宋" w:hAnsi="仿宋" w:eastAsia="仿宋" w:cs="仿宋"/>
          <w:sz w:val="28"/>
          <w:szCs w:val="28"/>
          <w:lang w:eastAsia="zh-CN"/>
        </w:rPr>
        <w:t>　　</w:t>
      </w:r>
      <w:r>
        <w:rPr>
          <w:rFonts w:hint="eastAsia" w:ascii="仿宋" w:hAnsi="仿宋" w:eastAsia="仿宋" w:cs="仿宋"/>
          <w:b/>
          <w:bCs/>
          <w:sz w:val="28"/>
          <w:szCs w:val="28"/>
        </w:rPr>
        <w:t>第七条</w:t>
      </w:r>
      <w:r>
        <w:rPr>
          <w:rFonts w:hint="eastAsia" w:ascii="仿宋" w:hAnsi="仿宋" w:eastAsia="仿宋" w:cs="仿宋"/>
          <w:b/>
          <w:bCs/>
          <w:sz w:val="28"/>
          <w:szCs w:val="28"/>
          <w:lang w:eastAsia="zh-CN"/>
        </w:rPr>
        <w:t>　</w:t>
      </w:r>
      <w:r>
        <w:rPr>
          <w:rFonts w:hint="eastAsia" w:ascii="仿宋" w:hAnsi="仿宋" w:eastAsia="仿宋" w:cs="仿宋"/>
          <w:b/>
          <w:bCs/>
          <w:sz w:val="28"/>
          <w:szCs w:val="28"/>
        </w:rPr>
        <w:t>委托评估</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lang w:eastAsia="zh-CN"/>
        </w:rPr>
        <w:t>　　</w:t>
      </w:r>
      <w:r>
        <w:rPr>
          <w:rFonts w:hint="eastAsia" w:ascii="仿宋" w:hAnsi="仿宋" w:eastAsia="仿宋" w:cs="仿宋"/>
          <w:sz w:val="28"/>
          <w:szCs w:val="28"/>
        </w:rPr>
        <w:t>区</w:t>
      </w:r>
      <w:r>
        <w:rPr>
          <w:rFonts w:hint="eastAsia" w:ascii="仿宋" w:hAnsi="仿宋" w:eastAsia="仿宋" w:cs="仿宋"/>
          <w:sz w:val="28"/>
          <w:szCs w:val="28"/>
          <w:lang w:eastAsia="zh-CN"/>
        </w:rPr>
        <w:t>规资局</w:t>
      </w:r>
      <w:r>
        <w:rPr>
          <w:rFonts w:hint="eastAsia" w:ascii="仿宋" w:hAnsi="仿宋" w:eastAsia="仿宋" w:cs="仿宋"/>
          <w:sz w:val="28"/>
          <w:szCs w:val="28"/>
        </w:rPr>
        <w:t>通过规范程序，委托具备相应资质的土地估价机构（以下简称“评估机构”）承担批量预评估工作。</w:t>
      </w:r>
    </w:p>
    <w:p>
      <w:pPr>
        <w:keepNext w:val="0"/>
        <w:keepLines w:val="0"/>
        <w:pageBreakBefore w:val="0"/>
        <w:kinsoku/>
        <w:wordWrap/>
        <w:overflowPunct/>
        <w:topLinePunct w:val="0"/>
        <w:autoSpaceDE/>
        <w:autoSpaceDN/>
        <w:bidi w:val="0"/>
        <w:adjustRightInd/>
        <w:snapToGrid/>
        <w:spacing w:line="560" w:lineRule="exact"/>
        <w:textAlignment w:val="auto"/>
        <w:rPr>
          <w:rFonts w:hint="default" w:ascii="仿宋" w:hAnsi="仿宋" w:eastAsia="仿宋" w:cs="仿宋"/>
          <w:b/>
          <w:bCs/>
          <w:sz w:val="28"/>
          <w:szCs w:val="28"/>
          <w:lang w:val="en-US"/>
        </w:rPr>
      </w:pPr>
      <w:r>
        <w:rPr>
          <w:rFonts w:hint="eastAsia" w:ascii="仿宋" w:hAnsi="仿宋" w:eastAsia="仿宋" w:cs="仿宋"/>
          <w:b/>
          <w:bCs/>
          <w:sz w:val="28"/>
          <w:szCs w:val="28"/>
          <w:lang w:eastAsia="zh-CN"/>
        </w:rPr>
        <w:t>　　</w:t>
      </w:r>
      <w:r>
        <w:rPr>
          <w:rFonts w:hint="eastAsia" w:ascii="仿宋" w:hAnsi="仿宋" w:eastAsia="仿宋" w:cs="仿宋"/>
          <w:b/>
          <w:bCs/>
          <w:sz w:val="28"/>
          <w:szCs w:val="28"/>
        </w:rPr>
        <w:t>第八条</w:t>
      </w:r>
      <w:r>
        <w:rPr>
          <w:rFonts w:hint="eastAsia" w:ascii="仿宋" w:hAnsi="仿宋" w:eastAsia="仿宋" w:cs="仿宋"/>
          <w:b/>
          <w:bCs/>
          <w:sz w:val="28"/>
          <w:szCs w:val="28"/>
          <w:lang w:eastAsia="zh-CN"/>
        </w:rPr>
        <w:t>　</w:t>
      </w:r>
      <w:r>
        <w:rPr>
          <w:rFonts w:hint="eastAsia" w:ascii="仿宋" w:hAnsi="仿宋" w:eastAsia="仿宋" w:cs="仿宋"/>
          <w:b/>
          <w:bCs/>
          <w:sz w:val="28"/>
          <w:szCs w:val="28"/>
          <w:lang w:val="en-US" w:eastAsia="zh-CN"/>
        </w:rPr>
        <w:t>基础数据采集</w:t>
      </w:r>
    </w:p>
    <w:p>
      <w:pPr>
        <w:keepNext w:val="0"/>
        <w:keepLines w:val="0"/>
        <w:pageBreakBefore w:val="0"/>
        <w:kinsoku/>
        <w:wordWrap/>
        <w:overflowPunct/>
        <w:topLinePunct w:val="0"/>
        <w:autoSpaceDE/>
        <w:autoSpaceDN/>
        <w:bidi w:val="0"/>
        <w:adjustRightInd/>
        <w:snapToGrid/>
        <w:spacing w:line="560" w:lineRule="exact"/>
        <w:ind w:firstLine="560"/>
        <w:textAlignment w:val="auto"/>
        <w:rPr>
          <w:rFonts w:hint="eastAsia" w:ascii="仿宋" w:hAnsi="仿宋" w:eastAsia="仿宋" w:cs="仿宋"/>
          <w:sz w:val="28"/>
          <w:szCs w:val="28"/>
        </w:rPr>
      </w:pPr>
      <w:r>
        <w:rPr>
          <w:rFonts w:hint="eastAsia" w:ascii="仿宋" w:hAnsi="仿宋" w:eastAsia="仿宋" w:cs="仿宋"/>
          <w:sz w:val="28"/>
          <w:szCs w:val="28"/>
        </w:rPr>
        <w:t>评估机构应全面</w:t>
      </w:r>
      <w:r>
        <w:rPr>
          <w:rFonts w:hint="eastAsia" w:ascii="仿宋" w:hAnsi="仿宋" w:eastAsia="仿宋" w:cs="仿宋"/>
          <w:sz w:val="28"/>
          <w:szCs w:val="28"/>
          <w:lang w:val="en-US" w:eastAsia="zh-CN"/>
        </w:rPr>
        <w:t>采集和录入</w:t>
      </w:r>
      <w:r>
        <w:rPr>
          <w:rFonts w:hint="eastAsia" w:ascii="仿宋" w:hAnsi="仿宋" w:eastAsia="仿宋" w:cs="仿宋"/>
          <w:sz w:val="28"/>
          <w:szCs w:val="28"/>
        </w:rPr>
        <w:t>影响宗地地价的各项因素，包括</w:t>
      </w:r>
      <w:r>
        <w:rPr>
          <w:rFonts w:hint="eastAsia" w:ascii="仿宋" w:hAnsi="仿宋" w:eastAsia="仿宋" w:cs="仿宋"/>
          <w:sz w:val="28"/>
          <w:szCs w:val="28"/>
          <w:highlight w:val="none"/>
          <w:lang w:val="en-US" w:eastAsia="zh-CN"/>
        </w:rPr>
        <w:t>房屋</w:t>
      </w:r>
      <w:r>
        <w:rPr>
          <w:rFonts w:hint="eastAsia" w:ascii="仿宋" w:hAnsi="仿宋" w:eastAsia="仿宋" w:cs="仿宋"/>
          <w:sz w:val="28"/>
          <w:szCs w:val="28"/>
          <w:highlight w:val="none"/>
        </w:rPr>
        <w:t>用途</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楼层</w:t>
      </w:r>
      <w:r>
        <w:rPr>
          <w:rFonts w:hint="eastAsia" w:ascii="仿宋" w:hAnsi="仿宋" w:eastAsia="仿宋" w:cs="仿宋"/>
          <w:sz w:val="28"/>
          <w:szCs w:val="28"/>
          <w:highlight w:val="none"/>
        </w:rPr>
        <w:t>、临街</w:t>
      </w:r>
      <w:r>
        <w:rPr>
          <w:rFonts w:hint="eastAsia" w:ascii="仿宋" w:hAnsi="仿宋" w:eastAsia="仿宋" w:cs="仿宋"/>
          <w:sz w:val="28"/>
          <w:szCs w:val="28"/>
          <w:highlight w:val="none"/>
          <w:lang w:val="en-US" w:eastAsia="zh-CN"/>
        </w:rPr>
        <w:t>状况、</w:t>
      </w:r>
      <w:r>
        <w:rPr>
          <w:rFonts w:hint="eastAsia" w:ascii="仿宋" w:hAnsi="仿宋" w:eastAsia="仿宋" w:cs="仿宋"/>
          <w:sz w:val="28"/>
          <w:szCs w:val="28"/>
          <w:highlight w:val="none"/>
        </w:rPr>
        <w:t>道路类型、商服繁华度等</w:t>
      </w:r>
      <w:r>
        <w:rPr>
          <w:rFonts w:hint="eastAsia" w:ascii="仿宋" w:hAnsi="仿宋" w:eastAsia="仿宋" w:cs="仿宋"/>
          <w:sz w:val="28"/>
          <w:szCs w:val="28"/>
          <w:highlight w:val="none"/>
          <w:lang w:eastAsia="zh-CN"/>
        </w:rPr>
        <w:t>，</w:t>
      </w:r>
      <w:r>
        <w:rPr>
          <w:rFonts w:hint="eastAsia" w:ascii="仿宋" w:hAnsi="仿宋" w:eastAsia="仿宋" w:cs="仿宋"/>
          <w:sz w:val="28"/>
          <w:szCs w:val="28"/>
          <w:lang w:val="en-US" w:eastAsia="zh-CN"/>
        </w:rPr>
        <w:t>为后续编制价格评估修正</w:t>
      </w:r>
      <w:r>
        <w:rPr>
          <w:rFonts w:hint="eastAsia" w:ascii="仿宋" w:hAnsi="仿宋" w:eastAsia="仿宋" w:cs="仿宋"/>
          <w:sz w:val="28"/>
          <w:szCs w:val="28"/>
        </w:rPr>
        <w:t>体系</w:t>
      </w:r>
      <w:r>
        <w:rPr>
          <w:rFonts w:hint="eastAsia" w:ascii="仿宋" w:hAnsi="仿宋" w:eastAsia="仿宋" w:cs="仿宋"/>
          <w:sz w:val="28"/>
          <w:szCs w:val="28"/>
          <w:lang w:val="en-US" w:eastAsia="zh-CN"/>
        </w:rPr>
        <w:t>提供基础数据</w:t>
      </w:r>
      <w:r>
        <w:rPr>
          <w:rFonts w:hint="eastAsia" w:ascii="仿宋" w:hAnsi="仿宋" w:eastAsia="仿宋" w:cs="仿宋"/>
          <w:sz w:val="28"/>
          <w:szCs w:val="28"/>
        </w:rPr>
        <w:t>。</w:t>
      </w:r>
    </w:p>
    <w:p>
      <w:pPr>
        <w:keepNext w:val="0"/>
        <w:keepLines w:val="0"/>
        <w:pageBreakBefore w:val="0"/>
        <w:kinsoku/>
        <w:wordWrap/>
        <w:overflowPunct/>
        <w:topLinePunct w:val="0"/>
        <w:autoSpaceDE/>
        <w:autoSpaceDN/>
        <w:bidi w:val="0"/>
        <w:adjustRightInd/>
        <w:snapToGrid/>
        <w:spacing w:line="560"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各影响因素的实际状况认定，以现场查勘记录、合法有效的产权文件、规划许可文件等为依据。对于存在争议或复杂情况的因素，由区规资局根据相关规定予以认定。</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b/>
          <w:bCs/>
          <w:sz w:val="28"/>
          <w:szCs w:val="28"/>
        </w:rPr>
      </w:pPr>
      <w:r>
        <w:rPr>
          <w:rFonts w:hint="eastAsia" w:ascii="仿宋" w:hAnsi="仿宋" w:eastAsia="仿宋" w:cs="仿宋"/>
          <w:b/>
          <w:bCs/>
          <w:sz w:val="28"/>
          <w:szCs w:val="28"/>
          <w:lang w:eastAsia="zh-CN"/>
        </w:rPr>
        <w:t>　　</w:t>
      </w:r>
      <w:r>
        <w:rPr>
          <w:rFonts w:hint="eastAsia" w:ascii="仿宋" w:hAnsi="仿宋" w:eastAsia="仿宋" w:cs="仿宋"/>
          <w:b/>
          <w:bCs/>
          <w:sz w:val="28"/>
          <w:szCs w:val="28"/>
        </w:rPr>
        <w:t>第九条</w:t>
      </w:r>
      <w:r>
        <w:rPr>
          <w:rFonts w:hint="eastAsia" w:ascii="仿宋" w:hAnsi="仿宋" w:eastAsia="仿宋" w:cs="仿宋"/>
          <w:b/>
          <w:bCs/>
          <w:sz w:val="28"/>
          <w:szCs w:val="28"/>
          <w:lang w:eastAsia="zh-CN"/>
        </w:rPr>
        <w:t>　</w:t>
      </w:r>
      <w:r>
        <w:rPr>
          <w:rFonts w:hint="eastAsia" w:ascii="仿宋" w:hAnsi="仿宋" w:eastAsia="仿宋" w:cs="仿宋"/>
          <w:b/>
          <w:bCs/>
          <w:sz w:val="28"/>
          <w:szCs w:val="28"/>
          <w:lang w:val="en-US" w:eastAsia="zh-CN"/>
        </w:rPr>
        <w:t>价格评估</w:t>
      </w:r>
      <w:r>
        <w:rPr>
          <w:rFonts w:hint="eastAsia" w:ascii="仿宋" w:hAnsi="仿宋" w:eastAsia="仿宋" w:cs="仿宋"/>
          <w:b/>
          <w:bCs/>
          <w:sz w:val="28"/>
          <w:szCs w:val="28"/>
        </w:rPr>
        <w:t>与入库</w:t>
      </w:r>
    </w:p>
    <w:p>
      <w:pPr>
        <w:keepNext w:val="0"/>
        <w:keepLines w:val="0"/>
        <w:pageBreakBefore w:val="0"/>
        <w:kinsoku/>
        <w:wordWrap/>
        <w:overflowPunct/>
        <w:topLinePunct w:val="0"/>
        <w:autoSpaceDE/>
        <w:autoSpaceDN/>
        <w:bidi w:val="0"/>
        <w:adjustRightInd/>
        <w:snapToGrid/>
        <w:spacing w:line="560" w:lineRule="exact"/>
        <w:ind w:firstLine="563"/>
        <w:textAlignment w:val="auto"/>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价格评估</w:t>
      </w:r>
      <w:r>
        <w:rPr>
          <w:rFonts w:hint="eastAsia" w:ascii="仿宋" w:hAnsi="仿宋" w:eastAsia="仿宋" w:cs="仿宋"/>
          <w:sz w:val="28"/>
          <w:szCs w:val="28"/>
        </w:rPr>
        <w:t>：</w:t>
      </w:r>
      <w:r>
        <w:rPr>
          <w:rFonts w:hint="eastAsia" w:ascii="仿宋" w:hAnsi="仿宋" w:eastAsia="仿宋" w:cs="仿宋"/>
          <w:sz w:val="28"/>
          <w:szCs w:val="28"/>
          <w:lang w:val="en-US" w:eastAsia="zh-CN"/>
        </w:rPr>
        <w:t>以每年1月1日作为估价期日，</w:t>
      </w:r>
      <w:r>
        <w:rPr>
          <w:rFonts w:hint="eastAsia" w:ascii="仿宋" w:hAnsi="仿宋" w:eastAsia="仿宋" w:cs="仿宋"/>
          <w:sz w:val="28"/>
          <w:szCs w:val="28"/>
          <w:highlight w:val="none"/>
          <w:lang w:val="en-US" w:eastAsia="zh-CN"/>
        </w:rPr>
        <w:t>评估机构</w:t>
      </w:r>
      <w:r>
        <w:rPr>
          <w:rFonts w:hint="eastAsia" w:ascii="仿宋" w:hAnsi="仿宋" w:eastAsia="仿宋" w:cs="仿宋"/>
          <w:sz w:val="28"/>
          <w:szCs w:val="28"/>
          <w:lang w:val="en-US" w:eastAsia="zh-CN"/>
        </w:rPr>
        <w:t>在</w:t>
      </w:r>
      <w:r>
        <w:rPr>
          <w:rFonts w:hint="eastAsia" w:ascii="仿宋" w:hAnsi="仿宋" w:eastAsia="仿宋" w:cs="仿宋"/>
          <w:sz w:val="28"/>
          <w:szCs w:val="28"/>
        </w:rPr>
        <w:t>宗地对应的基准地价</w:t>
      </w:r>
      <w:r>
        <w:rPr>
          <w:rFonts w:hint="eastAsia" w:ascii="仿宋" w:hAnsi="仿宋" w:eastAsia="仿宋" w:cs="仿宋"/>
          <w:sz w:val="28"/>
          <w:szCs w:val="28"/>
          <w:lang w:val="en-US" w:eastAsia="zh-CN"/>
        </w:rPr>
        <w:t>基础上</w:t>
      </w:r>
      <w:r>
        <w:rPr>
          <w:rFonts w:hint="eastAsia" w:ascii="仿宋" w:hAnsi="仿宋" w:eastAsia="仿宋" w:cs="仿宋"/>
          <w:sz w:val="28"/>
          <w:szCs w:val="28"/>
          <w:highlight w:val="none"/>
          <w:lang w:val="en-US" w:eastAsia="zh-CN"/>
        </w:rPr>
        <w:t>制定续期基准价，并依据制定的修正体系进行评估，测算出各宗地申请续期时应补缴的地价。</w:t>
      </w:r>
    </w:p>
    <w:p>
      <w:pPr>
        <w:keepNext w:val="0"/>
        <w:keepLines w:val="0"/>
        <w:pageBreakBefore w:val="0"/>
        <w:kinsoku/>
        <w:wordWrap/>
        <w:overflowPunct/>
        <w:topLinePunct w:val="0"/>
        <w:autoSpaceDE/>
        <w:autoSpaceDN/>
        <w:bidi w:val="0"/>
        <w:adjustRightInd/>
        <w:snapToGrid/>
        <w:spacing w:line="560" w:lineRule="exact"/>
        <w:ind w:firstLine="560"/>
        <w:textAlignment w:val="auto"/>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eastAsia="zh-CN"/>
        </w:rPr>
        <w:t>、</w:t>
      </w:r>
      <w:r>
        <w:rPr>
          <w:rFonts w:hint="eastAsia" w:ascii="仿宋" w:hAnsi="仿宋" w:eastAsia="仿宋" w:cs="仿宋"/>
          <w:sz w:val="28"/>
          <w:szCs w:val="28"/>
        </w:rPr>
        <w:t>成果审核与入库</w:t>
      </w:r>
      <w:r>
        <w:rPr>
          <w:rFonts w:hint="eastAsia" w:ascii="仿宋" w:hAnsi="仿宋" w:eastAsia="仿宋" w:cs="仿宋"/>
          <w:sz w:val="28"/>
          <w:szCs w:val="28"/>
          <w:lang w:eastAsia="zh-CN"/>
        </w:rPr>
        <w:t>：</w:t>
      </w:r>
      <w:r>
        <w:rPr>
          <w:rFonts w:hint="eastAsia" w:ascii="仿宋" w:hAnsi="仿宋" w:eastAsia="仿宋" w:cs="仿宋"/>
          <w:sz w:val="28"/>
          <w:szCs w:val="28"/>
        </w:rPr>
        <w:t>评估机构提交的批量评估</w:t>
      </w:r>
      <w:r>
        <w:rPr>
          <w:rFonts w:hint="eastAsia" w:ascii="仿宋" w:hAnsi="仿宋" w:eastAsia="仿宋" w:cs="仿宋"/>
          <w:sz w:val="28"/>
          <w:szCs w:val="28"/>
          <w:lang w:val="en-US" w:eastAsia="zh-CN"/>
        </w:rPr>
        <w:t>结果</w:t>
      </w:r>
      <w:r>
        <w:rPr>
          <w:rFonts w:hint="eastAsia" w:ascii="仿宋" w:hAnsi="仿宋" w:eastAsia="仿宋" w:cs="仿宋"/>
          <w:sz w:val="28"/>
          <w:szCs w:val="28"/>
        </w:rPr>
        <w:t>及修正体系成果，经区</w:t>
      </w:r>
      <w:r>
        <w:rPr>
          <w:rFonts w:hint="eastAsia" w:ascii="仿宋" w:hAnsi="仿宋" w:eastAsia="仿宋" w:cs="仿宋"/>
          <w:sz w:val="28"/>
          <w:szCs w:val="28"/>
          <w:lang w:eastAsia="zh-CN"/>
        </w:rPr>
        <w:t>规资局</w:t>
      </w:r>
      <w:r>
        <w:rPr>
          <w:rFonts w:hint="eastAsia" w:ascii="仿宋" w:hAnsi="仿宋" w:eastAsia="仿宋" w:cs="仿宋"/>
          <w:sz w:val="28"/>
          <w:szCs w:val="28"/>
          <w:lang w:val="en-US" w:eastAsia="zh-CN"/>
        </w:rPr>
        <w:t>审核</w:t>
      </w:r>
      <w:r>
        <w:rPr>
          <w:rFonts w:hint="eastAsia" w:ascii="仿宋" w:hAnsi="仿宋" w:eastAsia="仿宋" w:cs="仿宋"/>
          <w:sz w:val="28"/>
          <w:szCs w:val="28"/>
        </w:rPr>
        <w:t>通过后，</w:t>
      </w:r>
      <w:r>
        <w:rPr>
          <w:rFonts w:hint="eastAsia" w:ascii="仿宋" w:hAnsi="仿宋" w:eastAsia="仿宋" w:cs="仿宋"/>
          <w:sz w:val="28"/>
          <w:szCs w:val="28"/>
          <w:lang w:val="en-US" w:eastAsia="zh-CN"/>
        </w:rPr>
        <w:t>并对成果经过听证，将</w:t>
      </w:r>
      <w:r>
        <w:rPr>
          <w:rFonts w:hint="eastAsia" w:ascii="仿宋" w:hAnsi="仿宋" w:eastAsia="仿宋" w:cs="仿宋"/>
          <w:sz w:val="28"/>
          <w:szCs w:val="28"/>
        </w:rPr>
        <w:t>各</w:t>
      </w:r>
      <w:r>
        <w:rPr>
          <w:rFonts w:hint="eastAsia" w:ascii="仿宋" w:hAnsi="仿宋" w:eastAsia="仿宋" w:cs="仿宋"/>
          <w:sz w:val="28"/>
          <w:szCs w:val="28"/>
          <w:lang w:val="en-US" w:eastAsia="zh-CN"/>
        </w:rPr>
        <w:t>房屋的基础信息和分摊土地</w:t>
      </w:r>
      <w:r>
        <w:rPr>
          <w:rFonts w:hint="eastAsia" w:ascii="仿宋" w:hAnsi="仿宋" w:eastAsia="仿宋" w:cs="仿宋"/>
          <w:sz w:val="28"/>
          <w:szCs w:val="28"/>
        </w:rPr>
        <w:t>的评估</w:t>
      </w:r>
      <w:r>
        <w:rPr>
          <w:rFonts w:hint="eastAsia" w:ascii="仿宋" w:hAnsi="仿宋" w:eastAsia="仿宋" w:cs="仿宋"/>
          <w:sz w:val="28"/>
          <w:szCs w:val="28"/>
          <w:lang w:val="en-US" w:eastAsia="zh-CN"/>
        </w:rPr>
        <w:t>结果</w:t>
      </w:r>
      <w:r>
        <w:rPr>
          <w:rFonts w:hint="eastAsia" w:ascii="仿宋" w:hAnsi="仿宋" w:eastAsia="仿宋" w:cs="仿宋"/>
          <w:sz w:val="28"/>
          <w:szCs w:val="28"/>
        </w:rPr>
        <w:t>一并录入“</w:t>
      </w:r>
      <w:r>
        <w:rPr>
          <w:rFonts w:hint="eastAsia" w:ascii="仿宋" w:hAnsi="仿宋" w:eastAsia="仿宋" w:cs="仿宋"/>
          <w:sz w:val="28"/>
          <w:szCs w:val="28"/>
          <w:lang w:val="en-US" w:eastAsia="zh-CN"/>
        </w:rPr>
        <w:t>管理</w:t>
      </w:r>
      <w:r>
        <w:rPr>
          <w:rFonts w:hint="eastAsia" w:ascii="仿宋" w:hAnsi="仿宋" w:eastAsia="仿宋" w:cs="仿宋"/>
          <w:sz w:val="28"/>
          <w:szCs w:val="28"/>
        </w:rPr>
        <w:t>系统”。</w:t>
      </w:r>
    </w:p>
    <w:p>
      <w:pPr>
        <w:keepNext w:val="0"/>
        <w:keepLines w:val="0"/>
        <w:pageBreakBefore w:val="0"/>
        <w:kinsoku/>
        <w:wordWrap/>
        <w:overflowPunct/>
        <w:topLinePunct w:val="0"/>
        <w:autoSpaceDE/>
        <w:autoSpaceDN/>
        <w:bidi w:val="0"/>
        <w:adjustRightInd/>
        <w:snapToGrid/>
        <w:spacing w:line="560" w:lineRule="exact"/>
        <w:ind w:firstLine="560"/>
        <w:textAlignment w:val="auto"/>
        <w:rPr>
          <w:rFonts w:hint="eastAsia" w:ascii="仿宋" w:hAnsi="仿宋" w:eastAsia="仿宋" w:cs="仿宋"/>
          <w:sz w:val="28"/>
          <w:szCs w:val="28"/>
        </w:rPr>
      </w:pPr>
      <w:r>
        <w:rPr>
          <w:rFonts w:hint="eastAsia" w:ascii="仿宋" w:hAnsi="仿宋" w:eastAsia="仿宋" w:cs="仿宋"/>
          <w:b/>
          <w:bCs/>
          <w:sz w:val="28"/>
          <w:szCs w:val="28"/>
          <w:lang w:val="en-US" w:eastAsia="zh-CN"/>
        </w:rPr>
        <w:t>第十条　续期</w:t>
      </w:r>
      <w:r>
        <w:rPr>
          <w:rFonts w:hint="eastAsia" w:ascii="仿宋" w:hAnsi="仿宋" w:eastAsia="仿宋" w:cs="仿宋"/>
          <w:b/>
          <w:bCs/>
          <w:sz w:val="28"/>
          <w:szCs w:val="28"/>
        </w:rPr>
        <w:t>年期选择与价款计算</w:t>
      </w:r>
    </w:p>
    <w:p>
      <w:pPr>
        <w:pStyle w:val="6"/>
        <w:keepNext w:val="0"/>
        <w:keepLines w:val="0"/>
        <w:pageBreakBefore w:val="0"/>
        <w:widowControl/>
        <w:suppressLineNumbers w:val="0"/>
        <w:kinsoku/>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eastAsia="zh-CN"/>
        </w:rPr>
        <w:t>１、</w:t>
      </w:r>
      <w:r>
        <w:rPr>
          <w:rFonts w:hint="eastAsia" w:ascii="仿宋" w:hAnsi="仿宋" w:eastAsia="仿宋" w:cs="仿宋"/>
          <w:sz w:val="28"/>
          <w:szCs w:val="28"/>
          <w:lang w:val="en-US" w:eastAsia="zh-CN"/>
        </w:rPr>
        <w:t>续期年期的选择应当遵循土地使用权人的实际需求，续期年期最长不得超过相应土地用途法定最高出让年限</w:t>
      </w:r>
      <w:r>
        <w:rPr>
          <w:rFonts w:ascii="仿宋" w:hAnsi="仿宋" w:eastAsia="仿宋"/>
          <w:sz w:val="28"/>
          <w:szCs w:val="28"/>
          <w:highlight w:val="none"/>
        </w:rPr>
        <w:t>（商业 40 年、工业 50 年、公共管理与公共服务用地 50 年）</w:t>
      </w:r>
      <w:r>
        <w:rPr>
          <w:rFonts w:hint="eastAsia" w:ascii="仿宋" w:hAnsi="仿宋" w:eastAsia="仿宋" w:cs="仿宋"/>
          <w:sz w:val="28"/>
          <w:szCs w:val="28"/>
          <w:lang w:val="en-US" w:eastAsia="zh-CN"/>
        </w:rPr>
        <w:t xml:space="preserve">，最短不得低于 </w:t>
      </w:r>
      <w:r>
        <w:rPr>
          <w:rFonts w:hint="default" w:ascii="仿宋" w:hAnsi="仿宋" w:eastAsia="仿宋" w:cs="仿宋"/>
          <w:sz w:val="28"/>
          <w:szCs w:val="28"/>
          <w:lang w:val="en-US" w:eastAsia="zh-CN"/>
        </w:rPr>
        <w:t>3</w:t>
      </w:r>
      <w:r>
        <w:rPr>
          <w:rFonts w:hint="eastAsia" w:ascii="仿宋" w:hAnsi="仿宋" w:eastAsia="仿宋" w:cs="仿宋"/>
          <w:sz w:val="28"/>
          <w:szCs w:val="28"/>
          <w:lang w:val="en-US" w:eastAsia="zh-CN"/>
        </w:rPr>
        <w:t>年。</w:t>
      </w:r>
    </w:p>
    <w:p>
      <w:pPr>
        <w:pStyle w:val="6"/>
        <w:keepNext w:val="0"/>
        <w:keepLines w:val="0"/>
        <w:pageBreakBefore w:val="0"/>
        <w:widowControl/>
        <w:suppressLineNumbers w:val="0"/>
        <w:kinsoku/>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本规则生效前已到期的土地使用权续期，其续期年限为已逾期年限与未来申请续期年限之和，未来申请续期年限不低于3年。</w:t>
      </w:r>
    </w:p>
    <w:p>
      <w:pPr>
        <w:keepNext w:val="0"/>
        <w:keepLines w:val="0"/>
        <w:pageBreakBefore w:val="0"/>
        <w:kinsoku/>
        <w:wordWrap/>
        <w:overflowPunct/>
        <w:topLinePunct w:val="0"/>
        <w:autoSpaceDE/>
        <w:autoSpaceDN/>
        <w:bidi w:val="0"/>
        <w:adjustRightInd/>
        <w:snapToGrid/>
        <w:spacing w:line="560" w:lineRule="exact"/>
        <w:ind w:firstLine="56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２、评估机构应</w:t>
      </w:r>
      <w:r>
        <w:rPr>
          <w:rFonts w:hint="eastAsia" w:ascii="仿宋" w:hAnsi="仿宋" w:eastAsia="仿宋" w:cs="仿宋"/>
          <w:sz w:val="28"/>
          <w:szCs w:val="28"/>
        </w:rPr>
        <w:t>测算按照该宗地法定出让最高年限续期时需补缴的地价款总额</w:t>
      </w:r>
      <w:r>
        <w:rPr>
          <w:rFonts w:hint="eastAsia" w:ascii="仿宋" w:hAnsi="仿宋" w:eastAsia="仿宋" w:cs="仿宋"/>
          <w:sz w:val="28"/>
          <w:szCs w:val="28"/>
          <w:lang w:eastAsia="zh-CN"/>
        </w:rPr>
        <w:t>，</w:t>
      </w:r>
      <w:r>
        <w:rPr>
          <w:rFonts w:hint="eastAsia" w:ascii="仿宋" w:hAnsi="仿宋" w:eastAsia="仿宋" w:cs="仿宋"/>
          <w:sz w:val="28"/>
          <w:szCs w:val="28"/>
        </w:rPr>
        <w:t>“</w:t>
      </w:r>
      <w:r>
        <w:rPr>
          <w:rFonts w:hint="eastAsia" w:ascii="仿宋" w:hAnsi="仿宋" w:eastAsia="仿宋" w:cs="仿宋"/>
          <w:sz w:val="28"/>
          <w:szCs w:val="28"/>
          <w:lang w:val="en-US" w:eastAsia="zh-CN"/>
        </w:rPr>
        <w:t>管理</w:t>
      </w:r>
      <w:r>
        <w:rPr>
          <w:rFonts w:hint="eastAsia" w:ascii="仿宋" w:hAnsi="仿宋" w:eastAsia="仿宋" w:cs="仿宋"/>
          <w:sz w:val="28"/>
          <w:szCs w:val="28"/>
        </w:rPr>
        <w:t>系统”应当根据以下公式自动计算不同续期年期对应的应补缴地价款：</w:t>
      </w:r>
    </w:p>
    <w:p>
      <w:pPr>
        <w:keepNext w:val="0"/>
        <w:keepLines w:val="0"/>
        <w:pageBreakBefore w:val="0"/>
        <w:kinsoku/>
        <w:wordWrap/>
        <w:overflowPunct/>
        <w:topLinePunct w:val="0"/>
        <w:autoSpaceDE/>
        <w:autoSpaceDN/>
        <w:bidi w:val="0"/>
        <w:adjustRightInd/>
        <w:snapToGrid/>
        <w:spacing w:line="560" w:lineRule="exact"/>
        <w:ind w:firstLine="560"/>
        <w:textAlignment w:val="auto"/>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申请续期</w:t>
      </w:r>
      <w:r>
        <w:rPr>
          <w:rFonts w:hint="eastAsia" w:ascii="仿宋" w:hAnsi="仿宋" w:eastAsia="仿宋" w:cs="仿宋"/>
          <w:sz w:val="28"/>
          <w:szCs w:val="28"/>
        </w:rPr>
        <w:t>年期应</w:t>
      </w:r>
      <w:r>
        <w:rPr>
          <w:rFonts w:hint="eastAsia" w:ascii="仿宋" w:hAnsi="仿宋" w:eastAsia="仿宋" w:cs="仿宋"/>
          <w:sz w:val="28"/>
          <w:szCs w:val="28"/>
          <w:lang w:val="en-US" w:eastAsia="zh-CN"/>
        </w:rPr>
        <w:t>补缴</w:t>
      </w:r>
      <w:r>
        <w:rPr>
          <w:rFonts w:hint="eastAsia" w:ascii="仿宋" w:hAnsi="仿宋" w:eastAsia="仿宋" w:cs="仿宋"/>
          <w:sz w:val="28"/>
          <w:szCs w:val="28"/>
        </w:rPr>
        <w:t>地价款</w:t>
      </w:r>
      <w:r>
        <w:rPr>
          <w:rFonts w:hint="eastAsia" w:ascii="仿宋" w:hAnsi="仿宋" w:eastAsia="仿宋" w:cs="仿宋"/>
          <w:sz w:val="28"/>
          <w:szCs w:val="28"/>
          <w:lang w:eastAsia="zh-CN"/>
        </w:rPr>
        <w:t>＝</w:t>
      </w:r>
      <w:r>
        <w:rPr>
          <w:rFonts w:hint="eastAsia" w:ascii="仿宋" w:hAnsi="仿宋" w:eastAsia="仿宋" w:cs="仿宋"/>
          <w:sz w:val="28"/>
          <w:szCs w:val="28"/>
        </w:rPr>
        <w:t>法定最高年限</w:t>
      </w:r>
      <w:r>
        <w:rPr>
          <w:rFonts w:hint="eastAsia" w:ascii="仿宋" w:hAnsi="仿宋" w:eastAsia="仿宋" w:cs="仿宋"/>
          <w:sz w:val="28"/>
          <w:szCs w:val="28"/>
          <w:lang w:val="en-US" w:eastAsia="zh-CN"/>
        </w:rPr>
        <w:t>补缴地价×</w:t>
      </w:r>
      <w:r>
        <w:rPr>
          <w:rFonts w:hint="eastAsia" w:ascii="仿宋" w:hAnsi="仿宋" w:eastAsia="仿宋" w:cs="仿宋"/>
          <w:sz w:val="28"/>
          <w:szCs w:val="28"/>
        </w:rPr>
        <w:t>对应</w:t>
      </w:r>
      <w:r>
        <w:rPr>
          <w:rFonts w:hint="eastAsia" w:ascii="仿宋" w:hAnsi="仿宋" w:eastAsia="仿宋" w:cs="仿宋"/>
          <w:sz w:val="28"/>
          <w:szCs w:val="28"/>
          <w:lang w:val="en-US" w:eastAsia="zh-CN"/>
        </w:rPr>
        <w:t>续期年限</w:t>
      </w:r>
      <w:r>
        <w:rPr>
          <w:rFonts w:hint="eastAsia" w:ascii="仿宋" w:hAnsi="仿宋" w:eastAsia="仿宋" w:cs="仿宋"/>
          <w:sz w:val="28"/>
          <w:szCs w:val="28"/>
        </w:rPr>
        <w:t>的修正系数</w:t>
      </w:r>
    </w:p>
    <w:p>
      <w:pPr>
        <w:pStyle w:val="13"/>
        <w:keepNext w:val="0"/>
        <w:keepLines w:val="0"/>
        <w:pageBreakBefore w:val="0"/>
        <w:widowControl/>
        <w:kinsoku/>
        <w:wordWrap w:val="0"/>
        <w:overflowPunct/>
        <w:topLinePunct w:val="0"/>
        <w:autoSpaceDE/>
        <w:autoSpaceDN/>
        <w:bidi w:val="0"/>
        <w:adjustRightInd/>
        <w:snapToGrid/>
        <w:spacing w:before="0" w:after="0" w:line="560" w:lineRule="exact"/>
        <w:ind w:firstLine="560" w:firstLineChars="200"/>
        <w:textAlignment w:val="auto"/>
        <w:rPr>
          <w:rFonts w:hint="eastAsia" w:ascii="仿宋" w:hAnsi="仿宋" w:eastAsia="仿宋"/>
          <w:sz w:val="28"/>
          <w:szCs w:val="28"/>
        </w:rPr>
      </w:pPr>
      <w:r>
        <w:rPr>
          <w:rFonts w:hint="eastAsia" w:ascii="仿宋" w:hAnsi="仿宋" w:eastAsia="仿宋" w:cs="仿宋"/>
          <w:sz w:val="28"/>
          <w:szCs w:val="28"/>
        </w:rPr>
        <w:t>对应</w:t>
      </w:r>
      <w:r>
        <w:rPr>
          <w:rFonts w:hint="eastAsia" w:ascii="仿宋" w:hAnsi="仿宋" w:eastAsia="仿宋" w:cs="仿宋"/>
          <w:sz w:val="28"/>
          <w:szCs w:val="28"/>
          <w:lang w:val="en-US" w:eastAsia="zh-CN"/>
        </w:rPr>
        <w:t>续期年限</w:t>
      </w:r>
      <w:r>
        <w:rPr>
          <w:rFonts w:hint="eastAsia" w:ascii="仿宋" w:hAnsi="仿宋" w:eastAsia="仿宋" w:cs="仿宋"/>
          <w:sz w:val="28"/>
          <w:szCs w:val="28"/>
        </w:rPr>
        <w:t>的修正系数</w:t>
      </w:r>
      <w:r>
        <w:rPr>
          <w:rFonts w:ascii="仿宋" w:hAnsi="仿宋" w:eastAsia="仿宋"/>
          <w:sz w:val="28"/>
          <w:szCs w:val="28"/>
        </w:rPr>
        <w:t>=[1-1/(1+r)</w:t>
      </w:r>
      <w:r>
        <w:rPr>
          <w:rFonts w:hint="eastAsia" w:ascii="仿宋" w:hAnsi="仿宋" w:eastAsia="仿宋"/>
          <w:sz w:val="28"/>
          <w:szCs w:val="28"/>
          <w:vertAlign w:val="superscript"/>
          <w:lang w:eastAsia="zh-CN"/>
        </w:rPr>
        <w:t>ｎ</w:t>
      </w:r>
      <w:r>
        <w:rPr>
          <w:rFonts w:ascii="仿宋" w:hAnsi="仿宋" w:eastAsia="仿宋"/>
          <w:sz w:val="28"/>
          <w:szCs w:val="28"/>
        </w:rPr>
        <w:t>]/[1-1/(1+r)</w:t>
      </w:r>
      <w:r>
        <w:rPr>
          <w:rFonts w:ascii="仿宋" w:hAnsi="仿宋" w:eastAsia="仿宋"/>
          <w:sz w:val="28"/>
          <w:szCs w:val="28"/>
          <w:vertAlign w:val="superscript"/>
        </w:rPr>
        <w:t>m</w:t>
      </w:r>
      <w:r>
        <w:rPr>
          <w:rFonts w:ascii="仿宋" w:hAnsi="仿宋" w:eastAsia="仿宋"/>
          <w:sz w:val="28"/>
          <w:szCs w:val="28"/>
        </w:rPr>
        <w:t>]</w:t>
      </w:r>
    </w:p>
    <w:p>
      <w:pPr>
        <w:keepNext w:val="0"/>
        <w:keepLines w:val="0"/>
        <w:pageBreakBefore w:val="0"/>
        <w:kinsoku/>
        <w:wordWrap/>
        <w:overflowPunct/>
        <w:topLinePunct w:val="0"/>
        <w:autoSpaceDE/>
        <w:autoSpaceDN/>
        <w:bidi w:val="0"/>
        <w:adjustRightInd/>
        <w:snapToGrid/>
        <w:spacing w:line="560" w:lineRule="exact"/>
        <w:ind w:firstLine="560"/>
        <w:textAlignment w:val="auto"/>
        <w:rPr>
          <w:rFonts w:hint="eastAsia" w:ascii="仿宋" w:hAnsi="仿宋" w:eastAsia="仿宋" w:cs="仿宋"/>
          <w:sz w:val="28"/>
          <w:szCs w:val="28"/>
        </w:rPr>
      </w:pPr>
      <w:r>
        <w:rPr>
          <w:rFonts w:ascii="仿宋" w:hAnsi="仿宋" w:eastAsia="仿宋"/>
          <w:sz w:val="28"/>
          <w:szCs w:val="28"/>
        </w:rPr>
        <w:t>（r = 土地还原率</w:t>
      </w:r>
      <w:r>
        <w:rPr>
          <w:rFonts w:hint="eastAsia" w:ascii="仿宋" w:hAnsi="仿宋" w:eastAsia="仿宋"/>
          <w:sz w:val="28"/>
          <w:szCs w:val="28"/>
          <w:lang w:eastAsia="zh-CN"/>
        </w:rPr>
        <w:t>，</w:t>
      </w:r>
      <w:r>
        <w:rPr>
          <w:rFonts w:ascii="仿宋" w:hAnsi="仿宋" w:eastAsia="仿宋"/>
          <w:sz w:val="28"/>
          <w:szCs w:val="28"/>
        </w:rPr>
        <w:t>由区规划自然资源局公布</w:t>
      </w:r>
      <w:r>
        <w:rPr>
          <w:rFonts w:hint="eastAsia" w:ascii="仿宋" w:hAnsi="仿宋" w:eastAsia="仿宋"/>
          <w:sz w:val="28"/>
          <w:szCs w:val="28"/>
          <w:lang w:eastAsia="zh-CN"/>
        </w:rPr>
        <w:t>；</w:t>
      </w:r>
      <w:r>
        <w:rPr>
          <w:rFonts w:ascii="仿宋" w:hAnsi="仿宋" w:eastAsia="仿宋"/>
          <w:sz w:val="28"/>
          <w:szCs w:val="28"/>
        </w:rPr>
        <w:t xml:space="preserve">n = </w:t>
      </w:r>
      <w:r>
        <w:rPr>
          <w:rFonts w:hint="eastAsia" w:ascii="仿宋" w:hAnsi="仿宋" w:eastAsia="仿宋"/>
          <w:sz w:val="28"/>
          <w:szCs w:val="28"/>
          <w:lang w:val="en-US" w:eastAsia="zh-CN"/>
        </w:rPr>
        <w:t>续期</w:t>
      </w:r>
      <w:r>
        <w:rPr>
          <w:rFonts w:ascii="仿宋" w:hAnsi="仿宋" w:eastAsia="仿宋"/>
          <w:sz w:val="28"/>
          <w:szCs w:val="28"/>
        </w:rPr>
        <w:t>年限</w:t>
      </w:r>
      <w:r>
        <w:rPr>
          <w:rFonts w:hint="eastAsia" w:ascii="仿宋" w:hAnsi="仿宋" w:eastAsia="仿宋"/>
          <w:sz w:val="28"/>
          <w:szCs w:val="28"/>
          <w:lang w:eastAsia="zh-CN"/>
        </w:rPr>
        <w:t>；</w:t>
      </w:r>
      <w:r>
        <w:rPr>
          <w:rFonts w:ascii="仿宋" w:hAnsi="仿宋" w:eastAsia="仿宋"/>
          <w:sz w:val="28"/>
          <w:szCs w:val="28"/>
        </w:rPr>
        <w:t xml:space="preserve">m = </w:t>
      </w:r>
      <w:r>
        <w:rPr>
          <w:rFonts w:hint="eastAsia" w:ascii="仿宋" w:hAnsi="仿宋" w:eastAsia="仿宋"/>
          <w:sz w:val="28"/>
          <w:szCs w:val="28"/>
          <w:lang w:val="en-US" w:eastAsia="zh-CN"/>
        </w:rPr>
        <w:t>法定最高出让年限</w:t>
      </w:r>
      <w:r>
        <w:rPr>
          <w:rFonts w:ascii="仿宋" w:hAnsi="仿宋" w:eastAsia="仿宋"/>
          <w:sz w:val="28"/>
          <w:szCs w:val="28"/>
        </w:rPr>
        <w:t>）</w:t>
      </w:r>
    </w:p>
    <w:p>
      <w:pPr>
        <w:keepNext w:val="0"/>
        <w:keepLines w:val="0"/>
        <w:pageBreakBefore w:val="0"/>
        <w:kinsoku/>
        <w:wordWrap/>
        <w:overflowPunct/>
        <w:topLinePunct w:val="0"/>
        <w:autoSpaceDE/>
        <w:autoSpaceDN/>
        <w:bidi w:val="0"/>
        <w:adjustRightInd/>
        <w:snapToGrid/>
        <w:spacing w:line="560" w:lineRule="exact"/>
        <w:ind w:firstLine="560"/>
        <w:textAlignment w:val="auto"/>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已逾期宗地续期地价按照上述公式进行测算。</w:t>
      </w:r>
    </w:p>
    <w:p>
      <w:pPr>
        <w:keepNext w:val="0"/>
        <w:keepLines w:val="0"/>
        <w:pageBreakBefore w:val="0"/>
        <w:kinsoku/>
        <w:wordWrap/>
        <w:overflowPunct/>
        <w:topLinePunct w:val="0"/>
        <w:autoSpaceDE/>
        <w:autoSpaceDN/>
        <w:bidi w:val="0"/>
        <w:adjustRightInd/>
        <w:snapToGrid/>
        <w:spacing w:line="560" w:lineRule="exact"/>
        <w:ind w:firstLine="560"/>
        <w:textAlignment w:val="auto"/>
        <w:rPr>
          <w:rFonts w:hint="eastAsia" w:ascii="仿宋" w:hAnsi="仿宋" w:eastAsia="仿宋" w:cs="仿宋"/>
          <w:sz w:val="28"/>
          <w:szCs w:val="28"/>
        </w:rPr>
      </w:pPr>
      <w:r>
        <w:rPr>
          <w:rFonts w:hint="eastAsia" w:ascii="仿宋" w:hAnsi="仿宋" w:eastAsia="仿宋" w:cs="仿宋"/>
          <w:sz w:val="28"/>
          <w:szCs w:val="28"/>
          <w:lang w:eastAsia="zh-CN"/>
        </w:rPr>
        <w:t>３、</w:t>
      </w:r>
      <w:r>
        <w:rPr>
          <w:rFonts w:hint="eastAsia" w:ascii="仿宋" w:hAnsi="仿宋" w:eastAsia="仿宋" w:cs="仿宋"/>
          <w:sz w:val="28"/>
          <w:szCs w:val="28"/>
          <w:lang w:val="en-US" w:eastAsia="zh-CN"/>
        </w:rPr>
        <w:t>续期年限</w:t>
      </w:r>
      <w:r>
        <w:rPr>
          <w:rFonts w:hint="eastAsia" w:ascii="仿宋" w:hAnsi="仿宋" w:eastAsia="仿宋" w:cs="仿宋"/>
          <w:sz w:val="28"/>
          <w:szCs w:val="28"/>
        </w:rPr>
        <w:t>由土地使用权人通过“</w:t>
      </w:r>
      <w:r>
        <w:rPr>
          <w:rFonts w:hint="eastAsia" w:ascii="仿宋" w:hAnsi="仿宋" w:eastAsia="仿宋" w:cs="仿宋"/>
          <w:sz w:val="28"/>
          <w:szCs w:val="28"/>
          <w:lang w:val="en-US" w:eastAsia="zh-CN"/>
        </w:rPr>
        <w:t>管理</w:t>
      </w:r>
      <w:r>
        <w:rPr>
          <w:rFonts w:hint="eastAsia" w:ascii="仿宋" w:hAnsi="仿宋" w:eastAsia="仿宋" w:cs="仿宋"/>
          <w:sz w:val="28"/>
          <w:szCs w:val="28"/>
        </w:rPr>
        <w:t>系统”在系统中自行选择确定，系统应当以年度为单位提供可选年期区间。</w:t>
      </w:r>
    </w:p>
    <w:p>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kern w:val="2"/>
          <w:sz w:val="28"/>
          <w:szCs w:val="28"/>
          <w:lang w:val="en-US" w:eastAsia="zh-CN" w:bidi="ar-SA"/>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第</w:t>
      </w:r>
      <w:r>
        <w:rPr>
          <w:rFonts w:hint="eastAsia" w:ascii="仿宋" w:hAnsi="仿宋" w:eastAsia="仿宋" w:cs="仿宋"/>
          <w:b/>
          <w:bCs/>
          <w:sz w:val="28"/>
          <w:szCs w:val="28"/>
          <w:lang w:val="en-US" w:eastAsia="zh-CN"/>
        </w:rPr>
        <w:t>三</w:t>
      </w:r>
      <w:r>
        <w:rPr>
          <w:rFonts w:hint="eastAsia" w:ascii="仿宋" w:hAnsi="仿宋" w:eastAsia="仿宋" w:cs="仿宋"/>
          <w:b/>
          <w:bCs/>
          <w:sz w:val="28"/>
          <w:szCs w:val="28"/>
        </w:rPr>
        <w:t>章 系统的动态维护与更新</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b/>
          <w:bCs/>
          <w:sz w:val="28"/>
          <w:szCs w:val="28"/>
        </w:rPr>
      </w:pPr>
      <w:r>
        <w:rPr>
          <w:rFonts w:hint="eastAsia" w:ascii="仿宋" w:hAnsi="仿宋" w:eastAsia="仿宋" w:cs="仿宋"/>
          <w:b/>
          <w:bCs/>
          <w:sz w:val="28"/>
          <w:szCs w:val="28"/>
          <w:lang w:eastAsia="zh-CN"/>
        </w:rPr>
        <w:t>　　</w:t>
      </w:r>
      <w:r>
        <w:rPr>
          <w:rFonts w:hint="eastAsia" w:ascii="仿宋" w:hAnsi="仿宋" w:eastAsia="仿宋" w:cs="仿宋"/>
          <w:b/>
          <w:bCs/>
          <w:sz w:val="28"/>
          <w:szCs w:val="28"/>
        </w:rPr>
        <w:t>第十</w:t>
      </w:r>
      <w:r>
        <w:rPr>
          <w:rFonts w:hint="eastAsia" w:ascii="仿宋" w:hAnsi="仿宋" w:eastAsia="仿宋" w:cs="仿宋"/>
          <w:b/>
          <w:bCs/>
          <w:sz w:val="28"/>
          <w:szCs w:val="28"/>
          <w:lang w:val="en-US" w:eastAsia="zh-CN"/>
        </w:rPr>
        <w:t>一</w:t>
      </w:r>
      <w:r>
        <w:rPr>
          <w:rFonts w:hint="eastAsia" w:ascii="仿宋" w:hAnsi="仿宋" w:eastAsia="仿宋" w:cs="仿宋"/>
          <w:b/>
          <w:bCs/>
          <w:sz w:val="28"/>
          <w:szCs w:val="28"/>
        </w:rPr>
        <w:t>条</w:t>
      </w:r>
      <w:r>
        <w:rPr>
          <w:rFonts w:hint="eastAsia" w:ascii="仿宋" w:hAnsi="仿宋" w:eastAsia="仿宋" w:cs="仿宋"/>
          <w:b/>
          <w:bCs/>
          <w:sz w:val="28"/>
          <w:szCs w:val="28"/>
          <w:lang w:eastAsia="zh-CN"/>
        </w:rPr>
        <w:t>　</w:t>
      </w:r>
      <w:r>
        <w:rPr>
          <w:rFonts w:hint="eastAsia" w:ascii="仿宋" w:hAnsi="仿宋" w:eastAsia="仿宋" w:cs="仿宋"/>
          <w:b/>
          <w:bCs/>
          <w:sz w:val="28"/>
          <w:szCs w:val="28"/>
        </w:rPr>
        <w:t>年度数据更新</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lang w:eastAsia="zh-CN"/>
        </w:rPr>
        <w:t>　　</w:t>
      </w:r>
      <w:r>
        <w:rPr>
          <w:rFonts w:hint="eastAsia" w:ascii="仿宋" w:hAnsi="仿宋" w:eastAsia="仿宋" w:cs="仿宋"/>
          <w:sz w:val="28"/>
          <w:szCs w:val="28"/>
        </w:rPr>
        <w:t>每年由区</w:t>
      </w:r>
      <w:r>
        <w:rPr>
          <w:rFonts w:hint="eastAsia" w:ascii="仿宋" w:hAnsi="仿宋" w:eastAsia="仿宋" w:cs="仿宋"/>
          <w:sz w:val="28"/>
          <w:szCs w:val="28"/>
          <w:lang w:eastAsia="zh-CN"/>
        </w:rPr>
        <w:t>规资局</w:t>
      </w:r>
      <w:r>
        <w:rPr>
          <w:rFonts w:hint="eastAsia" w:ascii="仿宋" w:hAnsi="仿宋" w:eastAsia="仿宋" w:cs="仿宋"/>
          <w:sz w:val="28"/>
          <w:szCs w:val="28"/>
        </w:rPr>
        <w:t>将新纳入未来</w:t>
      </w:r>
      <w:r>
        <w:rPr>
          <w:rFonts w:hint="eastAsia" w:ascii="仿宋" w:hAnsi="仿宋" w:eastAsia="仿宋" w:cs="仿宋"/>
          <w:sz w:val="28"/>
          <w:szCs w:val="28"/>
          <w:highlight w:val="none"/>
          <w:lang w:val="en-US" w:eastAsia="zh-CN"/>
        </w:rPr>
        <w:t>五</w:t>
      </w:r>
      <w:r>
        <w:rPr>
          <w:rFonts w:hint="eastAsia" w:ascii="仿宋" w:hAnsi="仿宋" w:eastAsia="仿宋" w:cs="仿宋"/>
          <w:sz w:val="28"/>
          <w:szCs w:val="28"/>
          <w:highlight w:val="none"/>
        </w:rPr>
        <w:t>年</w:t>
      </w:r>
      <w:r>
        <w:rPr>
          <w:rFonts w:hint="eastAsia" w:ascii="仿宋" w:hAnsi="仿宋" w:eastAsia="仿宋" w:cs="仿宋"/>
          <w:sz w:val="28"/>
          <w:szCs w:val="28"/>
          <w:highlight w:val="none"/>
          <w:lang w:val="en-US" w:eastAsia="zh-CN"/>
        </w:rPr>
        <w:t>内</w:t>
      </w:r>
      <w:r>
        <w:rPr>
          <w:rFonts w:hint="eastAsia" w:ascii="仿宋" w:hAnsi="仿宋" w:eastAsia="仿宋" w:cs="仿宋"/>
          <w:sz w:val="28"/>
          <w:szCs w:val="28"/>
          <w:highlight w:val="none"/>
        </w:rPr>
        <w:t>到期</w:t>
      </w:r>
      <w:r>
        <w:rPr>
          <w:rFonts w:hint="eastAsia" w:ascii="仿宋" w:hAnsi="仿宋" w:eastAsia="仿宋" w:cs="仿宋"/>
          <w:sz w:val="28"/>
          <w:szCs w:val="28"/>
        </w:rPr>
        <w:t>的宗地加入系统，同时将</w:t>
      </w:r>
      <w:r>
        <w:rPr>
          <w:rFonts w:hint="eastAsia" w:ascii="仿宋" w:hAnsi="仿宋" w:eastAsia="仿宋" w:cs="仿宋"/>
          <w:sz w:val="28"/>
          <w:szCs w:val="28"/>
          <w:lang w:val="en-US" w:eastAsia="zh-CN"/>
        </w:rPr>
        <w:t>已完成续期</w:t>
      </w:r>
      <w:r>
        <w:rPr>
          <w:rFonts w:hint="eastAsia" w:ascii="仿宋" w:hAnsi="仿宋" w:eastAsia="仿宋" w:cs="仿宋"/>
          <w:sz w:val="28"/>
          <w:szCs w:val="28"/>
        </w:rPr>
        <w:t>的宗地移出系统。评估机构</w:t>
      </w:r>
      <w:r>
        <w:rPr>
          <w:rFonts w:hint="eastAsia" w:ascii="仿宋" w:hAnsi="仿宋" w:eastAsia="仿宋" w:cs="仿宋"/>
          <w:sz w:val="28"/>
          <w:szCs w:val="28"/>
          <w:lang w:val="en-US" w:eastAsia="zh-CN"/>
        </w:rPr>
        <w:t>根据更新的宗地清单</w:t>
      </w:r>
      <w:r>
        <w:rPr>
          <w:rFonts w:hint="eastAsia" w:ascii="仿宋" w:hAnsi="仿宋" w:eastAsia="仿宋" w:cs="仿宋"/>
          <w:sz w:val="28"/>
          <w:szCs w:val="28"/>
        </w:rPr>
        <w:t>进行</w:t>
      </w:r>
      <w:r>
        <w:rPr>
          <w:rFonts w:hint="eastAsia" w:ascii="仿宋" w:hAnsi="仿宋" w:eastAsia="仿宋" w:cs="仿宋"/>
          <w:sz w:val="28"/>
          <w:szCs w:val="28"/>
          <w:lang w:val="en-US" w:eastAsia="zh-CN"/>
        </w:rPr>
        <w:t>价格评估</w:t>
      </w:r>
      <w:r>
        <w:rPr>
          <w:rFonts w:hint="eastAsia" w:ascii="仿宋" w:hAnsi="仿宋" w:eastAsia="仿宋" w:cs="仿宋"/>
          <w:sz w:val="28"/>
          <w:szCs w:val="28"/>
        </w:rPr>
        <w:t>，并将结果</w:t>
      </w:r>
      <w:r>
        <w:rPr>
          <w:rFonts w:hint="eastAsia" w:ascii="仿宋" w:hAnsi="仿宋" w:eastAsia="仿宋" w:cs="仿宋"/>
          <w:sz w:val="28"/>
          <w:szCs w:val="28"/>
          <w:lang w:val="en-US" w:eastAsia="zh-CN"/>
        </w:rPr>
        <w:t>提交区规资局</w:t>
      </w:r>
      <w:r>
        <w:rPr>
          <w:rFonts w:hint="eastAsia" w:ascii="仿宋" w:hAnsi="仿宋" w:eastAsia="仿宋" w:cs="仿宋"/>
          <w:sz w:val="28"/>
          <w:szCs w:val="28"/>
        </w:rPr>
        <w:t>审核后录入系统。</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b/>
          <w:bCs/>
          <w:sz w:val="28"/>
          <w:szCs w:val="28"/>
        </w:rPr>
      </w:pPr>
      <w:r>
        <w:rPr>
          <w:rFonts w:hint="eastAsia" w:ascii="仿宋" w:hAnsi="仿宋" w:eastAsia="仿宋" w:cs="仿宋"/>
          <w:b/>
          <w:bCs/>
          <w:sz w:val="28"/>
          <w:szCs w:val="28"/>
          <w:lang w:eastAsia="zh-CN"/>
        </w:rPr>
        <w:t>　　</w:t>
      </w:r>
      <w:r>
        <w:rPr>
          <w:rFonts w:hint="eastAsia" w:ascii="仿宋" w:hAnsi="仿宋" w:eastAsia="仿宋" w:cs="仿宋"/>
          <w:b/>
          <w:bCs/>
          <w:sz w:val="28"/>
          <w:szCs w:val="28"/>
        </w:rPr>
        <w:t>第十</w:t>
      </w:r>
      <w:r>
        <w:rPr>
          <w:rFonts w:hint="eastAsia" w:ascii="仿宋" w:hAnsi="仿宋" w:eastAsia="仿宋" w:cs="仿宋"/>
          <w:b/>
          <w:bCs/>
          <w:sz w:val="28"/>
          <w:szCs w:val="28"/>
          <w:lang w:val="en-US" w:eastAsia="zh-CN"/>
        </w:rPr>
        <w:t>二</w:t>
      </w:r>
      <w:r>
        <w:rPr>
          <w:rFonts w:hint="eastAsia" w:ascii="仿宋" w:hAnsi="仿宋" w:eastAsia="仿宋" w:cs="仿宋"/>
          <w:b/>
          <w:bCs/>
          <w:sz w:val="28"/>
          <w:szCs w:val="28"/>
        </w:rPr>
        <w:t>条</w:t>
      </w:r>
      <w:r>
        <w:rPr>
          <w:rFonts w:hint="eastAsia" w:ascii="仿宋" w:hAnsi="仿宋" w:eastAsia="仿宋" w:cs="仿宋"/>
          <w:b/>
          <w:bCs/>
          <w:sz w:val="28"/>
          <w:szCs w:val="28"/>
          <w:lang w:eastAsia="zh-CN"/>
        </w:rPr>
        <w:t>　</w:t>
      </w:r>
      <w:r>
        <w:rPr>
          <w:rFonts w:hint="eastAsia" w:ascii="仿宋" w:hAnsi="仿宋" w:eastAsia="仿宋" w:cs="仿宋"/>
          <w:b/>
          <w:bCs/>
          <w:sz w:val="28"/>
          <w:szCs w:val="28"/>
        </w:rPr>
        <w:t>重大调整情形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lang w:eastAsia="zh-CN"/>
        </w:rPr>
        <w:t>　　</w:t>
      </w:r>
      <w:r>
        <w:rPr>
          <w:rFonts w:hint="eastAsia" w:ascii="仿宋" w:hAnsi="仿宋" w:eastAsia="仿宋" w:cs="仿宋"/>
          <w:sz w:val="28"/>
          <w:szCs w:val="28"/>
        </w:rPr>
        <w:t>遇到以下情形之一时，区</w:t>
      </w:r>
      <w:r>
        <w:rPr>
          <w:rFonts w:hint="eastAsia" w:ascii="仿宋" w:hAnsi="仿宋" w:eastAsia="仿宋" w:cs="仿宋"/>
          <w:sz w:val="28"/>
          <w:szCs w:val="28"/>
          <w:lang w:eastAsia="zh-CN"/>
        </w:rPr>
        <w:t>规资局</w:t>
      </w:r>
      <w:r>
        <w:rPr>
          <w:rFonts w:hint="eastAsia" w:ascii="仿宋" w:hAnsi="仿宋" w:eastAsia="仿宋" w:cs="仿宋"/>
          <w:sz w:val="28"/>
          <w:szCs w:val="28"/>
        </w:rPr>
        <w:t>应及时组织对系统内评估</w:t>
      </w:r>
      <w:r>
        <w:rPr>
          <w:rFonts w:hint="eastAsia" w:ascii="仿宋" w:hAnsi="仿宋" w:eastAsia="仿宋" w:cs="仿宋"/>
          <w:sz w:val="28"/>
          <w:szCs w:val="28"/>
          <w:lang w:val="en-US" w:eastAsia="zh-CN"/>
        </w:rPr>
        <w:t>结果</w:t>
      </w:r>
      <w:r>
        <w:rPr>
          <w:rFonts w:hint="eastAsia" w:ascii="仿宋" w:hAnsi="仿宋" w:eastAsia="仿宋" w:cs="仿宋"/>
          <w:sz w:val="28"/>
          <w:szCs w:val="28"/>
        </w:rPr>
        <w:t>进行全局或局部调整：</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lang w:eastAsia="zh-CN"/>
        </w:rPr>
        <w:t>　　</w:t>
      </w:r>
      <w:r>
        <w:rPr>
          <w:rFonts w:hint="eastAsia" w:ascii="仿宋" w:hAnsi="仿宋" w:eastAsia="仿宋" w:cs="仿宋"/>
          <w:sz w:val="28"/>
          <w:szCs w:val="28"/>
        </w:rPr>
        <w:t>1</w:t>
      </w:r>
      <w:r>
        <w:rPr>
          <w:rFonts w:hint="eastAsia" w:ascii="仿宋" w:hAnsi="仿宋" w:eastAsia="仿宋" w:cs="仿宋"/>
          <w:sz w:val="28"/>
          <w:szCs w:val="28"/>
          <w:lang w:eastAsia="zh-CN"/>
        </w:rPr>
        <w:t>、</w:t>
      </w:r>
      <w:r>
        <w:rPr>
          <w:rFonts w:hint="eastAsia" w:ascii="仿宋" w:hAnsi="仿宋" w:eastAsia="仿宋" w:cs="仿宋"/>
          <w:sz w:val="28"/>
          <w:szCs w:val="28"/>
        </w:rPr>
        <w:t>国家、市、区发布重大土地、房地产或产业政策，对地价产生普遍性影响的；</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lang w:eastAsia="zh-CN"/>
        </w:rPr>
        <w:t>　　</w:t>
      </w:r>
      <w:r>
        <w:rPr>
          <w:rFonts w:hint="eastAsia" w:ascii="仿宋" w:hAnsi="仿宋" w:eastAsia="仿宋" w:cs="仿宋"/>
          <w:sz w:val="28"/>
          <w:szCs w:val="28"/>
        </w:rPr>
        <w:t>2</w:t>
      </w:r>
      <w:r>
        <w:rPr>
          <w:rFonts w:hint="eastAsia" w:ascii="仿宋" w:hAnsi="仿宋" w:eastAsia="仿宋" w:cs="仿宋"/>
          <w:sz w:val="28"/>
          <w:szCs w:val="28"/>
          <w:lang w:eastAsia="zh-CN"/>
        </w:rPr>
        <w:t>、</w:t>
      </w:r>
      <w:r>
        <w:rPr>
          <w:rFonts w:hint="eastAsia" w:ascii="仿宋" w:hAnsi="仿宋" w:eastAsia="仿宋" w:cs="仿宋"/>
          <w:sz w:val="28"/>
          <w:szCs w:val="28"/>
        </w:rPr>
        <w:t>本区土地级别或基准地价成果发生重大调整的；</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lang w:eastAsia="zh-CN"/>
        </w:rPr>
        <w:t>　　</w:t>
      </w:r>
      <w:r>
        <w:rPr>
          <w:rFonts w:hint="eastAsia" w:ascii="仿宋" w:hAnsi="仿宋" w:eastAsia="仿宋" w:cs="仿宋"/>
          <w:sz w:val="28"/>
          <w:szCs w:val="28"/>
        </w:rPr>
        <w:t>3</w:t>
      </w:r>
      <w:r>
        <w:rPr>
          <w:rFonts w:hint="eastAsia" w:ascii="仿宋" w:hAnsi="仿宋" w:eastAsia="仿宋" w:cs="仿宋"/>
          <w:sz w:val="28"/>
          <w:szCs w:val="28"/>
          <w:lang w:eastAsia="zh-CN"/>
        </w:rPr>
        <w:t>、</w:t>
      </w:r>
      <w:r>
        <w:rPr>
          <w:rFonts w:hint="eastAsia" w:ascii="仿宋" w:hAnsi="仿宋" w:eastAsia="仿宋" w:cs="仿宋"/>
          <w:sz w:val="28"/>
          <w:szCs w:val="28"/>
        </w:rPr>
        <w:t>因城市规划调整导致宗地所在区域条件发生根本性变化的；</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lang w:eastAsia="zh-CN"/>
        </w:rPr>
        <w:t>　　</w:t>
      </w:r>
      <w:r>
        <w:rPr>
          <w:rFonts w:hint="eastAsia" w:ascii="仿宋" w:hAnsi="仿宋" w:eastAsia="仿宋" w:cs="仿宋"/>
          <w:sz w:val="28"/>
          <w:szCs w:val="28"/>
        </w:rPr>
        <w:t>4</w:t>
      </w:r>
      <w:r>
        <w:rPr>
          <w:rFonts w:hint="eastAsia" w:ascii="仿宋" w:hAnsi="仿宋" w:eastAsia="仿宋" w:cs="仿宋"/>
          <w:sz w:val="28"/>
          <w:szCs w:val="28"/>
          <w:lang w:eastAsia="zh-CN"/>
        </w:rPr>
        <w:t>、</w:t>
      </w:r>
      <w:r>
        <w:rPr>
          <w:rFonts w:hint="eastAsia" w:ascii="仿宋" w:hAnsi="仿宋" w:eastAsia="仿宋" w:cs="仿宋"/>
          <w:sz w:val="28"/>
          <w:szCs w:val="28"/>
        </w:rPr>
        <w:t>市场发生剧烈波动，经监测认定需调整的。</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调整工作可委托评估机构完成，调整结果需重新审核并更新至系统。</w:t>
      </w:r>
    </w:p>
    <w:p>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sz w:val="28"/>
          <w:szCs w:val="28"/>
        </w:rPr>
      </w:pPr>
      <w:r>
        <w:rPr>
          <w:rFonts w:hint="eastAsia" w:ascii="仿宋" w:hAnsi="仿宋" w:eastAsia="仿宋" w:cs="仿宋"/>
          <w:b/>
          <w:bCs/>
          <w:kern w:val="2"/>
          <w:sz w:val="28"/>
          <w:szCs w:val="28"/>
          <w:lang w:val="en-US" w:eastAsia="zh-CN" w:bidi="ar-SA"/>
        </w:rPr>
        <w:t>第四章　</w:t>
      </w:r>
      <w:r>
        <w:rPr>
          <w:rFonts w:hint="eastAsia" w:ascii="仿宋" w:hAnsi="仿宋" w:eastAsia="仿宋" w:cs="仿宋"/>
          <w:b/>
          <w:bCs/>
          <w:sz w:val="28"/>
          <w:szCs w:val="28"/>
        </w:rPr>
        <w:t>修正体系</w:t>
      </w:r>
    </w:p>
    <w:p>
      <w:pPr>
        <w:keepNext w:val="0"/>
        <w:keepLines w:val="0"/>
        <w:pageBreakBefore w:val="0"/>
        <w:numPr>
          <w:ilvl w:val="0"/>
          <w:numId w:val="0"/>
        </w:numPr>
        <w:kinsoku/>
        <w:wordWrap/>
        <w:overflowPunct/>
        <w:topLinePunct w:val="0"/>
        <w:autoSpaceDE/>
        <w:autoSpaceDN/>
        <w:bidi w:val="0"/>
        <w:adjustRightInd/>
        <w:snapToGrid/>
        <w:spacing w:line="560" w:lineRule="exact"/>
        <w:jc w:val="both"/>
        <w:textAlignment w:val="auto"/>
        <w:rPr>
          <w:rFonts w:hint="eastAsia" w:ascii="仿宋" w:hAnsi="仿宋" w:eastAsia="仿宋" w:cs="仿宋"/>
          <w:b/>
          <w:bCs/>
          <w:sz w:val="28"/>
          <w:szCs w:val="28"/>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b/>
          <w:bCs/>
          <w:sz w:val="28"/>
          <w:szCs w:val="28"/>
        </w:rPr>
      </w:pPr>
      <w:r>
        <w:rPr>
          <w:rFonts w:hint="eastAsia" w:ascii="仿宋" w:hAnsi="仿宋" w:eastAsia="仿宋" w:cs="仿宋"/>
          <w:b/>
          <w:bCs/>
          <w:sz w:val="28"/>
          <w:szCs w:val="28"/>
          <w:lang w:eastAsia="zh-CN"/>
        </w:rPr>
        <w:t>　　</w:t>
      </w:r>
      <w:r>
        <w:rPr>
          <w:rFonts w:hint="eastAsia" w:ascii="仿宋" w:hAnsi="仿宋" w:eastAsia="仿宋" w:cs="仿宋"/>
          <w:b/>
          <w:bCs/>
          <w:sz w:val="28"/>
          <w:szCs w:val="28"/>
        </w:rPr>
        <w:t>第十</w:t>
      </w:r>
      <w:r>
        <w:rPr>
          <w:rFonts w:hint="eastAsia" w:ascii="仿宋" w:hAnsi="仿宋" w:eastAsia="仿宋" w:cs="仿宋"/>
          <w:b/>
          <w:bCs/>
          <w:sz w:val="28"/>
          <w:szCs w:val="28"/>
          <w:lang w:val="en-US" w:eastAsia="zh-CN"/>
        </w:rPr>
        <w:t>三</w:t>
      </w:r>
      <w:r>
        <w:rPr>
          <w:rFonts w:hint="eastAsia" w:ascii="仿宋" w:hAnsi="仿宋" w:eastAsia="仿宋" w:cs="仿宋"/>
          <w:b/>
          <w:bCs/>
          <w:sz w:val="28"/>
          <w:szCs w:val="28"/>
        </w:rPr>
        <w:t>条</w:t>
      </w:r>
      <w:r>
        <w:rPr>
          <w:rFonts w:hint="eastAsia" w:ascii="仿宋" w:hAnsi="仿宋" w:eastAsia="仿宋" w:cs="仿宋"/>
          <w:b/>
          <w:bCs/>
          <w:sz w:val="28"/>
          <w:szCs w:val="28"/>
          <w:lang w:eastAsia="zh-CN"/>
        </w:rPr>
        <w:t>　</w:t>
      </w:r>
      <w:r>
        <w:rPr>
          <w:rFonts w:hint="eastAsia" w:ascii="仿宋" w:hAnsi="仿宋" w:eastAsia="仿宋" w:cs="仿宋"/>
          <w:b/>
          <w:bCs/>
          <w:sz w:val="28"/>
          <w:szCs w:val="28"/>
        </w:rPr>
        <w:t>建立基础</w:t>
      </w:r>
    </w:p>
    <w:p>
      <w:pPr>
        <w:keepNext w:val="0"/>
        <w:keepLines w:val="0"/>
        <w:pageBreakBefore w:val="0"/>
        <w:kinsoku/>
        <w:wordWrap/>
        <w:overflowPunct/>
        <w:topLinePunct w:val="0"/>
        <w:autoSpaceDE/>
        <w:autoSpaceDN/>
        <w:bidi w:val="0"/>
        <w:adjustRightInd/>
        <w:snapToGrid/>
        <w:spacing w:line="560" w:lineRule="exact"/>
        <w:ind w:firstLine="560"/>
        <w:textAlignment w:val="auto"/>
        <w:rPr>
          <w:rFonts w:hint="eastAsia" w:ascii="仿宋" w:hAnsi="仿宋" w:eastAsia="仿宋" w:cs="仿宋"/>
          <w:sz w:val="28"/>
          <w:szCs w:val="28"/>
        </w:rPr>
      </w:pPr>
      <w:r>
        <w:rPr>
          <w:rFonts w:hint="eastAsia" w:ascii="仿宋" w:hAnsi="仿宋" w:eastAsia="仿宋" w:cs="仿宋"/>
          <w:sz w:val="28"/>
          <w:szCs w:val="28"/>
        </w:rPr>
        <w:t>为保证</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管理系统</w:t>
      </w:r>
      <w:r>
        <w:rPr>
          <w:rFonts w:hint="eastAsia" w:ascii="仿宋" w:hAnsi="仿宋" w:eastAsia="仿宋" w:cs="仿宋"/>
          <w:sz w:val="28"/>
          <w:szCs w:val="28"/>
          <w:lang w:eastAsia="zh-CN"/>
        </w:rPr>
        <w:t>”</w:t>
      </w:r>
      <w:r>
        <w:rPr>
          <w:rFonts w:hint="eastAsia" w:ascii="仿宋" w:hAnsi="仿宋" w:eastAsia="仿宋" w:cs="仿宋"/>
          <w:sz w:val="28"/>
          <w:szCs w:val="28"/>
        </w:rPr>
        <w:t>地价测算结果的科学性，须建立标准化的宗地</w:t>
      </w:r>
      <w:r>
        <w:rPr>
          <w:rFonts w:hint="eastAsia" w:ascii="仿宋" w:hAnsi="仿宋" w:eastAsia="仿宋" w:cs="仿宋"/>
          <w:sz w:val="28"/>
          <w:szCs w:val="28"/>
          <w:lang w:val="en-US" w:eastAsia="zh-CN"/>
        </w:rPr>
        <w:t>地价影响</w:t>
      </w:r>
      <w:r>
        <w:rPr>
          <w:rFonts w:hint="eastAsia" w:ascii="仿宋" w:hAnsi="仿宋" w:eastAsia="仿宋" w:cs="仿宋"/>
          <w:sz w:val="28"/>
          <w:szCs w:val="28"/>
        </w:rPr>
        <w:t>因素修正体系。该体系以本区现行有效的城镇土地级别与基准地价成果为核心基础，针对非住宅用地续期评估的特点进行专项构建。</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b/>
          <w:bCs/>
          <w:sz w:val="28"/>
          <w:szCs w:val="28"/>
        </w:rPr>
      </w:pPr>
      <w:r>
        <w:rPr>
          <w:rFonts w:hint="eastAsia" w:ascii="仿宋" w:hAnsi="仿宋" w:eastAsia="仿宋" w:cs="仿宋"/>
          <w:b/>
          <w:bCs/>
          <w:sz w:val="28"/>
          <w:szCs w:val="28"/>
          <w:lang w:eastAsia="zh-CN"/>
        </w:rPr>
        <w:t>　　</w:t>
      </w:r>
      <w:r>
        <w:rPr>
          <w:rFonts w:hint="eastAsia" w:ascii="仿宋" w:hAnsi="仿宋" w:eastAsia="仿宋" w:cs="仿宋"/>
          <w:b/>
          <w:bCs/>
          <w:sz w:val="28"/>
          <w:szCs w:val="28"/>
        </w:rPr>
        <w:t>第十</w:t>
      </w:r>
      <w:r>
        <w:rPr>
          <w:rFonts w:hint="eastAsia" w:ascii="仿宋" w:hAnsi="仿宋" w:eastAsia="仿宋" w:cs="仿宋"/>
          <w:b/>
          <w:bCs/>
          <w:sz w:val="28"/>
          <w:szCs w:val="28"/>
          <w:lang w:val="en-US" w:eastAsia="zh-CN"/>
        </w:rPr>
        <w:t>四</w:t>
      </w:r>
      <w:r>
        <w:rPr>
          <w:rFonts w:hint="eastAsia" w:ascii="仿宋" w:hAnsi="仿宋" w:eastAsia="仿宋" w:cs="仿宋"/>
          <w:b/>
          <w:bCs/>
          <w:sz w:val="28"/>
          <w:szCs w:val="28"/>
        </w:rPr>
        <w:t>条</w:t>
      </w:r>
      <w:r>
        <w:rPr>
          <w:rFonts w:hint="eastAsia" w:ascii="仿宋" w:hAnsi="仿宋" w:eastAsia="仿宋" w:cs="仿宋"/>
          <w:b/>
          <w:bCs/>
          <w:sz w:val="28"/>
          <w:szCs w:val="28"/>
          <w:lang w:eastAsia="zh-CN"/>
        </w:rPr>
        <w:t>　</w:t>
      </w:r>
      <w:r>
        <w:rPr>
          <w:rFonts w:hint="eastAsia" w:ascii="仿宋" w:hAnsi="仿宋" w:eastAsia="仿宋" w:cs="仿宋"/>
          <w:b/>
          <w:bCs/>
          <w:sz w:val="28"/>
          <w:szCs w:val="28"/>
          <w:highlight w:val="none"/>
          <w:lang w:val="en-US" w:eastAsia="zh-CN"/>
        </w:rPr>
        <w:t>修正</w:t>
      </w:r>
      <w:r>
        <w:rPr>
          <w:rFonts w:hint="eastAsia" w:ascii="仿宋" w:hAnsi="仿宋" w:eastAsia="仿宋" w:cs="仿宋"/>
          <w:b/>
          <w:bCs/>
          <w:sz w:val="28"/>
          <w:szCs w:val="28"/>
          <w:highlight w:val="none"/>
        </w:rPr>
        <w:t>因素</w:t>
      </w:r>
    </w:p>
    <w:p>
      <w:pPr>
        <w:keepNext w:val="0"/>
        <w:keepLines w:val="0"/>
        <w:pageBreakBefore w:val="0"/>
        <w:kinsoku/>
        <w:wordWrap/>
        <w:overflowPunct/>
        <w:topLinePunct w:val="0"/>
        <w:autoSpaceDE/>
        <w:autoSpaceDN/>
        <w:bidi w:val="0"/>
        <w:adjustRightInd/>
        <w:snapToGrid/>
        <w:spacing w:line="560" w:lineRule="exact"/>
        <w:ind w:firstLine="573"/>
        <w:textAlignment w:val="auto"/>
        <w:rPr>
          <w:rFonts w:hint="eastAsia" w:ascii="仿宋" w:hAnsi="仿宋" w:eastAsia="仿宋" w:cs="仿宋"/>
          <w:sz w:val="28"/>
          <w:szCs w:val="28"/>
          <w:lang w:eastAsia="zh-CN"/>
        </w:rPr>
      </w:pPr>
      <w:r>
        <w:rPr>
          <w:rFonts w:hint="eastAsia" w:ascii="仿宋" w:hAnsi="仿宋" w:eastAsia="仿宋" w:cs="仿宋"/>
          <w:sz w:val="28"/>
          <w:szCs w:val="28"/>
        </w:rPr>
        <w:t>修正体系应重点识别和量化以下对非住宅</w:t>
      </w:r>
      <w:r>
        <w:rPr>
          <w:rFonts w:hint="eastAsia" w:ascii="仿宋" w:hAnsi="仿宋" w:eastAsia="仿宋" w:cs="仿宋"/>
          <w:sz w:val="28"/>
          <w:szCs w:val="28"/>
          <w:lang w:val="en-US" w:eastAsia="zh-CN"/>
        </w:rPr>
        <w:t>土地</w:t>
      </w:r>
      <w:r>
        <w:rPr>
          <w:rFonts w:hint="eastAsia" w:ascii="仿宋" w:hAnsi="仿宋" w:eastAsia="仿宋" w:cs="仿宋"/>
          <w:sz w:val="28"/>
          <w:szCs w:val="28"/>
        </w:rPr>
        <w:t>续期地价产生显著影响的因素，并将其归类管理：</w:t>
      </w:r>
      <w:r>
        <w:rPr>
          <w:rFonts w:hint="eastAsia" w:ascii="仿宋" w:hAnsi="仿宋" w:eastAsia="仿宋" w:cs="仿宋"/>
          <w:sz w:val="28"/>
          <w:szCs w:val="28"/>
          <w:lang w:eastAsia="zh-CN"/>
        </w:rPr>
        <w:t>　　</w:t>
      </w:r>
    </w:p>
    <w:p>
      <w:pPr>
        <w:keepNext w:val="0"/>
        <w:keepLines w:val="0"/>
        <w:pageBreakBefore w:val="0"/>
        <w:kinsoku/>
        <w:wordWrap/>
        <w:overflowPunct/>
        <w:topLinePunct w:val="0"/>
        <w:autoSpaceDE/>
        <w:autoSpaceDN/>
        <w:bidi w:val="0"/>
        <w:adjustRightInd/>
        <w:snapToGrid/>
        <w:spacing w:line="560" w:lineRule="exact"/>
        <w:ind w:firstLine="573"/>
        <w:textAlignment w:val="auto"/>
        <w:rPr>
          <w:rFonts w:hint="default" w:ascii="仿宋" w:hAnsi="仿宋" w:eastAsia="仿宋" w:cs="仿宋"/>
          <w:sz w:val="28"/>
          <w:szCs w:val="28"/>
          <w:lang w:val="en-US" w:eastAsia="zh-CN"/>
        </w:rPr>
      </w:pPr>
      <w:r>
        <w:rPr>
          <w:rFonts w:hint="eastAsia" w:ascii="仿宋" w:hAnsi="仿宋" w:eastAsia="仿宋" w:cs="仿宋"/>
          <w:sz w:val="28"/>
          <w:szCs w:val="28"/>
          <w:lang w:eastAsia="zh-CN"/>
        </w:rPr>
        <w:t>１、</w:t>
      </w:r>
      <w:r>
        <w:rPr>
          <w:rFonts w:hint="eastAsia" w:ascii="仿宋" w:hAnsi="仿宋" w:eastAsia="仿宋" w:cs="仿宋"/>
          <w:sz w:val="28"/>
          <w:szCs w:val="28"/>
          <w:lang w:val="en-US" w:eastAsia="zh-CN"/>
        </w:rPr>
        <w:t>影响宗地续期基准价的因素：包括基准地价、土地级别、商业繁华度、用途、估价期日等；</w:t>
      </w:r>
    </w:p>
    <w:p>
      <w:pPr>
        <w:keepNext w:val="0"/>
        <w:keepLines w:val="0"/>
        <w:pageBreakBefore w:val="0"/>
        <w:kinsoku/>
        <w:wordWrap/>
        <w:overflowPunct/>
        <w:topLinePunct w:val="0"/>
        <w:autoSpaceDE/>
        <w:autoSpaceDN/>
        <w:bidi w:val="0"/>
        <w:adjustRightInd/>
        <w:snapToGrid/>
        <w:spacing w:line="560" w:lineRule="exact"/>
        <w:ind w:firstLine="56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２、</w:t>
      </w:r>
      <w:r>
        <w:rPr>
          <w:rFonts w:hint="eastAsia" w:ascii="仿宋" w:hAnsi="仿宋" w:eastAsia="仿宋" w:cs="仿宋"/>
          <w:sz w:val="28"/>
          <w:szCs w:val="28"/>
          <w:lang w:val="en-US" w:eastAsia="zh-CN"/>
        </w:rPr>
        <w:t>影响单个房地产的</w:t>
      </w:r>
      <w:r>
        <w:rPr>
          <w:rFonts w:hint="eastAsia" w:ascii="仿宋" w:hAnsi="仿宋" w:eastAsia="仿宋" w:cs="仿宋"/>
          <w:sz w:val="28"/>
          <w:szCs w:val="28"/>
        </w:rPr>
        <w:t>因素：</w:t>
      </w:r>
      <w:r>
        <w:rPr>
          <w:rFonts w:hint="eastAsia" w:ascii="仿宋" w:hAnsi="仿宋" w:eastAsia="仿宋" w:cs="仿宋"/>
          <w:sz w:val="28"/>
          <w:szCs w:val="28"/>
          <w:lang w:val="en-US" w:eastAsia="zh-CN"/>
        </w:rPr>
        <w:t>包括房屋临街状况、楼层、年期等</w:t>
      </w:r>
      <w:r>
        <w:rPr>
          <w:rFonts w:hint="eastAsia" w:ascii="仿宋" w:hAnsi="仿宋" w:eastAsia="仿宋" w:cs="仿宋"/>
          <w:sz w:val="28"/>
          <w:szCs w:val="28"/>
          <w:lang w:eastAsia="zh-CN"/>
        </w:rPr>
        <w:t>；</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b/>
          <w:bCs/>
          <w:sz w:val="28"/>
          <w:szCs w:val="28"/>
        </w:rPr>
      </w:pPr>
      <w:r>
        <w:rPr>
          <w:rFonts w:hint="eastAsia" w:ascii="仿宋" w:hAnsi="仿宋" w:eastAsia="仿宋" w:cs="仿宋"/>
          <w:sz w:val="28"/>
          <w:szCs w:val="28"/>
          <w:lang w:eastAsia="zh-CN"/>
        </w:rPr>
        <w:t>　</w:t>
      </w:r>
      <w:r>
        <w:rPr>
          <w:rFonts w:hint="eastAsia" w:ascii="仿宋" w:hAnsi="仿宋" w:eastAsia="仿宋" w:cs="仿宋"/>
          <w:b/>
          <w:bCs/>
          <w:sz w:val="28"/>
          <w:szCs w:val="28"/>
          <w:lang w:eastAsia="zh-CN"/>
        </w:rPr>
        <w:t>　</w:t>
      </w:r>
      <w:r>
        <w:rPr>
          <w:rFonts w:hint="eastAsia" w:ascii="仿宋" w:hAnsi="仿宋" w:eastAsia="仿宋" w:cs="仿宋"/>
          <w:b/>
          <w:bCs/>
          <w:sz w:val="28"/>
          <w:szCs w:val="28"/>
        </w:rPr>
        <w:t>第十</w:t>
      </w:r>
      <w:r>
        <w:rPr>
          <w:rFonts w:hint="eastAsia" w:ascii="仿宋" w:hAnsi="仿宋" w:eastAsia="仿宋" w:cs="仿宋"/>
          <w:b/>
          <w:bCs/>
          <w:sz w:val="28"/>
          <w:szCs w:val="28"/>
          <w:lang w:val="en-US" w:eastAsia="zh-CN"/>
        </w:rPr>
        <w:t>五</w:t>
      </w:r>
      <w:r>
        <w:rPr>
          <w:rFonts w:hint="eastAsia" w:ascii="仿宋" w:hAnsi="仿宋" w:eastAsia="仿宋" w:cs="仿宋"/>
          <w:b/>
          <w:bCs/>
          <w:sz w:val="28"/>
          <w:szCs w:val="28"/>
        </w:rPr>
        <w:t>条</w:t>
      </w:r>
      <w:r>
        <w:rPr>
          <w:rFonts w:hint="eastAsia" w:ascii="仿宋" w:hAnsi="仿宋" w:eastAsia="仿宋" w:cs="仿宋"/>
          <w:b/>
          <w:bCs/>
          <w:sz w:val="28"/>
          <w:szCs w:val="28"/>
          <w:lang w:eastAsia="zh-CN"/>
        </w:rPr>
        <w:t>　</w:t>
      </w:r>
      <w:r>
        <w:rPr>
          <w:rFonts w:hint="eastAsia" w:ascii="仿宋" w:hAnsi="仿宋" w:eastAsia="仿宋" w:cs="仿宋"/>
          <w:b/>
          <w:bCs/>
          <w:sz w:val="28"/>
          <w:szCs w:val="28"/>
        </w:rPr>
        <w:t>修正体系的构建</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lang w:eastAsia="zh-CN"/>
        </w:rPr>
        <w:t>　　</w:t>
      </w:r>
      <w:r>
        <w:rPr>
          <w:rFonts w:hint="eastAsia" w:ascii="仿宋" w:hAnsi="仿宋" w:eastAsia="仿宋" w:cs="仿宋"/>
          <w:sz w:val="28"/>
          <w:szCs w:val="28"/>
          <w:lang w:val="en-US" w:eastAsia="zh-CN"/>
        </w:rPr>
        <w:t>评估机构</w:t>
      </w:r>
      <w:r>
        <w:rPr>
          <w:rFonts w:hint="eastAsia" w:ascii="仿宋" w:hAnsi="仿宋" w:eastAsia="仿宋" w:cs="仿宋"/>
          <w:sz w:val="28"/>
          <w:szCs w:val="28"/>
        </w:rPr>
        <w:t>基于</w:t>
      </w:r>
      <w:r>
        <w:rPr>
          <w:rFonts w:hint="eastAsia" w:ascii="仿宋" w:hAnsi="仿宋" w:eastAsia="仿宋" w:cs="仿宋"/>
          <w:sz w:val="28"/>
          <w:szCs w:val="28"/>
          <w:lang w:val="en-US" w:eastAsia="zh-CN"/>
        </w:rPr>
        <w:t>影响因素</w:t>
      </w:r>
      <w:r>
        <w:rPr>
          <w:rFonts w:hint="eastAsia" w:ascii="仿宋" w:hAnsi="仿宋" w:eastAsia="仿宋" w:cs="仿宋"/>
          <w:sz w:val="28"/>
          <w:szCs w:val="28"/>
        </w:rPr>
        <w:t>量化分析结果，编制《重庆市綦江区非住宅建设用地使用权续期地价因素修正</w:t>
      </w:r>
      <w:r>
        <w:rPr>
          <w:rFonts w:hint="eastAsia" w:ascii="仿宋" w:hAnsi="仿宋" w:eastAsia="仿宋" w:cs="仿宋"/>
          <w:sz w:val="28"/>
          <w:szCs w:val="28"/>
          <w:lang w:val="en-US" w:eastAsia="zh-CN"/>
        </w:rPr>
        <w:t>体系</w:t>
      </w:r>
      <w:r>
        <w:rPr>
          <w:rFonts w:hint="eastAsia" w:ascii="仿宋" w:hAnsi="仿宋" w:eastAsia="仿宋" w:cs="仿宋"/>
          <w:sz w:val="28"/>
          <w:szCs w:val="28"/>
        </w:rPr>
        <w:t>》</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以下简称“修正体系”</w:t>
      </w:r>
      <w:r>
        <w:rPr>
          <w:rFonts w:hint="eastAsia" w:ascii="仿宋" w:hAnsi="仿宋" w:eastAsia="仿宋" w:cs="仿宋"/>
          <w:sz w:val="28"/>
          <w:szCs w:val="28"/>
          <w:lang w:eastAsia="zh-CN"/>
        </w:rPr>
        <w:t>）</w:t>
      </w:r>
      <w:r>
        <w:rPr>
          <w:rFonts w:hint="eastAsia" w:ascii="仿宋" w:hAnsi="仿宋" w:eastAsia="仿宋" w:cs="仿宋"/>
          <w:sz w:val="28"/>
          <w:szCs w:val="28"/>
        </w:rPr>
        <w:t>。</w:t>
      </w:r>
      <w:r>
        <w:rPr>
          <w:rFonts w:hint="eastAsia" w:ascii="仿宋" w:hAnsi="仿宋" w:eastAsia="仿宋" w:cs="仿宋"/>
          <w:sz w:val="28"/>
          <w:szCs w:val="28"/>
          <w:lang w:val="en-US" w:eastAsia="zh-CN"/>
        </w:rPr>
        <w:t>修正体系经</w:t>
      </w:r>
      <w:r>
        <w:rPr>
          <w:rFonts w:hint="eastAsia" w:ascii="仿宋" w:hAnsi="仿宋" w:eastAsia="仿宋" w:cs="仿宋"/>
          <w:sz w:val="28"/>
          <w:szCs w:val="28"/>
        </w:rPr>
        <w:t>区</w:t>
      </w:r>
      <w:r>
        <w:rPr>
          <w:rFonts w:hint="eastAsia" w:ascii="仿宋" w:hAnsi="仿宋" w:eastAsia="仿宋" w:cs="仿宋"/>
          <w:sz w:val="28"/>
          <w:szCs w:val="28"/>
          <w:lang w:eastAsia="zh-CN"/>
        </w:rPr>
        <w:t>规资局</w:t>
      </w:r>
      <w:r>
        <w:rPr>
          <w:rFonts w:hint="eastAsia" w:ascii="仿宋" w:hAnsi="仿宋" w:eastAsia="仿宋" w:cs="仿宋"/>
          <w:sz w:val="28"/>
          <w:szCs w:val="28"/>
          <w:lang w:val="en-US" w:eastAsia="zh-CN"/>
        </w:rPr>
        <w:t>审定后</w:t>
      </w:r>
      <w:r>
        <w:rPr>
          <w:rFonts w:hint="eastAsia" w:ascii="仿宋" w:hAnsi="仿宋" w:eastAsia="仿宋" w:cs="仿宋"/>
          <w:sz w:val="28"/>
          <w:szCs w:val="28"/>
        </w:rPr>
        <w:t>作为本技术规则的配套文件公布实施。</w:t>
      </w:r>
    </w:p>
    <w:p>
      <w:pPr>
        <w:keepNext w:val="0"/>
        <w:keepLines w:val="0"/>
        <w:pageBreakBefore w:val="0"/>
        <w:kinsoku/>
        <w:wordWrap/>
        <w:overflowPunct/>
        <w:topLinePunct w:val="0"/>
        <w:autoSpaceDE/>
        <w:autoSpaceDN/>
        <w:bidi w:val="0"/>
        <w:adjustRightInd/>
        <w:snapToGrid/>
        <w:spacing w:line="560" w:lineRule="exact"/>
        <w:ind w:firstLine="562"/>
        <w:textAlignment w:val="auto"/>
        <w:rPr>
          <w:rFonts w:hint="eastAsia" w:ascii="仿宋" w:hAnsi="仿宋" w:eastAsia="仿宋" w:cs="仿宋"/>
          <w:b/>
          <w:bCs/>
          <w:sz w:val="28"/>
          <w:szCs w:val="28"/>
          <w:lang w:eastAsia="zh-CN"/>
        </w:rPr>
      </w:pPr>
      <w:r>
        <w:rPr>
          <w:rFonts w:hint="eastAsia" w:ascii="仿宋" w:hAnsi="仿宋" w:eastAsia="仿宋" w:cs="仿宋"/>
          <w:b/>
          <w:bCs/>
          <w:sz w:val="28"/>
          <w:szCs w:val="28"/>
        </w:rPr>
        <w:t>第十</w:t>
      </w:r>
      <w:r>
        <w:rPr>
          <w:rFonts w:hint="eastAsia" w:ascii="仿宋" w:hAnsi="仿宋" w:eastAsia="仿宋" w:cs="仿宋"/>
          <w:b/>
          <w:bCs/>
          <w:sz w:val="28"/>
          <w:szCs w:val="28"/>
          <w:lang w:val="en-US" w:eastAsia="zh-CN"/>
        </w:rPr>
        <w:t>六</w:t>
      </w:r>
      <w:r>
        <w:rPr>
          <w:rFonts w:hint="eastAsia" w:ascii="仿宋" w:hAnsi="仿宋" w:eastAsia="仿宋" w:cs="仿宋"/>
          <w:b/>
          <w:bCs/>
          <w:sz w:val="28"/>
          <w:szCs w:val="28"/>
        </w:rPr>
        <w:t>条</w:t>
      </w:r>
      <w:r>
        <w:rPr>
          <w:rFonts w:hint="eastAsia" w:ascii="仿宋" w:hAnsi="仿宋" w:eastAsia="仿宋" w:cs="仿宋"/>
          <w:b/>
          <w:bCs/>
          <w:sz w:val="28"/>
          <w:szCs w:val="28"/>
          <w:lang w:eastAsia="zh-CN"/>
        </w:rPr>
        <w:t>　</w:t>
      </w:r>
      <w:r>
        <w:rPr>
          <w:rFonts w:hint="eastAsia" w:ascii="仿宋" w:hAnsi="仿宋" w:eastAsia="仿宋" w:cs="仿宋"/>
          <w:b/>
          <w:bCs/>
          <w:sz w:val="28"/>
          <w:szCs w:val="28"/>
        </w:rPr>
        <w:t>修正体系的</w:t>
      </w:r>
      <w:r>
        <w:rPr>
          <w:rFonts w:hint="eastAsia" w:ascii="仿宋" w:hAnsi="仿宋" w:eastAsia="仿宋" w:cs="仿宋"/>
          <w:b/>
          <w:bCs/>
          <w:sz w:val="28"/>
          <w:szCs w:val="28"/>
          <w:lang w:val="en-US" w:eastAsia="zh-CN"/>
        </w:rPr>
        <w:t>运用</w:t>
      </w:r>
    </w:p>
    <w:p>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highlight w:val="none"/>
          <w:lang w:val="en-US" w:eastAsia="zh-CN"/>
        </w:rPr>
        <w:t>评估机构</w:t>
      </w:r>
      <w:r>
        <w:rPr>
          <w:rFonts w:hint="eastAsia" w:ascii="仿宋" w:hAnsi="仿宋" w:eastAsia="仿宋" w:cs="仿宋"/>
          <w:sz w:val="28"/>
          <w:szCs w:val="28"/>
          <w:lang w:val="en-US" w:eastAsia="zh-CN"/>
        </w:rPr>
        <w:t>在现行有效的</w:t>
      </w:r>
      <w:r>
        <w:rPr>
          <w:rFonts w:hint="eastAsia" w:ascii="仿宋" w:hAnsi="仿宋" w:eastAsia="仿宋" w:cs="仿宋"/>
          <w:sz w:val="28"/>
          <w:szCs w:val="28"/>
        </w:rPr>
        <w:t>基准地价</w:t>
      </w:r>
      <w:r>
        <w:rPr>
          <w:rFonts w:hint="eastAsia" w:ascii="仿宋" w:hAnsi="仿宋" w:eastAsia="仿宋" w:cs="仿宋"/>
          <w:sz w:val="28"/>
          <w:szCs w:val="28"/>
          <w:lang w:val="en-US" w:eastAsia="zh-CN"/>
        </w:rPr>
        <w:t>基础上</w:t>
      </w:r>
      <w:r>
        <w:rPr>
          <w:rFonts w:hint="eastAsia" w:ascii="仿宋" w:hAnsi="仿宋" w:eastAsia="仿宋" w:cs="仿宋"/>
          <w:sz w:val="28"/>
          <w:szCs w:val="28"/>
          <w:highlight w:val="none"/>
          <w:lang w:val="en-US" w:eastAsia="zh-CN"/>
        </w:rPr>
        <w:t>制定续期基准价</w:t>
      </w:r>
      <w:r>
        <w:rPr>
          <w:rFonts w:hint="eastAsia" w:ascii="仿宋" w:hAnsi="仿宋" w:eastAsia="仿宋" w:cs="仿宋"/>
          <w:sz w:val="28"/>
          <w:szCs w:val="28"/>
        </w:rPr>
        <w:t>，并根据宗地实际情况进行</w:t>
      </w:r>
      <w:r>
        <w:rPr>
          <w:rFonts w:hint="eastAsia" w:ascii="仿宋" w:hAnsi="仿宋" w:eastAsia="仿宋" w:cs="仿宋"/>
          <w:sz w:val="28"/>
          <w:szCs w:val="28"/>
          <w:lang w:val="en-US" w:eastAsia="zh-CN"/>
        </w:rPr>
        <w:t>临街道路类型、楼层、年期</w:t>
      </w:r>
      <w:r>
        <w:rPr>
          <w:rFonts w:hint="eastAsia" w:ascii="仿宋" w:hAnsi="仿宋" w:eastAsia="仿宋" w:cs="仿宋"/>
          <w:sz w:val="28"/>
          <w:szCs w:val="28"/>
        </w:rPr>
        <w:t>修正</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计算出补缴地价</w:t>
      </w:r>
      <w:r>
        <w:rPr>
          <w:rFonts w:hint="eastAsia" w:ascii="仿宋" w:hAnsi="仿宋" w:eastAsia="仿宋" w:cs="仿宋"/>
          <w:sz w:val="28"/>
          <w:szCs w:val="28"/>
        </w:rPr>
        <w:t>。</w:t>
      </w:r>
      <w:r>
        <w:rPr>
          <w:rFonts w:hint="eastAsia" w:ascii="仿宋" w:hAnsi="仿宋" w:eastAsia="仿宋" w:cs="仿宋"/>
          <w:sz w:val="28"/>
          <w:szCs w:val="28"/>
          <w:lang w:val="en-US" w:eastAsia="zh-CN"/>
        </w:rPr>
        <w:t>各用途测算公式如下：</w:t>
      </w:r>
    </w:p>
    <w:p>
      <w:pPr>
        <w:pStyle w:val="13"/>
        <w:keepNext w:val="0"/>
        <w:keepLines w:val="0"/>
        <w:pageBreakBefore w:val="0"/>
        <w:kinsoku/>
        <w:overflowPunct/>
        <w:topLinePunct w:val="0"/>
        <w:autoSpaceDE/>
        <w:autoSpaceDN/>
        <w:bidi w:val="0"/>
        <w:adjustRightInd/>
        <w:snapToGrid/>
        <w:spacing w:before="0" w:after="0" w:line="560" w:lineRule="exact"/>
        <w:ind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续期总价＝续期单价</w:t>
      </w:r>
      <w:r>
        <w:rPr>
          <w:rFonts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建筑面积</w:t>
      </w:r>
    </w:p>
    <w:p>
      <w:pPr>
        <w:pStyle w:val="13"/>
        <w:keepNext w:val="0"/>
        <w:keepLines w:val="0"/>
        <w:pageBreakBefore w:val="0"/>
        <w:kinsoku/>
        <w:overflowPunct/>
        <w:topLinePunct w:val="0"/>
        <w:autoSpaceDE/>
        <w:autoSpaceDN/>
        <w:bidi w:val="0"/>
        <w:adjustRightInd/>
        <w:snapToGrid/>
        <w:spacing w:before="0" w:after="0" w:line="560" w:lineRule="exact"/>
        <w:ind w:firstLine="560" w:firstLineChars="200"/>
        <w:textAlignment w:val="auto"/>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续期单价=法定最高出让年限的续期单价×年期修正系数</w:t>
      </w:r>
    </w:p>
    <w:p>
      <w:pPr>
        <w:pStyle w:val="13"/>
        <w:keepNext w:val="0"/>
        <w:keepLines w:val="0"/>
        <w:pageBreakBefore w:val="0"/>
        <w:kinsoku/>
        <w:overflowPunct/>
        <w:topLinePunct w:val="0"/>
        <w:autoSpaceDE/>
        <w:autoSpaceDN/>
        <w:bidi w:val="0"/>
        <w:adjustRightInd/>
        <w:snapToGrid/>
        <w:spacing w:before="0" w:after="0" w:line="560" w:lineRule="exact"/>
        <w:ind w:firstLine="560" w:firstLineChars="200"/>
        <w:textAlignment w:val="auto"/>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商服、公服用地法定最高出让年限的续期单价＝续期基准价×临街道路类型修正系数×楼层修正系数</w:t>
      </w:r>
    </w:p>
    <w:p>
      <w:pPr>
        <w:pStyle w:val="13"/>
        <w:keepNext w:val="0"/>
        <w:keepLines w:val="0"/>
        <w:pageBreakBefore w:val="0"/>
        <w:kinsoku/>
        <w:overflowPunct/>
        <w:topLinePunct w:val="0"/>
        <w:autoSpaceDE/>
        <w:autoSpaceDN/>
        <w:bidi w:val="0"/>
        <w:adjustRightInd/>
        <w:snapToGrid/>
        <w:spacing w:before="0" w:after="0" w:line="560" w:lineRule="exact"/>
        <w:ind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工业仓储用地法定最高出让年限的续期单价=续期基准价×企业绩效评价修正系数</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b/>
          <w:bCs/>
          <w:sz w:val="28"/>
          <w:szCs w:val="28"/>
        </w:rPr>
      </w:pPr>
      <w:r>
        <w:rPr>
          <w:rFonts w:hint="eastAsia" w:ascii="仿宋" w:hAnsi="仿宋" w:eastAsia="仿宋" w:cs="仿宋"/>
          <w:b/>
          <w:bCs/>
          <w:sz w:val="28"/>
          <w:szCs w:val="28"/>
          <w:lang w:eastAsia="zh-CN"/>
        </w:rPr>
        <w:t>　　</w:t>
      </w:r>
      <w:r>
        <w:rPr>
          <w:rFonts w:hint="eastAsia" w:ascii="仿宋" w:hAnsi="仿宋" w:eastAsia="仿宋" w:cs="仿宋"/>
          <w:b/>
          <w:bCs/>
          <w:sz w:val="28"/>
          <w:szCs w:val="28"/>
        </w:rPr>
        <w:t>第十</w:t>
      </w:r>
      <w:r>
        <w:rPr>
          <w:rFonts w:hint="eastAsia" w:ascii="仿宋" w:hAnsi="仿宋" w:eastAsia="仿宋" w:cs="仿宋"/>
          <w:b/>
          <w:bCs/>
          <w:sz w:val="28"/>
          <w:szCs w:val="28"/>
          <w:lang w:val="en-US" w:eastAsia="zh-CN"/>
        </w:rPr>
        <w:t>七</w:t>
      </w:r>
      <w:r>
        <w:rPr>
          <w:rFonts w:hint="eastAsia" w:ascii="仿宋" w:hAnsi="仿宋" w:eastAsia="仿宋" w:cs="仿宋"/>
          <w:b/>
          <w:bCs/>
          <w:sz w:val="28"/>
          <w:szCs w:val="28"/>
        </w:rPr>
        <w:t>条</w:t>
      </w:r>
      <w:r>
        <w:rPr>
          <w:rFonts w:hint="eastAsia" w:ascii="仿宋" w:hAnsi="仿宋" w:eastAsia="仿宋" w:cs="仿宋"/>
          <w:b/>
          <w:bCs/>
          <w:sz w:val="28"/>
          <w:szCs w:val="28"/>
          <w:lang w:eastAsia="zh-CN"/>
        </w:rPr>
        <w:t>　</w:t>
      </w:r>
      <w:r>
        <w:rPr>
          <w:rFonts w:hint="eastAsia" w:ascii="仿宋" w:hAnsi="仿宋" w:eastAsia="仿宋" w:cs="仿宋"/>
          <w:b/>
          <w:bCs/>
          <w:sz w:val="28"/>
          <w:szCs w:val="28"/>
        </w:rPr>
        <w:t>修正体系的动态维护与更新</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lang w:eastAsia="zh-CN"/>
        </w:rPr>
        <w:t>　　</w:t>
      </w:r>
      <w:r>
        <w:rPr>
          <w:rFonts w:hint="eastAsia" w:ascii="仿宋" w:hAnsi="仿宋" w:eastAsia="仿宋" w:cs="仿宋"/>
          <w:sz w:val="28"/>
          <w:szCs w:val="28"/>
        </w:rPr>
        <w:t>1</w:t>
      </w:r>
      <w:r>
        <w:rPr>
          <w:rFonts w:hint="eastAsia" w:ascii="仿宋" w:hAnsi="仿宋" w:eastAsia="仿宋" w:cs="仿宋"/>
          <w:sz w:val="28"/>
          <w:szCs w:val="28"/>
          <w:lang w:eastAsia="zh-CN"/>
        </w:rPr>
        <w:t>、</w:t>
      </w:r>
      <w:r>
        <w:rPr>
          <w:rFonts w:hint="eastAsia" w:ascii="仿宋" w:hAnsi="仿宋" w:eastAsia="仿宋" w:cs="仿宋"/>
          <w:sz w:val="28"/>
          <w:szCs w:val="28"/>
        </w:rPr>
        <w:t>定期评估与更新： 区</w:t>
      </w:r>
      <w:r>
        <w:rPr>
          <w:rFonts w:hint="eastAsia" w:ascii="仿宋" w:hAnsi="仿宋" w:eastAsia="仿宋" w:cs="仿宋"/>
          <w:sz w:val="28"/>
          <w:szCs w:val="28"/>
          <w:lang w:eastAsia="zh-CN"/>
        </w:rPr>
        <w:t>规资局</w:t>
      </w:r>
      <w:r>
        <w:rPr>
          <w:rFonts w:hint="eastAsia" w:ascii="仿宋" w:hAnsi="仿宋" w:eastAsia="仿宋" w:cs="仿宋"/>
          <w:sz w:val="28"/>
          <w:szCs w:val="28"/>
        </w:rPr>
        <w:t>应至少</w:t>
      </w:r>
      <w:r>
        <w:rPr>
          <w:rFonts w:hint="eastAsia" w:ascii="仿宋" w:hAnsi="仿宋" w:eastAsia="仿宋" w:cs="仿宋"/>
          <w:color w:val="auto"/>
          <w:sz w:val="28"/>
          <w:szCs w:val="28"/>
          <w:highlight w:val="none"/>
        </w:rPr>
        <w:t>每年</w:t>
      </w:r>
      <w:r>
        <w:rPr>
          <w:rFonts w:hint="eastAsia" w:ascii="仿宋" w:hAnsi="仿宋" w:eastAsia="仿宋" w:cs="仿宋"/>
          <w:sz w:val="28"/>
          <w:szCs w:val="28"/>
        </w:rPr>
        <w:t>组织对</w:t>
      </w:r>
      <w:r>
        <w:rPr>
          <w:rFonts w:hint="eastAsia" w:ascii="仿宋" w:hAnsi="仿宋" w:eastAsia="仿宋" w:cs="仿宋"/>
          <w:sz w:val="28"/>
          <w:szCs w:val="28"/>
          <w:lang w:val="en-US" w:eastAsia="zh-CN"/>
        </w:rPr>
        <w:t>修正体系</w:t>
      </w:r>
      <w:r>
        <w:rPr>
          <w:rFonts w:hint="eastAsia" w:ascii="仿宋" w:hAnsi="仿宋" w:eastAsia="仿宋" w:cs="仿宋"/>
          <w:sz w:val="28"/>
          <w:szCs w:val="28"/>
        </w:rPr>
        <w:t>进行一次全面评估。根据评估期间市场变化、案例积累和技术进步情况，决定是否对修正因素、系数或方法进行更新。</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lang w:eastAsia="zh-CN"/>
        </w:rPr>
        <w:t>　　</w:t>
      </w:r>
      <w:r>
        <w:rPr>
          <w:rFonts w:hint="eastAsia" w:ascii="仿宋" w:hAnsi="仿宋" w:eastAsia="仿宋" w:cs="仿宋"/>
          <w:sz w:val="28"/>
          <w:szCs w:val="28"/>
        </w:rPr>
        <w:t>2</w:t>
      </w:r>
      <w:r>
        <w:rPr>
          <w:rFonts w:hint="eastAsia" w:ascii="仿宋" w:hAnsi="仿宋" w:eastAsia="仿宋" w:cs="仿宋"/>
          <w:sz w:val="28"/>
          <w:szCs w:val="28"/>
          <w:lang w:eastAsia="zh-CN"/>
        </w:rPr>
        <w:t>、</w:t>
      </w:r>
      <w:r>
        <w:rPr>
          <w:rFonts w:hint="eastAsia" w:ascii="仿宋" w:hAnsi="仿宋" w:eastAsia="仿宋" w:cs="仿宋"/>
          <w:sz w:val="28"/>
          <w:szCs w:val="28"/>
        </w:rPr>
        <w:t>非定期更新：当发生本规则</w:t>
      </w:r>
      <w:r>
        <w:rPr>
          <w:rFonts w:hint="eastAsia" w:ascii="仿宋" w:hAnsi="仿宋" w:eastAsia="仿宋" w:cs="仿宋"/>
          <w:sz w:val="28"/>
          <w:szCs w:val="28"/>
          <w:highlight w:val="none"/>
        </w:rPr>
        <w:t>第十</w:t>
      </w:r>
      <w:r>
        <w:rPr>
          <w:rFonts w:hint="eastAsia" w:ascii="仿宋" w:hAnsi="仿宋" w:eastAsia="仿宋" w:cs="仿宋"/>
          <w:sz w:val="28"/>
          <w:szCs w:val="28"/>
          <w:highlight w:val="none"/>
          <w:lang w:val="en-US" w:eastAsia="zh-CN"/>
        </w:rPr>
        <w:t>二</w:t>
      </w:r>
      <w:r>
        <w:rPr>
          <w:rFonts w:hint="eastAsia" w:ascii="仿宋" w:hAnsi="仿宋" w:eastAsia="仿宋" w:cs="仿宋"/>
          <w:sz w:val="28"/>
          <w:szCs w:val="28"/>
          <w:highlight w:val="none"/>
        </w:rPr>
        <w:t>条</w:t>
      </w:r>
      <w:r>
        <w:rPr>
          <w:rFonts w:hint="eastAsia" w:ascii="仿宋" w:hAnsi="仿宋" w:eastAsia="仿宋" w:cs="仿宋"/>
          <w:sz w:val="28"/>
          <w:szCs w:val="28"/>
        </w:rPr>
        <w:t>所列之重大调整情形，且经评估认为对个别因素与地价的关系产生系统性影响时，应及时启动修正体系的更新工作。</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lang w:eastAsia="zh-CN"/>
        </w:rPr>
        <w:t>　　</w:t>
      </w:r>
      <w:r>
        <w:rPr>
          <w:rFonts w:hint="eastAsia" w:ascii="仿宋" w:hAnsi="仿宋" w:eastAsia="仿宋" w:cs="仿宋"/>
          <w:sz w:val="28"/>
          <w:szCs w:val="28"/>
        </w:rPr>
        <w:t>3</w:t>
      </w:r>
      <w:r>
        <w:rPr>
          <w:rFonts w:hint="eastAsia" w:ascii="仿宋" w:hAnsi="仿宋" w:eastAsia="仿宋" w:cs="仿宋"/>
          <w:sz w:val="28"/>
          <w:szCs w:val="28"/>
          <w:lang w:eastAsia="zh-CN"/>
        </w:rPr>
        <w:t>、</w:t>
      </w:r>
      <w:r>
        <w:rPr>
          <w:rFonts w:hint="eastAsia" w:ascii="仿宋" w:hAnsi="仿宋" w:eastAsia="仿宋" w:cs="仿宋"/>
          <w:sz w:val="28"/>
          <w:szCs w:val="28"/>
        </w:rPr>
        <w:t>版本管理与衔接：新版修正</w:t>
      </w:r>
      <w:r>
        <w:rPr>
          <w:rFonts w:hint="eastAsia" w:ascii="仿宋" w:hAnsi="仿宋" w:eastAsia="仿宋" w:cs="仿宋"/>
          <w:sz w:val="28"/>
          <w:szCs w:val="28"/>
          <w:lang w:val="en-US" w:eastAsia="zh-CN"/>
        </w:rPr>
        <w:t>体系</w:t>
      </w:r>
      <w:r>
        <w:rPr>
          <w:rFonts w:hint="eastAsia" w:ascii="仿宋" w:hAnsi="仿宋" w:eastAsia="仿宋" w:cs="仿宋"/>
          <w:sz w:val="28"/>
          <w:szCs w:val="28"/>
        </w:rPr>
        <w:t>公布实施后，旧版即行废止。系统内既有宗地预评估价的更新，以及新增宗地的评估，均应统一适用新版修正体系。新旧体系衔接转换的具体技术方案，由区</w:t>
      </w:r>
      <w:r>
        <w:rPr>
          <w:rFonts w:hint="eastAsia" w:ascii="仿宋" w:hAnsi="仿宋" w:eastAsia="仿宋" w:cs="仿宋"/>
          <w:sz w:val="28"/>
          <w:szCs w:val="28"/>
          <w:lang w:eastAsia="zh-CN"/>
        </w:rPr>
        <w:t>规资局</w:t>
      </w:r>
      <w:r>
        <w:rPr>
          <w:rFonts w:hint="eastAsia" w:ascii="仿宋" w:hAnsi="仿宋" w:eastAsia="仿宋" w:cs="仿宋"/>
          <w:sz w:val="28"/>
          <w:szCs w:val="28"/>
        </w:rPr>
        <w:t>在更新时一并明确。</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第</w:t>
      </w:r>
      <w:r>
        <w:rPr>
          <w:rFonts w:hint="eastAsia" w:ascii="仿宋" w:hAnsi="仿宋" w:eastAsia="仿宋" w:cs="仿宋"/>
          <w:b/>
          <w:bCs/>
          <w:sz w:val="28"/>
          <w:szCs w:val="28"/>
          <w:lang w:val="en-US" w:eastAsia="zh-CN"/>
        </w:rPr>
        <w:t>五</w:t>
      </w:r>
      <w:r>
        <w:rPr>
          <w:rFonts w:hint="eastAsia" w:ascii="仿宋" w:hAnsi="仿宋" w:eastAsia="仿宋" w:cs="仿宋"/>
          <w:b/>
          <w:bCs/>
          <w:sz w:val="28"/>
          <w:szCs w:val="28"/>
        </w:rPr>
        <w:t>章 续期申请与地价复核确认程序</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lang w:eastAsia="zh-CN"/>
        </w:rPr>
        <w:t>　</w:t>
      </w:r>
      <w:r>
        <w:rPr>
          <w:rFonts w:hint="eastAsia" w:ascii="仿宋" w:hAnsi="仿宋" w:eastAsia="仿宋" w:cs="仿宋"/>
          <w:b/>
          <w:bCs/>
          <w:sz w:val="28"/>
          <w:szCs w:val="28"/>
          <w:lang w:eastAsia="zh-CN"/>
        </w:rPr>
        <w:t>　</w:t>
      </w:r>
      <w:r>
        <w:rPr>
          <w:rFonts w:hint="eastAsia" w:ascii="仿宋" w:hAnsi="仿宋" w:eastAsia="仿宋" w:cs="仿宋"/>
          <w:b/>
          <w:bCs/>
          <w:sz w:val="28"/>
          <w:szCs w:val="28"/>
        </w:rPr>
        <w:t>第十</w:t>
      </w:r>
      <w:r>
        <w:rPr>
          <w:rFonts w:hint="eastAsia" w:ascii="仿宋" w:hAnsi="仿宋" w:eastAsia="仿宋" w:cs="仿宋"/>
          <w:b/>
          <w:bCs/>
          <w:sz w:val="28"/>
          <w:szCs w:val="28"/>
          <w:lang w:val="en-US" w:eastAsia="zh-CN"/>
        </w:rPr>
        <w:t>八</w:t>
      </w:r>
      <w:r>
        <w:rPr>
          <w:rFonts w:hint="eastAsia" w:ascii="仿宋" w:hAnsi="仿宋" w:eastAsia="仿宋" w:cs="仿宋"/>
          <w:b/>
          <w:bCs/>
          <w:sz w:val="28"/>
          <w:szCs w:val="28"/>
        </w:rPr>
        <w:t>条</w:t>
      </w:r>
      <w:r>
        <w:rPr>
          <w:rFonts w:hint="eastAsia" w:ascii="仿宋" w:hAnsi="仿宋" w:eastAsia="仿宋" w:cs="仿宋"/>
          <w:b/>
          <w:bCs/>
          <w:sz w:val="28"/>
          <w:szCs w:val="28"/>
          <w:lang w:eastAsia="zh-CN"/>
        </w:rPr>
        <w:t>　</w:t>
      </w:r>
      <w:r>
        <w:rPr>
          <w:rFonts w:hint="eastAsia" w:ascii="仿宋" w:hAnsi="仿宋" w:eastAsia="仿宋" w:cs="仿宋"/>
          <w:b/>
          <w:bCs/>
          <w:sz w:val="28"/>
          <w:szCs w:val="28"/>
        </w:rPr>
        <w:t>信息查询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lang w:eastAsia="zh-CN"/>
        </w:rPr>
        <w:t>　　</w:t>
      </w:r>
      <w:r>
        <w:rPr>
          <w:rFonts w:hint="eastAsia" w:ascii="仿宋" w:hAnsi="仿宋" w:eastAsia="仿宋" w:cs="仿宋"/>
          <w:sz w:val="28"/>
          <w:szCs w:val="28"/>
          <w:lang w:val="en-US" w:eastAsia="zh-CN"/>
        </w:rPr>
        <w:t>申请人通过</w:t>
      </w:r>
      <w:r>
        <w:rPr>
          <w:rFonts w:hint="eastAsia" w:ascii="仿宋" w:hAnsi="仿宋" w:eastAsia="仿宋" w:cs="仿宋"/>
          <w:sz w:val="28"/>
          <w:szCs w:val="28"/>
        </w:rPr>
        <w:t>区</w:t>
      </w:r>
      <w:r>
        <w:rPr>
          <w:rFonts w:hint="eastAsia" w:ascii="仿宋" w:hAnsi="仿宋" w:eastAsia="仿宋" w:cs="仿宋"/>
          <w:sz w:val="28"/>
          <w:szCs w:val="28"/>
          <w:lang w:eastAsia="zh-CN"/>
        </w:rPr>
        <w:t>规资局</w:t>
      </w:r>
      <w:r>
        <w:rPr>
          <w:rFonts w:hint="eastAsia" w:ascii="仿宋" w:hAnsi="仿宋" w:eastAsia="仿宋" w:cs="仿宋"/>
          <w:sz w:val="28"/>
          <w:szCs w:val="28"/>
          <w:lang w:val="en-US" w:eastAsia="zh-CN"/>
        </w:rPr>
        <w:t>公布的</w:t>
      </w:r>
      <w:r>
        <w:rPr>
          <w:rFonts w:hint="eastAsia" w:ascii="仿宋" w:hAnsi="仿宋" w:eastAsia="仿宋" w:cs="仿宋"/>
          <w:sz w:val="28"/>
          <w:szCs w:val="28"/>
        </w:rPr>
        <w:t>“</w:t>
      </w:r>
      <w:r>
        <w:rPr>
          <w:rFonts w:hint="eastAsia" w:ascii="仿宋" w:hAnsi="仿宋" w:eastAsia="仿宋" w:cs="仿宋"/>
          <w:sz w:val="28"/>
          <w:szCs w:val="28"/>
          <w:lang w:val="en-US" w:eastAsia="zh-CN"/>
        </w:rPr>
        <w:t>管理</w:t>
      </w:r>
      <w:r>
        <w:rPr>
          <w:rFonts w:hint="eastAsia" w:ascii="仿宋" w:hAnsi="仿宋" w:eastAsia="仿宋" w:cs="仿宋"/>
          <w:sz w:val="28"/>
          <w:szCs w:val="28"/>
        </w:rPr>
        <w:t>系统”</w:t>
      </w:r>
      <w:r>
        <w:rPr>
          <w:rFonts w:hint="eastAsia" w:ascii="仿宋" w:hAnsi="仿宋" w:eastAsia="仿宋" w:cs="仿宋"/>
          <w:sz w:val="28"/>
          <w:szCs w:val="28"/>
          <w:lang w:val="en-US" w:eastAsia="zh-CN"/>
        </w:rPr>
        <w:t>对续期补缴地价进行查询</w:t>
      </w:r>
      <w:r>
        <w:rPr>
          <w:rFonts w:hint="eastAsia" w:ascii="仿宋" w:hAnsi="仿宋" w:eastAsia="仿宋" w:cs="仿宋"/>
          <w:sz w:val="28"/>
          <w:szCs w:val="28"/>
        </w:rPr>
        <w:t>，作为其决策参考。</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b/>
          <w:bCs/>
          <w:sz w:val="28"/>
          <w:szCs w:val="28"/>
        </w:rPr>
      </w:pPr>
      <w:r>
        <w:rPr>
          <w:rFonts w:hint="eastAsia" w:ascii="仿宋" w:hAnsi="仿宋" w:eastAsia="仿宋" w:cs="仿宋"/>
          <w:sz w:val="28"/>
          <w:szCs w:val="28"/>
          <w:lang w:eastAsia="zh-CN"/>
        </w:rPr>
        <w:t>　　</w:t>
      </w:r>
      <w:r>
        <w:rPr>
          <w:rFonts w:hint="eastAsia" w:ascii="仿宋" w:hAnsi="仿宋" w:eastAsia="仿宋" w:cs="仿宋"/>
          <w:b/>
          <w:bCs/>
          <w:sz w:val="28"/>
          <w:szCs w:val="28"/>
        </w:rPr>
        <w:t>第</w:t>
      </w:r>
      <w:r>
        <w:rPr>
          <w:rFonts w:hint="eastAsia" w:ascii="仿宋" w:hAnsi="仿宋" w:eastAsia="仿宋" w:cs="仿宋"/>
          <w:b/>
          <w:bCs/>
          <w:sz w:val="28"/>
          <w:szCs w:val="28"/>
          <w:lang w:val="en-US" w:eastAsia="zh-CN"/>
        </w:rPr>
        <w:t>十九</w:t>
      </w:r>
      <w:r>
        <w:rPr>
          <w:rFonts w:hint="eastAsia" w:ascii="仿宋" w:hAnsi="仿宋" w:eastAsia="仿宋" w:cs="仿宋"/>
          <w:b/>
          <w:bCs/>
          <w:sz w:val="28"/>
          <w:szCs w:val="28"/>
        </w:rPr>
        <w:t>条</w:t>
      </w:r>
      <w:r>
        <w:rPr>
          <w:rFonts w:hint="eastAsia" w:ascii="仿宋" w:hAnsi="仿宋" w:eastAsia="仿宋" w:cs="仿宋"/>
          <w:b/>
          <w:bCs/>
          <w:sz w:val="28"/>
          <w:szCs w:val="28"/>
          <w:lang w:eastAsia="zh-CN"/>
        </w:rPr>
        <w:t>　</w:t>
      </w:r>
      <w:r>
        <w:rPr>
          <w:rFonts w:hint="eastAsia" w:ascii="仿宋" w:hAnsi="仿宋" w:eastAsia="仿宋" w:cs="仿宋"/>
          <w:b/>
          <w:bCs/>
          <w:sz w:val="28"/>
          <w:szCs w:val="28"/>
        </w:rPr>
        <w:t>正式申请与受理</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lang w:eastAsia="zh-CN"/>
        </w:rPr>
        <w:t>　　</w:t>
      </w:r>
      <w:r>
        <w:rPr>
          <w:rFonts w:hint="eastAsia" w:ascii="仿宋" w:hAnsi="仿宋" w:eastAsia="仿宋" w:cs="仿宋"/>
          <w:sz w:val="28"/>
          <w:szCs w:val="28"/>
        </w:rPr>
        <w:t>土地使用权人决定申请续期并正式提交申请材料后，区</w:t>
      </w:r>
      <w:r>
        <w:rPr>
          <w:rFonts w:hint="eastAsia" w:ascii="仿宋" w:hAnsi="仿宋" w:eastAsia="仿宋" w:cs="仿宋"/>
          <w:sz w:val="28"/>
          <w:szCs w:val="28"/>
          <w:lang w:eastAsia="zh-CN"/>
        </w:rPr>
        <w:t>规资局</w:t>
      </w:r>
      <w:r>
        <w:rPr>
          <w:rFonts w:hint="eastAsia" w:ascii="仿宋" w:hAnsi="仿宋" w:eastAsia="仿宋" w:cs="仿宋"/>
          <w:sz w:val="28"/>
          <w:szCs w:val="28"/>
        </w:rPr>
        <w:t>予以受理。</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lang w:eastAsia="zh-CN"/>
        </w:rPr>
        <w:t>　　</w:t>
      </w:r>
      <w:r>
        <w:rPr>
          <w:rFonts w:hint="eastAsia" w:ascii="仿宋" w:hAnsi="仿宋" w:eastAsia="仿宋" w:cs="仿宋"/>
          <w:b/>
          <w:bCs/>
          <w:sz w:val="28"/>
          <w:szCs w:val="28"/>
        </w:rPr>
        <w:t>第</w:t>
      </w:r>
      <w:r>
        <w:rPr>
          <w:rFonts w:hint="eastAsia" w:ascii="仿宋" w:hAnsi="仿宋" w:eastAsia="仿宋" w:cs="仿宋"/>
          <w:b/>
          <w:bCs/>
          <w:sz w:val="28"/>
          <w:szCs w:val="28"/>
          <w:lang w:val="en-US" w:eastAsia="zh-CN"/>
        </w:rPr>
        <w:t>二十</w:t>
      </w:r>
      <w:r>
        <w:rPr>
          <w:rFonts w:hint="eastAsia" w:ascii="仿宋" w:hAnsi="仿宋" w:eastAsia="仿宋" w:cs="仿宋"/>
          <w:b/>
          <w:bCs/>
          <w:sz w:val="28"/>
          <w:szCs w:val="28"/>
        </w:rPr>
        <w:t>条</w:t>
      </w:r>
      <w:r>
        <w:rPr>
          <w:rFonts w:hint="eastAsia" w:ascii="仿宋" w:hAnsi="仿宋" w:eastAsia="仿宋" w:cs="仿宋"/>
          <w:b/>
          <w:bCs/>
          <w:sz w:val="28"/>
          <w:szCs w:val="28"/>
          <w:lang w:eastAsia="zh-CN"/>
        </w:rPr>
        <w:t>　</w:t>
      </w:r>
      <w:r>
        <w:rPr>
          <w:rFonts w:hint="eastAsia" w:ascii="仿宋" w:hAnsi="仿宋" w:eastAsia="仿宋" w:cs="仿宋"/>
          <w:b/>
          <w:bCs/>
          <w:sz w:val="28"/>
          <w:szCs w:val="28"/>
        </w:rPr>
        <w:t>地价复核</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lang w:eastAsia="zh-CN"/>
        </w:rPr>
        <w:t>　　</w:t>
      </w:r>
      <w:r>
        <w:rPr>
          <w:rFonts w:hint="eastAsia" w:ascii="仿宋" w:hAnsi="仿宋" w:eastAsia="仿宋" w:cs="仿宋"/>
          <w:sz w:val="28"/>
          <w:szCs w:val="28"/>
        </w:rPr>
        <w:t>1</w:t>
      </w:r>
      <w:r>
        <w:rPr>
          <w:rFonts w:hint="eastAsia" w:ascii="仿宋" w:hAnsi="仿宋" w:eastAsia="仿宋" w:cs="仿宋"/>
          <w:sz w:val="28"/>
          <w:szCs w:val="28"/>
          <w:lang w:eastAsia="zh-CN"/>
        </w:rPr>
        <w:t>、</w:t>
      </w:r>
      <w:r>
        <w:rPr>
          <w:rFonts w:hint="eastAsia" w:ascii="仿宋" w:hAnsi="仿宋" w:eastAsia="仿宋" w:cs="仿宋"/>
          <w:sz w:val="28"/>
          <w:szCs w:val="28"/>
        </w:rPr>
        <w:t>复核启动： 受理续期申请后，区</w:t>
      </w:r>
      <w:r>
        <w:rPr>
          <w:rFonts w:hint="eastAsia" w:ascii="仿宋" w:hAnsi="仿宋" w:eastAsia="仿宋" w:cs="仿宋"/>
          <w:sz w:val="28"/>
          <w:szCs w:val="28"/>
          <w:lang w:eastAsia="zh-CN"/>
        </w:rPr>
        <w:t>规资局</w:t>
      </w:r>
      <w:r>
        <w:rPr>
          <w:rFonts w:hint="eastAsia" w:ascii="仿宋" w:hAnsi="仿宋" w:eastAsia="仿宋" w:cs="仿宋"/>
          <w:sz w:val="28"/>
          <w:szCs w:val="28"/>
        </w:rPr>
        <w:t>经办人员应立即启动地价复核程序。</w:t>
      </w:r>
    </w:p>
    <w:p>
      <w:pPr>
        <w:keepNext w:val="0"/>
        <w:keepLines w:val="0"/>
        <w:pageBreakBefore w:val="0"/>
        <w:kinsoku/>
        <w:wordWrap/>
        <w:overflowPunct/>
        <w:topLinePunct w:val="0"/>
        <w:autoSpaceDE/>
        <w:autoSpaceDN/>
        <w:bidi w:val="0"/>
        <w:adjustRightInd/>
        <w:snapToGrid/>
        <w:spacing w:line="560" w:lineRule="exact"/>
        <w:ind w:firstLine="560"/>
        <w:textAlignment w:val="auto"/>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eastAsia="zh-CN"/>
        </w:rPr>
        <w:t>、</w:t>
      </w:r>
      <w:r>
        <w:rPr>
          <w:rFonts w:hint="eastAsia" w:ascii="仿宋" w:hAnsi="仿宋" w:eastAsia="仿宋" w:cs="仿宋"/>
          <w:sz w:val="28"/>
          <w:szCs w:val="28"/>
        </w:rPr>
        <w:t>复核内容： 重点复核申请宗地的实际现状与系统中记录的用于测算评估价的关键影响因素是否一致。</w:t>
      </w:r>
    </w:p>
    <w:p>
      <w:pPr>
        <w:keepNext w:val="0"/>
        <w:keepLines w:val="0"/>
        <w:pageBreakBefore w:val="0"/>
        <w:kinsoku/>
        <w:wordWrap/>
        <w:overflowPunct/>
        <w:topLinePunct w:val="0"/>
        <w:autoSpaceDE/>
        <w:autoSpaceDN/>
        <w:bidi w:val="0"/>
        <w:adjustRightInd/>
        <w:snapToGrid/>
        <w:spacing w:line="560" w:lineRule="exact"/>
        <w:ind w:firstLine="560"/>
        <w:textAlignment w:val="auto"/>
        <w:rPr>
          <w:rFonts w:hint="eastAsia"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lang w:eastAsia="zh-CN"/>
        </w:rPr>
        <w:t>、</w:t>
      </w:r>
      <w:r>
        <w:rPr>
          <w:rFonts w:hint="eastAsia" w:ascii="仿宋" w:hAnsi="仿宋" w:eastAsia="仿宋" w:cs="仿宋"/>
          <w:sz w:val="28"/>
          <w:szCs w:val="28"/>
        </w:rPr>
        <w:t>复核结果处理：</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经核实，</w:t>
      </w:r>
      <w:r>
        <w:rPr>
          <w:rFonts w:hint="eastAsia" w:ascii="仿宋" w:hAnsi="仿宋" w:eastAsia="仿宋" w:cs="仿宋"/>
          <w:sz w:val="28"/>
          <w:szCs w:val="28"/>
          <w:lang w:val="en-US" w:eastAsia="zh-CN"/>
        </w:rPr>
        <w:t>复核结果</w:t>
      </w:r>
      <w:r>
        <w:rPr>
          <w:rFonts w:hint="eastAsia" w:ascii="仿宋" w:hAnsi="仿宋" w:eastAsia="仿宋" w:cs="仿宋"/>
          <w:sz w:val="28"/>
          <w:szCs w:val="28"/>
        </w:rPr>
        <w:t>与系统记录无实质性差异，则直接采用系统预评估价作为最终补缴地价</w:t>
      </w:r>
      <w:r>
        <w:rPr>
          <w:rFonts w:hint="eastAsia" w:ascii="仿宋" w:hAnsi="仿宋" w:eastAsia="仿宋" w:cs="仿宋"/>
          <w:sz w:val="28"/>
          <w:szCs w:val="28"/>
          <w:lang w:eastAsia="zh-CN"/>
        </w:rPr>
        <w:t>；</w:t>
      </w:r>
      <w:r>
        <w:rPr>
          <w:rFonts w:hint="eastAsia" w:ascii="仿宋" w:hAnsi="仿宋" w:eastAsia="仿宋" w:cs="仿宋"/>
          <w:sz w:val="28"/>
          <w:szCs w:val="28"/>
        </w:rPr>
        <w:t>若</w:t>
      </w:r>
      <w:r>
        <w:rPr>
          <w:rFonts w:hint="eastAsia" w:ascii="仿宋" w:hAnsi="仿宋" w:eastAsia="仿宋" w:cs="仿宋"/>
          <w:sz w:val="28"/>
          <w:szCs w:val="28"/>
          <w:lang w:val="en-US" w:eastAsia="zh-CN"/>
        </w:rPr>
        <w:t>复核结果与系统记录信息不一致</w:t>
      </w:r>
      <w:r>
        <w:rPr>
          <w:rFonts w:hint="eastAsia" w:ascii="仿宋" w:hAnsi="仿宋" w:eastAsia="仿宋" w:cs="仿宋"/>
          <w:sz w:val="28"/>
          <w:szCs w:val="28"/>
        </w:rPr>
        <w:t>，则需对评估价进行调整。</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b/>
          <w:bCs/>
          <w:sz w:val="28"/>
          <w:szCs w:val="28"/>
        </w:rPr>
      </w:pPr>
      <w:r>
        <w:rPr>
          <w:rFonts w:hint="eastAsia" w:ascii="仿宋" w:hAnsi="仿宋" w:eastAsia="仿宋" w:cs="仿宋"/>
          <w:sz w:val="28"/>
          <w:szCs w:val="28"/>
          <w:lang w:eastAsia="zh-CN"/>
        </w:rPr>
        <w:t>　　</w:t>
      </w:r>
      <w:r>
        <w:rPr>
          <w:rFonts w:hint="eastAsia" w:ascii="仿宋" w:hAnsi="仿宋" w:eastAsia="仿宋" w:cs="仿宋"/>
          <w:b/>
          <w:bCs/>
          <w:sz w:val="28"/>
          <w:szCs w:val="28"/>
        </w:rPr>
        <w:t>第</w:t>
      </w:r>
      <w:r>
        <w:rPr>
          <w:rFonts w:hint="eastAsia" w:ascii="仿宋" w:hAnsi="仿宋" w:eastAsia="仿宋" w:cs="仿宋"/>
          <w:b/>
          <w:bCs/>
          <w:sz w:val="28"/>
          <w:szCs w:val="28"/>
          <w:lang w:val="en-US" w:eastAsia="zh-CN"/>
        </w:rPr>
        <w:t>二十一</w:t>
      </w:r>
      <w:r>
        <w:rPr>
          <w:rFonts w:hint="eastAsia" w:ascii="仿宋" w:hAnsi="仿宋" w:eastAsia="仿宋" w:cs="仿宋"/>
          <w:b/>
          <w:bCs/>
          <w:sz w:val="28"/>
          <w:szCs w:val="28"/>
        </w:rPr>
        <w:t>条</w:t>
      </w:r>
      <w:r>
        <w:rPr>
          <w:rFonts w:hint="eastAsia" w:ascii="仿宋" w:hAnsi="仿宋" w:eastAsia="仿宋" w:cs="仿宋"/>
          <w:b/>
          <w:bCs/>
          <w:sz w:val="28"/>
          <w:szCs w:val="28"/>
          <w:lang w:eastAsia="zh-CN"/>
        </w:rPr>
        <w:t>　</w:t>
      </w:r>
      <w:r>
        <w:rPr>
          <w:rFonts w:hint="eastAsia" w:ascii="仿宋" w:hAnsi="仿宋" w:eastAsia="仿宋" w:cs="仿宋"/>
          <w:b/>
          <w:bCs/>
          <w:sz w:val="28"/>
          <w:szCs w:val="28"/>
        </w:rPr>
        <w:t>地价确定与执行</w:t>
      </w:r>
    </w:p>
    <w:p>
      <w:pPr>
        <w:keepNext w:val="0"/>
        <w:keepLines w:val="0"/>
        <w:pageBreakBefore w:val="0"/>
        <w:kinsoku/>
        <w:wordWrap/>
        <w:overflowPunct/>
        <w:topLinePunct w:val="0"/>
        <w:autoSpaceDE/>
        <w:autoSpaceDN/>
        <w:bidi w:val="0"/>
        <w:adjustRightInd/>
        <w:snapToGrid/>
        <w:spacing w:line="560" w:lineRule="exact"/>
        <w:ind w:firstLine="560"/>
        <w:textAlignment w:val="auto"/>
        <w:rPr>
          <w:rFonts w:hint="eastAsia" w:ascii="仿宋" w:hAnsi="仿宋" w:eastAsia="仿宋" w:cs="仿宋"/>
          <w:sz w:val="28"/>
          <w:szCs w:val="28"/>
        </w:rPr>
      </w:pPr>
      <w:r>
        <w:rPr>
          <w:rFonts w:hint="eastAsia" w:ascii="仿宋" w:hAnsi="仿宋" w:eastAsia="仿宋" w:cs="仿宋"/>
          <w:sz w:val="28"/>
          <w:szCs w:val="28"/>
        </w:rPr>
        <w:t>经复核（或调整）确定的最终补缴地价，由区</w:t>
      </w:r>
      <w:r>
        <w:rPr>
          <w:rFonts w:hint="eastAsia" w:ascii="仿宋" w:hAnsi="仿宋" w:eastAsia="仿宋" w:cs="仿宋"/>
          <w:sz w:val="28"/>
          <w:szCs w:val="28"/>
          <w:lang w:eastAsia="zh-CN"/>
        </w:rPr>
        <w:t>规资局</w:t>
      </w:r>
      <w:r>
        <w:rPr>
          <w:rFonts w:hint="eastAsia" w:ascii="仿宋" w:hAnsi="仿宋" w:eastAsia="仿宋" w:cs="仿宋"/>
          <w:sz w:val="28"/>
          <w:szCs w:val="28"/>
        </w:rPr>
        <w:t>按规定程序进行确认、审批，并作为签订《国有建设用地使用权出让合同补充协议》及收取土地出让价款的依据。</w:t>
      </w:r>
    </w:p>
    <w:p>
      <w:pPr>
        <w:keepNext w:val="0"/>
        <w:keepLines w:val="0"/>
        <w:pageBreakBefore w:val="0"/>
        <w:kinsoku/>
        <w:wordWrap/>
        <w:overflowPunct/>
        <w:topLinePunct w:val="0"/>
        <w:autoSpaceDE/>
        <w:autoSpaceDN/>
        <w:bidi w:val="0"/>
        <w:adjustRightInd/>
        <w:snapToGrid/>
        <w:spacing w:line="560" w:lineRule="exact"/>
        <w:ind w:firstLine="560"/>
        <w:textAlignment w:val="auto"/>
        <w:rPr>
          <w:rFonts w:hint="eastAsia" w:ascii="仿宋" w:hAnsi="仿宋" w:eastAsia="仿宋" w:cs="仿宋"/>
          <w:b/>
          <w:bCs/>
          <w:sz w:val="28"/>
          <w:szCs w:val="28"/>
        </w:rPr>
      </w:pPr>
      <w:r>
        <w:rPr>
          <w:rFonts w:hint="eastAsia" w:ascii="仿宋" w:hAnsi="仿宋" w:eastAsia="仿宋" w:cs="仿宋"/>
          <w:b/>
          <w:bCs/>
          <w:sz w:val="28"/>
          <w:szCs w:val="28"/>
        </w:rPr>
        <w:t>第二十二条 异议处理</w:t>
      </w:r>
    </w:p>
    <w:p>
      <w:pPr>
        <w:keepNext w:val="0"/>
        <w:keepLines w:val="0"/>
        <w:pageBreakBefore w:val="0"/>
        <w:kinsoku/>
        <w:wordWrap/>
        <w:overflowPunct/>
        <w:topLinePunct w:val="0"/>
        <w:autoSpaceDE/>
        <w:autoSpaceDN/>
        <w:bidi w:val="0"/>
        <w:adjustRightInd/>
        <w:snapToGrid/>
        <w:spacing w:line="560" w:lineRule="exact"/>
        <w:ind w:firstLine="560"/>
        <w:textAlignment w:val="auto"/>
        <w:rPr>
          <w:rFonts w:hint="eastAsia" w:ascii="仿宋" w:hAnsi="仿宋" w:eastAsia="仿宋" w:cs="仿宋"/>
          <w:sz w:val="28"/>
          <w:szCs w:val="28"/>
        </w:rPr>
      </w:pPr>
      <w:r>
        <w:rPr>
          <w:rFonts w:hint="eastAsia" w:ascii="仿宋" w:hAnsi="仿宋" w:eastAsia="仿宋" w:cs="仿宋"/>
          <w:sz w:val="28"/>
          <w:szCs w:val="28"/>
        </w:rPr>
        <w:t>土地使用权人对最终补缴地价有异议的，可以向区</w:t>
      </w:r>
      <w:r>
        <w:rPr>
          <w:rFonts w:hint="eastAsia" w:ascii="仿宋" w:hAnsi="仿宋" w:eastAsia="仿宋" w:cs="仿宋"/>
          <w:sz w:val="28"/>
          <w:szCs w:val="28"/>
          <w:lang w:eastAsia="zh-CN"/>
        </w:rPr>
        <w:t>规资局</w:t>
      </w:r>
      <w:r>
        <w:rPr>
          <w:rFonts w:hint="eastAsia" w:ascii="仿宋" w:hAnsi="仿宋" w:eastAsia="仿宋" w:cs="仿宋"/>
          <w:sz w:val="28"/>
          <w:szCs w:val="28"/>
        </w:rPr>
        <w:t>提出书面异议。异议不成立但产权人仍不认可的，可以自行委托具备相应资质的评估机构进行独立评估。</w:t>
      </w:r>
    </w:p>
    <w:p>
      <w:pPr>
        <w:keepNext w:val="0"/>
        <w:keepLines w:val="0"/>
        <w:pageBreakBefore w:val="0"/>
        <w:kinsoku/>
        <w:wordWrap/>
        <w:overflowPunct/>
        <w:topLinePunct w:val="0"/>
        <w:autoSpaceDE/>
        <w:autoSpaceDN/>
        <w:bidi w:val="0"/>
        <w:adjustRightInd/>
        <w:snapToGrid/>
        <w:spacing w:line="560" w:lineRule="exact"/>
        <w:ind w:firstLine="560"/>
        <w:textAlignment w:val="auto"/>
        <w:rPr>
          <w:rFonts w:hint="eastAsia" w:ascii="仿宋" w:hAnsi="仿宋" w:eastAsia="仿宋" w:cs="仿宋"/>
          <w:sz w:val="28"/>
          <w:szCs w:val="28"/>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第六章  附则</w:t>
      </w:r>
    </w:p>
    <w:p>
      <w:pPr>
        <w:keepNext w:val="0"/>
        <w:keepLines w:val="0"/>
        <w:pageBreakBefore w:val="0"/>
        <w:kinsoku/>
        <w:wordWrap/>
        <w:overflowPunct/>
        <w:topLinePunct w:val="0"/>
        <w:autoSpaceDE/>
        <w:autoSpaceDN/>
        <w:bidi w:val="0"/>
        <w:adjustRightInd/>
        <w:snapToGrid/>
        <w:spacing w:line="560" w:lineRule="exact"/>
        <w:ind w:firstLine="562" w:firstLineChars="200"/>
        <w:textAlignment w:val="auto"/>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第二十二条　集体决策环节的特殊处理</w:t>
      </w:r>
    </w:p>
    <w:p>
      <w:pPr>
        <w:keepNext w:val="0"/>
        <w:keepLines w:val="0"/>
        <w:pageBreakBefore w:val="0"/>
        <w:kinsoku/>
        <w:wordWrap/>
        <w:overflowPunct/>
        <w:topLinePunct w:val="0"/>
        <w:autoSpaceDE/>
        <w:autoSpaceDN/>
        <w:bidi w:val="0"/>
        <w:adjustRightInd/>
        <w:snapToGrid/>
        <w:spacing w:line="560" w:lineRule="exac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eastAsia="zh-CN"/>
        </w:rPr>
        <w:t>　</w:t>
      </w:r>
      <w:r>
        <w:rPr>
          <w:rFonts w:hint="eastAsia" w:ascii="仿宋" w:hAnsi="仿宋" w:eastAsia="仿宋" w:cs="仿宋"/>
          <w:sz w:val="28"/>
          <w:szCs w:val="28"/>
          <w:lang w:val="en-US" w:eastAsia="zh-CN"/>
        </w:rPr>
        <w:t>　遇下列特殊情形之一的，可能导致在一般修正体系的基础上额外调整补缴价款，如</w:t>
      </w:r>
      <w:r>
        <w:rPr>
          <w:rFonts w:hint="eastAsia" w:ascii="仿宋" w:hAnsi="仿宋" w:eastAsia="仿宋" w:cs="仿宋"/>
          <w:sz w:val="28"/>
          <w:szCs w:val="28"/>
        </w:rPr>
        <w:t>历史遗留问题</w:t>
      </w:r>
      <w:r>
        <w:rPr>
          <w:rFonts w:hint="eastAsia" w:ascii="仿宋" w:hAnsi="仿宋" w:eastAsia="仿宋" w:cs="仿宋"/>
          <w:sz w:val="28"/>
          <w:szCs w:val="28"/>
          <w:lang w:eastAsia="zh-CN"/>
        </w:rPr>
        <w:t>、土地使用权</w:t>
      </w:r>
      <w:r>
        <w:rPr>
          <w:rFonts w:hint="eastAsia" w:ascii="仿宋" w:hAnsi="仿宋" w:eastAsia="仿宋" w:cs="仿宋"/>
          <w:sz w:val="28"/>
          <w:szCs w:val="28"/>
          <w:lang w:val="en-US" w:eastAsia="zh-CN"/>
        </w:rPr>
        <w:t>人</w:t>
      </w:r>
      <w:r>
        <w:rPr>
          <w:rFonts w:hint="eastAsia" w:ascii="仿宋" w:hAnsi="仿宋" w:eastAsia="仿宋" w:cs="仿宋"/>
          <w:sz w:val="28"/>
          <w:szCs w:val="28"/>
          <w:lang w:eastAsia="zh-CN"/>
        </w:rPr>
        <w:t>经济状况严重困难、</w:t>
      </w:r>
      <w:r>
        <w:rPr>
          <w:rFonts w:hint="eastAsia" w:ascii="仿宋" w:hAnsi="仿宋" w:eastAsia="仿宋" w:cs="仿宋"/>
          <w:sz w:val="28"/>
          <w:szCs w:val="28"/>
          <w:lang w:val="en-US" w:eastAsia="zh-CN"/>
        </w:rPr>
        <w:t>政策扶持以及其他特殊情况等。可在申请续期的同时，向区规资局提交书面申请，说明特殊事由、提供相关证明材料，并提出具体的地价调整诉求。区人民政府相关部门应对申请材料的完整性进行形式审查，决定是否受理，并形成集体审议会议纪要。集体审议会议纪要应作为地价调整的法定依据归档保存，保存期限不少于不动产使用年限。</w:t>
      </w:r>
    </w:p>
    <w:p>
      <w:pPr>
        <w:keepNext w:val="0"/>
        <w:keepLines w:val="0"/>
        <w:pageBreakBefore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
          <w:sz w:val="28"/>
          <w:szCs w:val="28"/>
          <w:lang w:val="en-US" w:eastAsia="zh-CN"/>
        </w:rPr>
      </w:pPr>
      <w:bookmarkStart w:id="1" w:name="_GoBack"/>
      <w:bookmarkEnd w:id="1"/>
      <w:r>
        <w:rPr>
          <w:rFonts w:hint="eastAsia" w:ascii="仿宋" w:hAnsi="仿宋" w:eastAsia="仿宋" w:cs="仿宋"/>
          <w:b/>
          <w:bCs/>
          <w:sz w:val="28"/>
          <w:szCs w:val="28"/>
          <w:lang w:val="en-US" w:eastAsia="zh-CN"/>
        </w:rPr>
        <w:t xml:space="preserve">第二十三条 </w:t>
      </w:r>
      <w:r>
        <w:rPr>
          <w:rFonts w:hint="eastAsia" w:ascii="仿宋" w:hAnsi="仿宋" w:eastAsia="仿宋" w:cs="仿宋"/>
          <w:sz w:val="28"/>
          <w:szCs w:val="28"/>
          <w:lang w:val="en-US" w:eastAsia="zh-CN"/>
        </w:rPr>
        <w:t>本文件发布后，此前发布的《重庆市綦江区非住宅国有建设用地使用权</w:t>
      </w:r>
      <w:r>
        <w:rPr>
          <w:rFonts w:hint="default" w:ascii="仿宋" w:hAnsi="仿宋" w:eastAsia="仿宋" w:cs="仿宋"/>
          <w:sz w:val="28"/>
          <w:szCs w:val="28"/>
          <w:lang w:val="en-US" w:eastAsia="zh-CN"/>
        </w:rPr>
        <w:t>续期管理暂行办法（试行）</w:t>
      </w:r>
      <w:r>
        <w:rPr>
          <w:rFonts w:hint="eastAsia" w:ascii="仿宋" w:hAnsi="仿宋" w:eastAsia="仿宋" w:cs="仿宋"/>
          <w:sz w:val="28"/>
          <w:szCs w:val="28"/>
          <w:lang w:val="en-US" w:eastAsia="zh-CN"/>
        </w:rPr>
        <w:t>》中与本文件规定不一致的条款，以本文件为准。本文件未尽事宜，仍按《重庆市綦江区非住宅国有建设用地使用权</w:t>
      </w:r>
      <w:r>
        <w:rPr>
          <w:rFonts w:hint="default" w:ascii="仿宋" w:hAnsi="仿宋" w:eastAsia="仿宋" w:cs="仿宋"/>
          <w:sz w:val="28"/>
          <w:szCs w:val="28"/>
          <w:lang w:val="en-US" w:eastAsia="zh-CN"/>
        </w:rPr>
        <w:t>续期管理暂行办法（试行）</w:t>
      </w:r>
      <w:r>
        <w:rPr>
          <w:rFonts w:hint="eastAsia" w:ascii="仿宋" w:hAnsi="仿宋" w:eastAsia="仿宋" w:cs="仿宋"/>
          <w:sz w:val="28"/>
          <w:szCs w:val="28"/>
          <w:lang w:val="en-US" w:eastAsia="zh-CN"/>
        </w:rPr>
        <w:t>》及相关规定执行。</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附件：</w:t>
      </w:r>
      <w:r>
        <w:rPr>
          <w:rFonts w:hint="eastAsia" w:ascii="仿宋" w:hAnsi="仿宋" w:eastAsia="仿宋" w:cs="仿宋"/>
          <w:sz w:val="28"/>
          <w:szCs w:val="28"/>
        </w:rPr>
        <w:t>《重庆市綦江区国有建设用地使用权</w:t>
      </w:r>
      <w:r>
        <w:rPr>
          <w:rFonts w:hint="eastAsia" w:ascii="仿宋" w:hAnsi="仿宋" w:eastAsia="仿宋" w:cs="仿宋"/>
          <w:sz w:val="28"/>
          <w:szCs w:val="28"/>
          <w:lang w:val="en-US" w:eastAsia="zh-CN"/>
        </w:rPr>
        <w:t>续期补缴地价款修正体系</w:t>
      </w:r>
      <w:r>
        <w:rPr>
          <w:rFonts w:hint="eastAsia" w:ascii="仿宋" w:hAnsi="仿宋" w:eastAsia="仿宋" w:cs="仿宋"/>
          <w:sz w:val="28"/>
          <w:szCs w:val="28"/>
        </w:rPr>
        <w:t>》</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pPr>
        <w:spacing w:line="540" w:lineRule="exact"/>
        <w:ind w:left="2160" w:hanging="2160" w:hangingChars="600"/>
        <w:jc w:val="center"/>
        <w:rPr>
          <w:rFonts w:hint="eastAsia" w:ascii="方正小标宋_GBK" w:hAnsi="方正小标宋_GBK" w:eastAsia="方正小标宋_GBK" w:cs="方正小标宋_GBK"/>
          <w:sz w:val="36"/>
          <w:szCs w:val="36"/>
          <w:highlight w:val="none"/>
          <w:lang w:val="en-US" w:eastAsia="zh-CN"/>
        </w:rPr>
      </w:pPr>
      <w:bookmarkStart w:id="0" w:name="正文"/>
      <w:r>
        <w:rPr>
          <w:rFonts w:hint="eastAsia" w:ascii="方正小标宋_GBK" w:hAnsi="方正小标宋_GBK" w:eastAsia="方正小标宋_GBK" w:cs="方正小标宋_GBK"/>
          <w:sz w:val="36"/>
          <w:szCs w:val="36"/>
          <w:highlight w:val="none"/>
        </w:rPr>
        <w:t>重庆市綦江区国有建设用地使用权</w:t>
      </w:r>
      <w:r>
        <w:rPr>
          <w:rFonts w:hint="eastAsia" w:ascii="方正小标宋_GBK" w:hAnsi="方正小标宋_GBK" w:eastAsia="方正小标宋_GBK" w:cs="方正小标宋_GBK"/>
          <w:sz w:val="36"/>
          <w:szCs w:val="36"/>
          <w:highlight w:val="none"/>
          <w:lang w:val="en-US" w:eastAsia="zh-CN"/>
        </w:rPr>
        <w:t>续期</w:t>
      </w:r>
    </w:p>
    <w:p>
      <w:pPr>
        <w:spacing w:line="540" w:lineRule="exact"/>
        <w:ind w:left="2160" w:hanging="2160" w:hangingChars="600"/>
        <w:jc w:val="center"/>
        <w:rPr>
          <w:rFonts w:hint="default" w:ascii="方正小标宋_GBK" w:hAnsi="方正小标宋_GBK" w:eastAsia="方正小标宋_GBK" w:cs="方正小标宋_GBK"/>
          <w:sz w:val="36"/>
          <w:szCs w:val="36"/>
          <w:highlight w:val="none"/>
          <w:lang w:val="en-US" w:eastAsia="zh-CN"/>
        </w:rPr>
      </w:pPr>
      <w:r>
        <w:rPr>
          <w:rFonts w:hint="eastAsia" w:ascii="方正小标宋_GBK" w:hAnsi="方正小标宋_GBK" w:eastAsia="方正小标宋_GBK" w:cs="方正小标宋_GBK"/>
          <w:sz w:val="36"/>
          <w:szCs w:val="36"/>
          <w:highlight w:val="none"/>
          <w:lang w:val="en-US" w:eastAsia="zh-CN"/>
        </w:rPr>
        <w:t>补缴地价款修正体系</w:t>
      </w:r>
    </w:p>
    <w:p>
      <w:pPr>
        <w:pStyle w:val="14"/>
        <w:rPr>
          <w:rFonts w:eastAsia="方正仿宋_GBK"/>
          <w:sz w:val="28"/>
          <w:szCs w:val="28"/>
          <w:highlight w:val="none"/>
        </w:rPr>
      </w:pPr>
      <w:r>
        <w:rPr>
          <w:rFonts w:eastAsia="方正仿宋_GBK"/>
          <w:sz w:val="28"/>
          <w:szCs w:val="28"/>
          <w:highlight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方正黑体_GBK" w:eastAsia="方正黑体_GBK"/>
          <w:szCs w:val="32"/>
          <w:highlight w:val="none"/>
        </w:rPr>
      </w:pPr>
      <w:r>
        <w:rPr>
          <w:rFonts w:hint="eastAsia" w:ascii="方正黑体_GBK" w:eastAsia="方正黑体_GBK"/>
          <w:szCs w:val="32"/>
          <w:highlight w:val="none"/>
        </w:rPr>
        <w:t>一、适用范围</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本修正体系适用于</w:t>
      </w:r>
      <w:r>
        <w:rPr>
          <w:rFonts w:hint="default" w:ascii="Times New Roman" w:hAnsi="Times New Roman" w:cs="Times New Roman"/>
          <w:highlight w:val="none"/>
          <w:lang w:val="en-US" w:eastAsia="zh-CN"/>
        </w:rPr>
        <w:t>綦江区</w:t>
      </w:r>
      <w:r>
        <w:rPr>
          <w:rFonts w:hint="eastAsia" w:ascii="Times New Roman" w:hAnsi="Times New Roman" w:cs="Times New Roman"/>
          <w:highlight w:val="none"/>
          <w:lang w:val="en-US" w:eastAsia="zh-CN"/>
        </w:rPr>
        <w:t>行政区范围内，因土地出让年限到期，土地使用权人主动申请续期的非住宅国有建设用地使用权</w:t>
      </w:r>
      <w:r>
        <w:rPr>
          <w:rFonts w:hint="default" w:ascii="Times New Roman" w:hAnsi="Times New Roman" w:cs="Times New Roman"/>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方正黑体_GBK" w:eastAsia="方正黑体_GBK"/>
          <w:szCs w:val="32"/>
          <w:highlight w:val="none"/>
        </w:rPr>
      </w:pPr>
      <w:r>
        <w:rPr>
          <w:rFonts w:hint="eastAsia" w:ascii="方正黑体_GBK" w:eastAsia="方正黑体_GBK"/>
          <w:szCs w:val="32"/>
          <w:highlight w:val="none"/>
          <w:lang w:val="en-US" w:eastAsia="zh-CN"/>
        </w:rPr>
        <w:t>二</w:t>
      </w:r>
      <w:r>
        <w:rPr>
          <w:rFonts w:hint="eastAsia" w:ascii="方正黑体_GBK" w:eastAsia="方正黑体_GBK"/>
          <w:szCs w:val="32"/>
          <w:highlight w:val="none"/>
        </w:rPr>
        <w:t>、土地用途分类</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szCs w:val="32"/>
          <w:highlight w:val="none"/>
        </w:rPr>
      </w:pPr>
      <w:r>
        <w:rPr>
          <w:highlight w:val="none"/>
        </w:rPr>
        <w:t>土地用途分为商服、</w:t>
      </w:r>
      <w:r>
        <w:rPr>
          <w:rFonts w:hint="eastAsia"/>
          <w:highlight w:val="none"/>
          <w:lang w:val="en-US" w:eastAsia="zh-CN"/>
        </w:rPr>
        <w:t>工业</w:t>
      </w:r>
      <w:r>
        <w:rPr>
          <w:highlight w:val="none"/>
        </w:rPr>
        <w:t>仓储和公共管理与公共服务用地</w:t>
      </w:r>
      <w:r>
        <w:rPr>
          <w:rFonts w:hint="eastAsia"/>
          <w:highlight w:val="none"/>
          <w:lang w:val="en-US" w:eastAsia="zh-CN"/>
        </w:rPr>
        <w:t>三</w:t>
      </w:r>
      <w:r>
        <w:rPr>
          <w:highlight w:val="none"/>
        </w:rPr>
        <w:t>类</w:t>
      </w:r>
      <w:r>
        <w:rPr>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ascii="方正黑体_GBK" w:eastAsia="方正黑体_GBK"/>
          <w:szCs w:val="32"/>
          <w:highlight w:val="none"/>
          <w:lang w:val="en-US" w:eastAsia="zh-CN"/>
        </w:rPr>
      </w:pPr>
      <w:r>
        <w:rPr>
          <w:rFonts w:hint="eastAsia" w:ascii="方正黑体_GBK" w:eastAsia="方正黑体_GBK"/>
          <w:szCs w:val="32"/>
          <w:highlight w:val="none"/>
          <w:lang w:val="en-US" w:eastAsia="zh-CN"/>
        </w:rPr>
        <w:t>三</w:t>
      </w:r>
      <w:r>
        <w:rPr>
          <w:rFonts w:hint="eastAsia" w:ascii="方正黑体_GBK" w:eastAsia="方正黑体_GBK"/>
          <w:szCs w:val="32"/>
          <w:highlight w:val="none"/>
        </w:rPr>
        <w:t>、</w:t>
      </w:r>
      <w:r>
        <w:rPr>
          <w:rFonts w:hint="eastAsia" w:ascii="方正黑体_GBK" w:eastAsia="方正黑体_GBK"/>
          <w:szCs w:val="32"/>
          <w:highlight w:val="none"/>
          <w:lang w:val="en-US" w:eastAsia="zh-CN"/>
        </w:rPr>
        <w:t>补缴地价款计算公式</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eastAsia="方正仿宋_GBK"/>
          <w:szCs w:val="32"/>
          <w:highlight w:val="none"/>
          <w:lang w:val="en-US" w:eastAsia="zh-CN"/>
        </w:rPr>
      </w:pPr>
      <w:r>
        <w:rPr>
          <w:rFonts w:hint="eastAsia"/>
          <w:szCs w:val="32"/>
          <w:highlight w:val="none"/>
          <w:lang w:val="en-US" w:eastAsia="zh-CN"/>
        </w:rPr>
        <w:t>以现行有效的基准地价为计算基数</w:t>
      </w:r>
      <w:r>
        <w:rPr>
          <w:szCs w:val="32"/>
          <w:highlight w:val="none"/>
        </w:rPr>
        <w:t>，</w:t>
      </w:r>
      <w:r>
        <w:rPr>
          <w:rFonts w:hint="eastAsia"/>
          <w:szCs w:val="32"/>
          <w:highlight w:val="none"/>
          <w:lang w:val="en-US" w:eastAsia="zh-CN"/>
        </w:rPr>
        <w:t>根据</w:t>
      </w:r>
      <w:r>
        <w:rPr>
          <w:rFonts w:hint="eastAsia" w:ascii="Times New Roman" w:hAnsi="Times New Roman" w:cs="Times New Roman"/>
          <w:szCs w:val="32"/>
          <w:highlight w:val="none"/>
          <w:lang w:val="en-US" w:eastAsia="zh-CN"/>
        </w:rPr>
        <w:t>土地级别、商业繁华度、用途、估价期日确定不同路段</w:t>
      </w:r>
      <w:r>
        <w:rPr>
          <w:rFonts w:hint="eastAsia"/>
          <w:szCs w:val="32"/>
          <w:highlight w:val="none"/>
          <w:lang w:val="en-US" w:eastAsia="zh-CN"/>
        </w:rPr>
        <w:t>的续期基准价，再</w:t>
      </w:r>
      <w:r>
        <w:rPr>
          <w:szCs w:val="32"/>
          <w:highlight w:val="none"/>
        </w:rPr>
        <w:t>根据宗地实际情况进行</w:t>
      </w:r>
      <w:r>
        <w:rPr>
          <w:rFonts w:hint="eastAsia"/>
          <w:szCs w:val="32"/>
          <w:highlight w:val="none"/>
          <w:lang w:val="en-US" w:eastAsia="zh-CN"/>
        </w:rPr>
        <w:t>楼层、临街道路类型、街角地</w:t>
      </w:r>
      <w:r>
        <w:rPr>
          <w:szCs w:val="32"/>
          <w:highlight w:val="none"/>
        </w:rPr>
        <w:t>等修正</w:t>
      </w:r>
      <w:r>
        <w:rPr>
          <w:rFonts w:hint="eastAsia"/>
          <w:szCs w:val="32"/>
          <w:highlight w:val="none"/>
          <w:lang w:eastAsia="zh-CN"/>
        </w:rPr>
        <w:t>，</w:t>
      </w:r>
      <w:r>
        <w:rPr>
          <w:rFonts w:hint="eastAsia"/>
          <w:szCs w:val="32"/>
          <w:highlight w:val="none"/>
          <w:lang w:val="en-US" w:eastAsia="zh-CN"/>
        </w:rPr>
        <w:t>计算出补缴地价</w:t>
      </w:r>
      <w:r>
        <w:rPr>
          <w:szCs w:val="32"/>
          <w:highlight w:val="none"/>
        </w:rPr>
        <w:t>。</w:t>
      </w:r>
      <w:r>
        <w:rPr>
          <w:rFonts w:hint="eastAsia"/>
          <w:szCs w:val="32"/>
          <w:highlight w:val="none"/>
          <w:lang w:val="en-US" w:eastAsia="zh-CN"/>
        </w:rPr>
        <w:t>各用途测算公式如下：</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szCs w:val="32"/>
          <w:highlight w:val="none"/>
          <w:lang w:val="en-US"/>
        </w:rPr>
      </w:pPr>
      <w:r>
        <w:rPr>
          <w:szCs w:val="32"/>
          <w:highlight w:val="none"/>
        </w:rPr>
        <w:t>1.</w:t>
      </w:r>
      <w:r>
        <w:rPr>
          <w:rFonts w:hint="eastAsia"/>
          <w:szCs w:val="32"/>
          <w:highlight w:val="none"/>
          <w:lang w:val="en-US" w:eastAsia="zh-CN"/>
        </w:rPr>
        <w:t>商服用地续期补缴地价测算公式</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eastAsia="方正仿宋_GBK"/>
          <w:szCs w:val="32"/>
          <w:highlight w:val="none"/>
          <w:lang w:val="en-US" w:eastAsia="zh-CN"/>
        </w:rPr>
      </w:pPr>
      <w:r>
        <w:rPr>
          <w:rFonts w:hint="eastAsia"/>
          <w:szCs w:val="32"/>
          <w:highlight w:val="none"/>
          <w:lang w:val="en-US" w:eastAsia="zh-CN"/>
        </w:rPr>
        <w:t>续期总价</w:t>
      </w:r>
      <w:r>
        <w:rPr>
          <w:szCs w:val="32"/>
          <w:highlight w:val="none"/>
        </w:rPr>
        <w:t>=</w:t>
      </w:r>
      <w:r>
        <w:rPr>
          <w:rFonts w:hint="eastAsia"/>
          <w:szCs w:val="32"/>
          <w:highlight w:val="none"/>
          <w:lang w:val="en-US" w:eastAsia="zh-CN"/>
        </w:rPr>
        <w:t>续期单价</w:t>
      </w:r>
      <w:r>
        <w:rPr>
          <w:szCs w:val="32"/>
          <w:highlight w:val="none"/>
        </w:rPr>
        <w:t>×</w:t>
      </w:r>
      <w:r>
        <w:rPr>
          <w:rFonts w:hint="eastAsia"/>
          <w:szCs w:val="32"/>
          <w:highlight w:val="none"/>
          <w:lang w:val="en-US" w:eastAsia="zh-CN"/>
        </w:rPr>
        <w:t>建筑面积</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szCs w:val="32"/>
          <w:highlight w:val="none"/>
          <w:lang w:val="en-US" w:eastAsia="zh-CN"/>
        </w:rPr>
      </w:pPr>
      <w:r>
        <w:rPr>
          <w:rFonts w:hint="eastAsia"/>
          <w:szCs w:val="32"/>
          <w:highlight w:val="none"/>
          <w:lang w:val="en-US" w:eastAsia="zh-CN"/>
        </w:rPr>
        <w:t>续期单价=法定最高出让年限的续期单价</w:t>
      </w:r>
      <w:r>
        <w:rPr>
          <w:szCs w:val="32"/>
          <w:highlight w:val="none"/>
        </w:rPr>
        <w:t>×</w:t>
      </w:r>
      <w:r>
        <w:rPr>
          <w:rFonts w:hint="eastAsia"/>
          <w:szCs w:val="32"/>
          <w:highlight w:val="none"/>
          <w:lang w:val="en-US" w:eastAsia="zh-CN"/>
        </w:rPr>
        <w:t>年期修正系数</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szCs w:val="32"/>
          <w:highlight w:val="none"/>
        </w:rPr>
      </w:pPr>
      <w:r>
        <w:rPr>
          <w:rFonts w:hint="eastAsia"/>
          <w:szCs w:val="32"/>
          <w:highlight w:val="none"/>
          <w:lang w:val="en-US" w:eastAsia="zh-CN"/>
        </w:rPr>
        <w:t>法定最高出让年限的续期单价</w:t>
      </w:r>
      <w:r>
        <w:rPr>
          <w:szCs w:val="32"/>
          <w:highlight w:val="none"/>
        </w:rPr>
        <w:t>=</w:t>
      </w:r>
      <w:r>
        <w:rPr>
          <w:rFonts w:hint="eastAsia"/>
          <w:szCs w:val="32"/>
          <w:highlight w:val="none"/>
          <w:lang w:val="en-US" w:eastAsia="zh-CN"/>
        </w:rPr>
        <w:t>续期基准价</w:t>
      </w:r>
      <w:r>
        <w:rPr>
          <w:szCs w:val="32"/>
          <w:highlight w:val="none"/>
        </w:rPr>
        <w:t>×</w:t>
      </w:r>
      <w:r>
        <w:rPr>
          <w:rFonts w:hint="eastAsia"/>
          <w:szCs w:val="32"/>
          <w:highlight w:val="none"/>
          <w:lang w:val="en-US" w:eastAsia="zh-CN"/>
        </w:rPr>
        <w:t>楼层</w:t>
      </w:r>
      <w:r>
        <w:rPr>
          <w:szCs w:val="32"/>
          <w:highlight w:val="none"/>
        </w:rPr>
        <w:t>修正系数×</w:t>
      </w:r>
      <w:r>
        <w:rPr>
          <w:rFonts w:hint="eastAsia"/>
          <w:szCs w:val="32"/>
          <w:highlight w:val="none"/>
          <w:lang w:val="en-US" w:eastAsia="zh-CN"/>
        </w:rPr>
        <w:t>临街道路类型</w:t>
      </w:r>
      <w:r>
        <w:rPr>
          <w:szCs w:val="32"/>
          <w:highlight w:val="none"/>
        </w:rPr>
        <w:t>修正系数×</w:t>
      </w:r>
      <w:r>
        <w:rPr>
          <w:rFonts w:hint="eastAsia"/>
          <w:szCs w:val="32"/>
          <w:highlight w:val="none"/>
          <w:lang w:val="en-US" w:eastAsia="zh-CN"/>
        </w:rPr>
        <w:t>街角地</w:t>
      </w:r>
      <w:r>
        <w:rPr>
          <w:szCs w:val="32"/>
          <w:highlight w:val="none"/>
        </w:rPr>
        <w:t>修正系数</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szCs w:val="32"/>
          <w:highlight w:val="none"/>
        </w:rPr>
      </w:pPr>
      <w:r>
        <w:rPr>
          <w:rFonts w:hint="eastAsia"/>
          <w:szCs w:val="32"/>
          <w:highlight w:val="none"/>
          <w:lang w:val="en-US" w:eastAsia="zh-CN"/>
        </w:rPr>
        <w:t>2</w:t>
      </w:r>
      <w:r>
        <w:rPr>
          <w:szCs w:val="32"/>
          <w:highlight w:val="none"/>
        </w:rPr>
        <w:t>.</w:t>
      </w:r>
      <w:r>
        <w:rPr>
          <w:rFonts w:hint="eastAsia"/>
          <w:szCs w:val="32"/>
          <w:highlight w:val="none"/>
          <w:lang w:val="en-US" w:eastAsia="zh-CN"/>
        </w:rPr>
        <w:t>公共管理与公共服务用地续期补缴地价测算公式</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eastAsia="方正仿宋_GBK"/>
          <w:szCs w:val="32"/>
          <w:highlight w:val="none"/>
          <w:lang w:val="en-US" w:eastAsia="zh-CN"/>
        </w:rPr>
      </w:pPr>
      <w:r>
        <w:rPr>
          <w:rFonts w:hint="eastAsia"/>
          <w:szCs w:val="32"/>
          <w:highlight w:val="none"/>
          <w:lang w:val="en-US" w:eastAsia="zh-CN"/>
        </w:rPr>
        <w:t>续期总价</w:t>
      </w:r>
      <w:r>
        <w:rPr>
          <w:szCs w:val="32"/>
          <w:highlight w:val="none"/>
        </w:rPr>
        <w:t>=</w:t>
      </w:r>
      <w:r>
        <w:rPr>
          <w:rFonts w:hint="eastAsia"/>
          <w:szCs w:val="32"/>
          <w:highlight w:val="none"/>
          <w:lang w:val="en-US" w:eastAsia="zh-CN"/>
        </w:rPr>
        <w:t>续期单价</w:t>
      </w:r>
      <w:r>
        <w:rPr>
          <w:szCs w:val="32"/>
          <w:highlight w:val="none"/>
        </w:rPr>
        <w:t>×</w:t>
      </w:r>
      <w:r>
        <w:rPr>
          <w:rFonts w:hint="eastAsia"/>
          <w:szCs w:val="32"/>
          <w:highlight w:val="none"/>
          <w:lang w:val="en-US" w:eastAsia="zh-CN"/>
        </w:rPr>
        <w:t>建筑面积</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szCs w:val="32"/>
          <w:highlight w:val="none"/>
          <w:lang w:val="en-US" w:eastAsia="zh-CN"/>
        </w:rPr>
      </w:pPr>
      <w:r>
        <w:rPr>
          <w:rFonts w:hint="eastAsia"/>
          <w:szCs w:val="32"/>
          <w:highlight w:val="none"/>
          <w:lang w:val="en-US" w:eastAsia="zh-CN"/>
        </w:rPr>
        <w:t>续期单价=法定最高出让年限的续期单价</w:t>
      </w:r>
      <w:r>
        <w:rPr>
          <w:szCs w:val="32"/>
          <w:highlight w:val="none"/>
        </w:rPr>
        <w:t>×</w:t>
      </w:r>
      <w:r>
        <w:rPr>
          <w:rFonts w:hint="eastAsia"/>
          <w:szCs w:val="32"/>
          <w:highlight w:val="none"/>
          <w:lang w:val="en-US" w:eastAsia="zh-CN"/>
        </w:rPr>
        <w:t>年期修正系数</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szCs w:val="32"/>
          <w:highlight w:val="none"/>
        </w:rPr>
      </w:pPr>
      <w:r>
        <w:rPr>
          <w:rFonts w:hint="eastAsia"/>
          <w:szCs w:val="32"/>
          <w:highlight w:val="none"/>
          <w:lang w:val="en-US" w:eastAsia="zh-CN"/>
        </w:rPr>
        <w:t>法定最高出让年限的续期单价</w:t>
      </w:r>
      <w:r>
        <w:rPr>
          <w:szCs w:val="32"/>
          <w:highlight w:val="none"/>
        </w:rPr>
        <w:t>=</w:t>
      </w:r>
      <w:r>
        <w:rPr>
          <w:rFonts w:hint="eastAsia"/>
          <w:szCs w:val="32"/>
          <w:highlight w:val="none"/>
          <w:lang w:val="en-US" w:eastAsia="zh-CN"/>
        </w:rPr>
        <w:t>续期基准价</w:t>
      </w:r>
      <w:r>
        <w:rPr>
          <w:szCs w:val="32"/>
          <w:highlight w:val="none"/>
        </w:rPr>
        <w:t>×</w:t>
      </w:r>
      <w:r>
        <w:rPr>
          <w:rFonts w:hint="eastAsia"/>
          <w:szCs w:val="32"/>
          <w:highlight w:val="none"/>
          <w:lang w:val="en-US" w:eastAsia="zh-CN"/>
        </w:rPr>
        <w:t>楼层</w:t>
      </w:r>
      <w:r>
        <w:rPr>
          <w:szCs w:val="32"/>
          <w:highlight w:val="none"/>
        </w:rPr>
        <w:t>修正系数×</w:t>
      </w:r>
      <w:r>
        <w:rPr>
          <w:rFonts w:hint="eastAsia"/>
          <w:szCs w:val="32"/>
          <w:highlight w:val="none"/>
          <w:lang w:val="en-US" w:eastAsia="zh-CN"/>
        </w:rPr>
        <w:t>临街道路类型</w:t>
      </w:r>
      <w:r>
        <w:rPr>
          <w:szCs w:val="32"/>
          <w:highlight w:val="none"/>
        </w:rPr>
        <w:t>修正系数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szCs w:val="32"/>
          <w:highlight w:val="none"/>
          <w:lang w:val="en-US" w:eastAsia="zh-CN"/>
        </w:rPr>
      </w:pPr>
      <w:r>
        <w:rPr>
          <w:rFonts w:hint="eastAsia"/>
          <w:szCs w:val="32"/>
          <w:highlight w:val="none"/>
          <w:lang w:val="en-US" w:eastAsia="zh-CN"/>
        </w:rPr>
        <w:t>3.工业仓储用地续期补缴地价测算公式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textAlignment w:val="auto"/>
        <w:rPr>
          <w:rFonts w:hint="default" w:eastAsia="方正仿宋_GBK"/>
          <w:szCs w:val="32"/>
          <w:highlight w:val="none"/>
          <w:lang w:val="en-US" w:eastAsia="zh-CN"/>
        </w:rPr>
      </w:pPr>
      <w:r>
        <w:rPr>
          <w:rFonts w:hint="eastAsia"/>
          <w:szCs w:val="32"/>
          <w:highlight w:val="none"/>
          <w:lang w:val="en-US" w:eastAsia="zh-CN"/>
        </w:rPr>
        <w:t>续期总价</w:t>
      </w:r>
      <w:r>
        <w:rPr>
          <w:szCs w:val="32"/>
          <w:highlight w:val="none"/>
        </w:rPr>
        <w:t>=</w:t>
      </w:r>
      <w:r>
        <w:rPr>
          <w:rFonts w:hint="eastAsia"/>
          <w:szCs w:val="32"/>
          <w:highlight w:val="none"/>
          <w:lang w:val="en-US" w:eastAsia="zh-CN"/>
        </w:rPr>
        <w:t>续期单价</w:t>
      </w:r>
      <w:r>
        <w:rPr>
          <w:szCs w:val="32"/>
          <w:highlight w:val="none"/>
        </w:rPr>
        <w:t>×</w:t>
      </w:r>
      <w:r>
        <w:rPr>
          <w:rFonts w:hint="eastAsia"/>
          <w:szCs w:val="32"/>
          <w:highlight w:val="none"/>
          <w:lang w:val="en-US" w:eastAsia="zh-CN"/>
        </w:rPr>
        <w:t>建筑面积</w:t>
      </w:r>
    </w:p>
    <w:p>
      <w:pPr>
        <w:keepNext w:val="0"/>
        <w:keepLines w:val="0"/>
        <w:pageBreakBefore w:val="0"/>
        <w:widowControl w:val="0"/>
        <w:kinsoku/>
        <w:wordWrap/>
        <w:overflowPunct/>
        <w:topLinePunct w:val="0"/>
        <w:autoSpaceDE/>
        <w:autoSpaceDN/>
        <w:bidi w:val="0"/>
        <w:adjustRightInd/>
        <w:snapToGrid/>
        <w:spacing w:line="560" w:lineRule="exact"/>
        <w:ind w:left="420" w:leftChars="200" w:firstLine="420" w:firstLineChars="200"/>
        <w:textAlignment w:val="auto"/>
        <w:rPr>
          <w:rFonts w:hint="eastAsia"/>
          <w:szCs w:val="32"/>
          <w:highlight w:val="none"/>
          <w:lang w:val="en-US" w:eastAsia="zh-CN"/>
        </w:rPr>
      </w:pPr>
      <w:r>
        <w:rPr>
          <w:rFonts w:hint="eastAsia"/>
          <w:szCs w:val="32"/>
          <w:highlight w:val="none"/>
          <w:lang w:val="en-US" w:eastAsia="zh-CN"/>
        </w:rPr>
        <w:t>续期单价=法定最高出让年限的续期单价</w:t>
      </w:r>
      <w:r>
        <w:rPr>
          <w:szCs w:val="32"/>
          <w:highlight w:val="none"/>
        </w:rPr>
        <w:t>×</w:t>
      </w:r>
      <w:r>
        <w:rPr>
          <w:rFonts w:hint="eastAsia"/>
          <w:szCs w:val="32"/>
          <w:highlight w:val="none"/>
          <w:lang w:val="en-US" w:eastAsia="zh-CN"/>
        </w:rPr>
        <w:t>年期修正系数</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szCs w:val="32"/>
          <w:highlight w:val="none"/>
          <w:lang w:val="en-US" w:eastAsia="zh-CN"/>
        </w:rPr>
      </w:pPr>
      <w:r>
        <w:rPr>
          <w:rFonts w:hint="eastAsia"/>
          <w:szCs w:val="32"/>
          <w:highlight w:val="none"/>
          <w:lang w:val="en-US" w:eastAsia="zh-CN"/>
        </w:rPr>
        <w:t>法定最高出让年限的续期单价</w:t>
      </w:r>
      <w:r>
        <w:rPr>
          <w:szCs w:val="32"/>
          <w:highlight w:val="none"/>
        </w:rPr>
        <w:t>=</w:t>
      </w:r>
      <w:r>
        <w:rPr>
          <w:rFonts w:hint="eastAsia"/>
          <w:szCs w:val="32"/>
          <w:highlight w:val="none"/>
          <w:lang w:val="en-US" w:eastAsia="zh-CN"/>
        </w:rPr>
        <w:t>续期</w:t>
      </w:r>
      <w:r>
        <w:rPr>
          <w:szCs w:val="32"/>
          <w:highlight w:val="none"/>
        </w:rPr>
        <w:t>基准价×</w:t>
      </w:r>
      <w:r>
        <w:rPr>
          <w:rFonts w:hint="eastAsia"/>
          <w:szCs w:val="32"/>
          <w:highlight w:val="none"/>
          <w:lang w:val="en-US" w:eastAsia="zh-CN"/>
        </w:rPr>
        <w:t>企业绩效评价修正系数</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szCs w:val="32"/>
          <w:highlight w:val="none"/>
          <w:lang w:val="en-US" w:eastAsia="zh-CN"/>
        </w:rPr>
      </w:pPr>
      <w:r>
        <w:rPr>
          <w:rFonts w:hint="eastAsia"/>
          <w:szCs w:val="32"/>
          <w:highlight w:val="none"/>
          <w:lang w:val="en-US" w:eastAsia="zh-CN"/>
        </w:rPr>
        <w:t>本修正体系计算结果对应内涵为法定最高出让年限的续期单价。</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方正黑体_GBK" w:eastAsia="方正黑体_GBK" w:cs="Times New Roman"/>
          <w:szCs w:val="32"/>
          <w:highlight w:val="none"/>
          <w:lang w:val="en-US" w:eastAsia="zh-CN"/>
        </w:rPr>
      </w:pPr>
      <w:r>
        <w:rPr>
          <w:rFonts w:hint="eastAsia" w:ascii="方正黑体_GBK" w:eastAsia="方正黑体_GBK" w:cs="Times New Roman"/>
          <w:szCs w:val="32"/>
          <w:highlight w:val="none"/>
          <w:lang w:val="en-US" w:eastAsia="zh-CN"/>
        </w:rPr>
        <w:t>四、续期基准价的确定</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szCs w:val="32"/>
          <w:highlight w:val="none"/>
          <w:lang w:val="en-US" w:eastAsia="zh-CN"/>
        </w:rPr>
      </w:pPr>
      <w:r>
        <w:rPr>
          <w:rFonts w:hint="eastAsia"/>
          <w:szCs w:val="32"/>
          <w:highlight w:val="none"/>
          <w:lang w:val="en-US" w:eastAsia="zh-CN"/>
        </w:rPr>
        <w:t xml:space="preserve">续期基准价，是指以基准地价为计算依据，以续期宗地所在道路为界定范围，综合考量申请续期的时点、续期宗地的二级类用途，以及续期范围不同地段商业繁华程度的差异而确定的基准价格，其代表某一路段某一用途在某一时点申请续期的平均价格。 </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szCs w:val="32"/>
          <w:highlight w:val="none"/>
          <w:lang w:val="en-US" w:eastAsia="zh-CN"/>
        </w:rPr>
      </w:pPr>
      <w:r>
        <w:rPr>
          <w:rFonts w:hint="eastAsia"/>
          <w:szCs w:val="32"/>
          <w:highlight w:val="none"/>
          <w:lang w:val="en-US" w:eastAsia="zh-CN"/>
        </w:rPr>
        <w:t>续期基准价内涵如下：</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szCs w:val="32"/>
          <w:highlight w:val="none"/>
          <w:lang w:val="en-US" w:eastAsia="zh-CN"/>
        </w:rPr>
      </w:pPr>
      <w:r>
        <w:rPr>
          <w:rFonts w:hint="eastAsia"/>
          <w:szCs w:val="32"/>
          <w:highlight w:val="none"/>
          <w:lang w:val="en-US" w:eastAsia="zh-CN"/>
        </w:rPr>
        <w:t>①估价期日：2026年1月1日；</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szCs w:val="32"/>
          <w:highlight w:val="none"/>
          <w:lang w:val="en-US" w:eastAsia="zh-CN"/>
        </w:rPr>
      </w:pPr>
      <w:r>
        <w:rPr>
          <w:rFonts w:hint="eastAsia"/>
          <w:szCs w:val="32"/>
          <w:highlight w:val="none"/>
          <w:lang w:val="en-US" w:eastAsia="zh-CN"/>
        </w:rPr>
        <w:t>②土地用途：商服、公共管理与公共服务、工业仓储；</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szCs w:val="32"/>
          <w:highlight w:val="none"/>
          <w:lang w:val="en-US" w:eastAsia="zh-CN"/>
        </w:rPr>
      </w:pPr>
      <w:r>
        <w:rPr>
          <w:rFonts w:hint="eastAsia"/>
          <w:szCs w:val="32"/>
          <w:highlight w:val="none"/>
          <w:lang w:val="en-US" w:eastAsia="zh-CN"/>
        </w:rPr>
        <w:t>③土地使用年限：商业40年、公共管理与公共服务50年、仓储50年；</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szCs w:val="32"/>
          <w:highlight w:val="none"/>
          <w:lang w:val="en-US" w:eastAsia="zh-CN"/>
        </w:rPr>
      </w:pPr>
      <w:r>
        <w:rPr>
          <w:rFonts w:hint="eastAsia"/>
          <w:szCs w:val="32"/>
          <w:highlight w:val="none"/>
          <w:lang w:val="en-US" w:eastAsia="zh-CN"/>
        </w:rPr>
        <w:t>④价格类型：楼面单价。</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szCs w:val="32"/>
          <w:highlight w:val="none"/>
          <w:lang w:val="en-US" w:eastAsia="zh-CN"/>
        </w:rPr>
      </w:pPr>
      <w:r>
        <w:rPr>
          <w:rFonts w:hint="eastAsia"/>
          <w:szCs w:val="32"/>
          <w:highlight w:val="none"/>
          <w:lang w:val="en-US" w:eastAsia="zh-CN"/>
        </w:rPr>
        <w:t>根据綦江区到期续期宗地摸底信息，确定本次续期基准价如下：</w:t>
      </w:r>
    </w:p>
    <w:p>
      <w:pPr>
        <w:keepNext w:val="0"/>
        <w:keepLines w:val="0"/>
        <w:pageBreakBefore w:val="0"/>
        <w:widowControl w:val="0"/>
        <w:kinsoku/>
        <w:wordWrap/>
        <w:overflowPunct/>
        <w:topLinePunct w:val="0"/>
        <w:autoSpaceDE/>
        <w:autoSpaceDN/>
        <w:bidi w:val="0"/>
        <w:adjustRightInd/>
        <w:snapToGrid/>
        <w:spacing w:line="560" w:lineRule="exact"/>
        <w:ind w:firstLine="561"/>
        <w:textAlignment w:val="auto"/>
        <w:rPr>
          <w:rFonts w:hint="eastAsia"/>
          <w:szCs w:val="32"/>
          <w:highlight w:val="none"/>
          <w:lang w:val="en-US" w:eastAsia="zh-CN"/>
        </w:rPr>
      </w:pPr>
    </w:p>
    <w:p>
      <w:pPr>
        <w:spacing w:line="560" w:lineRule="exact"/>
        <w:ind w:firstLine="560"/>
        <w:jc w:val="center"/>
        <w:rPr>
          <w:rFonts w:hint="eastAsia" w:ascii="黑体" w:hAnsi="黑体" w:eastAsia="黑体" w:cs="黑体"/>
          <w:b w:val="0"/>
          <w:bCs/>
          <w:szCs w:val="32"/>
          <w:highlight w:val="none"/>
          <w:lang w:val="en-US" w:eastAsia="zh-CN"/>
        </w:rPr>
      </w:pPr>
      <w:r>
        <w:rPr>
          <w:rFonts w:hint="eastAsia" w:ascii="黑体" w:hAnsi="黑体" w:eastAsia="黑体" w:cs="黑体"/>
          <w:b w:val="0"/>
          <w:bCs/>
          <w:szCs w:val="32"/>
          <w:highlight w:val="none"/>
          <w:lang w:val="en-US" w:eastAsia="zh-CN"/>
        </w:rPr>
        <w:t>綦江区2026年续期基准价格表</w:t>
      </w:r>
    </w:p>
    <w:p>
      <w:pPr>
        <w:spacing w:line="560" w:lineRule="exact"/>
        <w:ind w:firstLine="560"/>
        <w:jc w:val="center"/>
        <w:rPr>
          <w:rFonts w:hint="default" w:ascii="黑体" w:hAnsi="黑体" w:eastAsia="黑体" w:cs="黑体"/>
          <w:b w:val="0"/>
          <w:bCs/>
          <w:szCs w:val="32"/>
          <w:highlight w:val="none"/>
          <w:lang w:val="en-US" w:eastAsia="zh-CN"/>
        </w:rPr>
      </w:pPr>
      <w:r>
        <w:rPr>
          <w:rFonts w:hint="eastAsia" w:ascii="黑体" w:hAnsi="黑体" w:eastAsia="黑体" w:cs="黑体"/>
          <w:b w:val="0"/>
          <w:bCs/>
          <w:szCs w:val="32"/>
          <w:highlight w:val="none"/>
          <w:lang w:val="en-US" w:eastAsia="zh-CN"/>
        </w:rPr>
        <w:t xml:space="preserve">                                    单位：元/平方米</w:t>
      </w:r>
    </w:p>
    <w:tbl>
      <w:tblPr>
        <w:tblStyle w:val="9"/>
        <w:tblW w:w="1081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39"/>
        <w:gridCol w:w="837"/>
        <w:gridCol w:w="3075"/>
        <w:gridCol w:w="1275"/>
        <w:gridCol w:w="1038"/>
        <w:gridCol w:w="1287"/>
        <w:gridCol w:w="1169"/>
        <w:gridCol w:w="109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23" w:hRule="atLeast"/>
          <w:tblHeader/>
          <w:jc w:val="center"/>
        </w:trPr>
        <w:tc>
          <w:tcPr>
            <w:tcW w:w="1039"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val="0"/>
                <w:bCs/>
                <w:sz w:val="28"/>
                <w:szCs w:val="28"/>
                <w:highlight w:val="none"/>
                <w:vertAlign w:val="baseline"/>
                <w:lang w:val="en-US" w:eastAsia="zh-CN"/>
              </w:rPr>
            </w:pPr>
            <w:r>
              <w:rPr>
                <w:rFonts w:hint="eastAsia" w:ascii="Times New Roman" w:hAnsi="Times New Roman" w:eastAsia="仿宋" w:cs="Times New Roman"/>
                <w:b w:val="0"/>
                <w:bCs/>
                <w:sz w:val="28"/>
                <w:szCs w:val="28"/>
                <w:highlight w:val="none"/>
                <w:vertAlign w:val="baseline"/>
                <w:lang w:val="en-US" w:eastAsia="zh-CN"/>
              </w:rPr>
              <w:t>序号</w:t>
            </w:r>
          </w:p>
        </w:tc>
        <w:tc>
          <w:tcPr>
            <w:tcW w:w="5187"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val="0"/>
                <w:bCs/>
                <w:color w:val="auto"/>
                <w:sz w:val="28"/>
                <w:szCs w:val="28"/>
                <w:highlight w:val="none"/>
                <w:vertAlign w:val="baseline"/>
                <w:lang w:val="en-US" w:eastAsia="zh-CN"/>
              </w:rPr>
            </w:pPr>
            <w:r>
              <w:rPr>
                <w:rFonts w:hint="default" w:ascii="Times New Roman" w:hAnsi="Times New Roman" w:eastAsia="仿宋" w:cs="Times New Roman"/>
                <w:b w:val="0"/>
                <w:bCs/>
                <w:color w:val="auto"/>
                <w:sz w:val="28"/>
                <w:szCs w:val="28"/>
                <w:highlight w:val="none"/>
                <w:vertAlign w:val="baseline"/>
                <w:lang w:val="en-US" w:eastAsia="zh-CN"/>
              </w:rPr>
              <w:t>商服（40年）</w:t>
            </w:r>
          </w:p>
        </w:tc>
        <w:tc>
          <w:tcPr>
            <w:tcW w:w="3494"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val="0"/>
                <w:bCs/>
                <w:sz w:val="28"/>
                <w:szCs w:val="28"/>
                <w:highlight w:val="none"/>
                <w:vertAlign w:val="baseline"/>
                <w:lang w:val="en-US" w:eastAsia="zh-CN"/>
              </w:rPr>
            </w:pPr>
            <w:r>
              <w:rPr>
                <w:rFonts w:hint="default" w:ascii="Times New Roman" w:hAnsi="Times New Roman" w:eastAsia="仿宋" w:cs="Times New Roman"/>
                <w:b w:val="0"/>
                <w:bCs/>
                <w:sz w:val="28"/>
                <w:szCs w:val="28"/>
                <w:highlight w:val="none"/>
                <w:vertAlign w:val="baseline"/>
                <w:lang w:val="en-US" w:eastAsia="zh-CN"/>
              </w:rPr>
              <w:t>仓储（50年）</w:t>
            </w:r>
          </w:p>
        </w:tc>
        <w:tc>
          <w:tcPr>
            <w:tcW w:w="109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val="0"/>
                <w:bCs/>
                <w:sz w:val="28"/>
                <w:szCs w:val="28"/>
                <w:highlight w:val="none"/>
                <w:vertAlign w:val="baseline"/>
                <w:lang w:val="en-US" w:eastAsia="zh-CN"/>
              </w:rPr>
            </w:pPr>
            <w:r>
              <w:rPr>
                <w:rFonts w:hint="default" w:ascii="Times New Roman" w:hAnsi="Times New Roman" w:eastAsia="仿宋" w:cs="Times New Roman"/>
                <w:b w:val="0"/>
                <w:bCs/>
                <w:sz w:val="28"/>
                <w:szCs w:val="28"/>
                <w:highlight w:val="none"/>
                <w:vertAlign w:val="baseline"/>
                <w:lang w:val="en-US" w:eastAsia="zh-CN"/>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0" w:hRule="atLeast"/>
          <w:tblHeader/>
          <w:jc w:val="center"/>
        </w:trPr>
        <w:tc>
          <w:tcPr>
            <w:tcW w:w="1039"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val="0"/>
                <w:bCs/>
                <w:sz w:val="28"/>
                <w:szCs w:val="28"/>
                <w:highlight w:val="none"/>
                <w:vertAlign w:val="baseline"/>
                <w:lang w:val="en-US" w:eastAsia="zh-CN"/>
              </w:rPr>
            </w:pPr>
          </w:p>
        </w:tc>
        <w:tc>
          <w:tcPr>
            <w:tcW w:w="83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val="0"/>
                <w:bCs/>
                <w:color w:val="auto"/>
                <w:sz w:val="28"/>
                <w:szCs w:val="28"/>
                <w:highlight w:val="none"/>
                <w:vertAlign w:val="baseline"/>
                <w:lang w:val="en-US" w:eastAsia="zh-CN"/>
              </w:rPr>
            </w:pPr>
            <w:r>
              <w:rPr>
                <w:rFonts w:hint="eastAsia" w:eastAsia="仿宋" w:cs="Times New Roman"/>
                <w:b w:val="0"/>
                <w:bCs/>
                <w:color w:val="auto"/>
                <w:sz w:val="28"/>
                <w:szCs w:val="28"/>
                <w:highlight w:val="none"/>
                <w:vertAlign w:val="baseline"/>
                <w:lang w:val="en-US" w:eastAsia="zh-CN"/>
              </w:rPr>
              <w:t>土地级别</w:t>
            </w:r>
          </w:p>
        </w:tc>
        <w:tc>
          <w:tcPr>
            <w:tcW w:w="307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val="0"/>
                <w:bCs/>
                <w:color w:val="auto"/>
                <w:sz w:val="28"/>
                <w:szCs w:val="28"/>
                <w:highlight w:val="none"/>
                <w:vertAlign w:val="baseline"/>
                <w:lang w:val="en-US" w:eastAsia="zh-CN"/>
              </w:rPr>
            </w:pPr>
            <w:r>
              <w:rPr>
                <w:rFonts w:hint="default" w:ascii="Times New Roman" w:hAnsi="Times New Roman" w:eastAsia="仿宋" w:cs="Times New Roman"/>
                <w:b w:val="0"/>
                <w:bCs/>
                <w:color w:val="auto"/>
                <w:sz w:val="28"/>
                <w:szCs w:val="28"/>
                <w:highlight w:val="none"/>
                <w:vertAlign w:val="baseline"/>
                <w:lang w:val="en-US" w:eastAsia="zh-CN"/>
              </w:rPr>
              <w:t>所临道路</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val="0"/>
                <w:bCs/>
                <w:color w:val="auto"/>
                <w:sz w:val="28"/>
                <w:szCs w:val="28"/>
                <w:highlight w:val="none"/>
                <w:vertAlign w:val="baseline"/>
                <w:lang w:val="en-US" w:eastAsia="zh-CN"/>
              </w:rPr>
            </w:pPr>
            <w:r>
              <w:rPr>
                <w:rFonts w:hint="eastAsia" w:eastAsia="仿宋" w:cs="Times New Roman"/>
                <w:b w:val="0"/>
                <w:bCs/>
                <w:color w:val="auto"/>
                <w:sz w:val="28"/>
                <w:szCs w:val="28"/>
                <w:highlight w:val="none"/>
                <w:vertAlign w:val="baseline"/>
                <w:lang w:val="en-US" w:eastAsia="zh-CN"/>
              </w:rPr>
              <w:t>续期基准价</w:t>
            </w:r>
          </w:p>
        </w:tc>
        <w:tc>
          <w:tcPr>
            <w:tcW w:w="103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val="0"/>
                <w:bCs/>
                <w:sz w:val="28"/>
                <w:szCs w:val="28"/>
                <w:highlight w:val="none"/>
                <w:vertAlign w:val="baseline"/>
                <w:lang w:val="en-US" w:eastAsia="zh-CN"/>
              </w:rPr>
            </w:pPr>
            <w:r>
              <w:rPr>
                <w:rFonts w:hint="eastAsia" w:eastAsia="仿宋" w:cs="Times New Roman"/>
                <w:b w:val="0"/>
                <w:bCs/>
                <w:sz w:val="28"/>
                <w:szCs w:val="28"/>
                <w:highlight w:val="none"/>
                <w:vertAlign w:val="baseline"/>
                <w:lang w:val="en-US" w:eastAsia="zh-CN"/>
              </w:rPr>
              <w:t>土地级别</w:t>
            </w:r>
          </w:p>
        </w:tc>
        <w:tc>
          <w:tcPr>
            <w:tcW w:w="128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val="0"/>
                <w:bCs/>
                <w:sz w:val="28"/>
                <w:szCs w:val="28"/>
                <w:highlight w:val="none"/>
                <w:vertAlign w:val="baseline"/>
                <w:lang w:val="en-US" w:eastAsia="zh-CN"/>
              </w:rPr>
            </w:pPr>
            <w:r>
              <w:rPr>
                <w:rFonts w:hint="default" w:ascii="Times New Roman" w:hAnsi="Times New Roman" w:eastAsia="仿宋" w:cs="Times New Roman"/>
                <w:b w:val="0"/>
                <w:bCs/>
                <w:sz w:val="28"/>
                <w:szCs w:val="28"/>
                <w:highlight w:val="none"/>
                <w:vertAlign w:val="baseline"/>
                <w:lang w:val="en-US" w:eastAsia="zh-CN"/>
              </w:rPr>
              <w:t>所临道路</w:t>
            </w:r>
          </w:p>
        </w:tc>
        <w:tc>
          <w:tcPr>
            <w:tcW w:w="116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val="0"/>
                <w:bCs/>
                <w:sz w:val="28"/>
                <w:szCs w:val="28"/>
                <w:highlight w:val="none"/>
                <w:vertAlign w:val="baseline"/>
                <w:lang w:val="en-US" w:eastAsia="zh-CN"/>
              </w:rPr>
            </w:pPr>
            <w:r>
              <w:rPr>
                <w:rFonts w:hint="eastAsia" w:eastAsia="仿宋" w:cs="Times New Roman"/>
                <w:b w:val="0"/>
                <w:bCs/>
                <w:sz w:val="28"/>
                <w:szCs w:val="28"/>
                <w:highlight w:val="none"/>
                <w:vertAlign w:val="baseline"/>
                <w:lang w:val="en-US" w:eastAsia="zh-CN"/>
              </w:rPr>
              <w:t>续期基准价</w:t>
            </w:r>
          </w:p>
        </w:tc>
        <w:tc>
          <w:tcPr>
            <w:tcW w:w="109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val="0"/>
                <w:bCs/>
                <w:sz w:val="28"/>
                <w:szCs w:val="28"/>
                <w:highlight w:val="none"/>
                <w:vertAlign w:val="baseli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103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val="0"/>
                <w:bCs/>
                <w:sz w:val="28"/>
                <w:szCs w:val="28"/>
                <w:highlight w:val="none"/>
                <w:vertAlign w:val="baseline"/>
                <w:lang w:val="en-US" w:eastAsia="zh-CN"/>
              </w:rPr>
            </w:pPr>
            <w:r>
              <w:rPr>
                <w:rFonts w:hint="eastAsia" w:eastAsia="仿宋" w:cs="Times New Roman"/>
                <w:b w:val="0"/>
                <w:bCs/>
                <w:sz w:val="28"/>
                <w:szCs w:val="28"/>
                <w:highlight w:val="none"/>
                <w:vertAlign w:val="baseline"/>
                <w:lang w:val="en-US" w:eastAsia="zh-CN"/>
              </w:rPr>
              <w:t>1</w:t>
            </w:r>
          </w:p>
        </w:tc>
        <w:tc>
          <w:tcPr>
            <w:tcW w:w="837"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仿宋" w:cs="Times New Roman"/>
                <w:b w:val="0"/>
                <w:bCs/>
                <w:color w:val="auto"/>
                <w:sz w:val="28"/>
                <w:szCs w:val="28"/>
                <w:highlight w:val="none"/>
                <w:vertAlign w:val="baseline"/>
                <w:lang w:val="en-US" w:eastAsia="zh-CN"/>
              </w:rPr>
            </w:pPr>
            <w:r>
              <w:rPr>
                <w:rFonts w:hint="eastAsia" w:eastAsia="仿宋" w:cs="Times New Roman"/>
                <w:b w:val="0"/>
                <w:bCs/>
                <w:color w:val="auto"/>
                <w:sz w:val="28"/>
                <w:szCs w:val="28"/>
                <w:highlight w:val="none"/>
                <w:vertAlign w:val="baseline"/>
                <w:lang w:val="en-US" w:eastAsia="zh-CN"/>
              </w:rPr>
              <w:t>1级</w:t>
            </w:r>
          </w:p>
        </w:tc>
        <w:tc>
          <w:tcPr>
            <w:tcW w:w="307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val="0"/>
                <w:bCs/>
                <w:color w:val="auto"/>
                <w:sz w:val="28"/>
                <w:szCs w:val="28"/>
                <w:highlight w:val="none"/>
                <w:vertAlign w:val="baseline"/>
                <w:lang w:val="en-US" w:eastAsia="zh-CN"/>
              </w:rPr>
            </w:pPr>
            <w:r>
              <w:rPr>
                <w:rFonts w:hint="eastAsia" w:eastAsia="仿宋" w:cs="Times New Roman"/>
                <w:b w:val="0"/>
                <w:bCs/>
                <w:color w:val="auto"/>
                <w:sz w:val="28"/>
                <w:szCs w:val="28"/>
                <w:highlight w:val="none"/>
                <w:vertAlign w:val="baseline"/>
                <w:lang w:val="en-US" w:eastAsia="zh-CN"/>
              </w:rPr>
              <w:t>九龙大道（长生路至电信支路）</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val="0"/>
                <w:bCs/>
                <w:color w:val="auto"/>
                <w:sz w:val="28"/>
                <w:szCs w:val="28"/>
                <w:highlight w:val="none"/>
                <w:vertAlign w:val="baseline"/>
                <w:lang w:val="en-US" w:eastAsia="zh-CN"/>
              </w:rPr>
            </w:pPr>
            <w:r>
              <w:rPr>
                <w:rFonts w:hint="eastAsia" w:eastAsia="仿宋" w:cs="Times New Roman"/>
                <w:b w:val="0"/>
                <w:bCs/>
                <w:color w:val="auto"/>
                <w:sz w:val="28"/>
                <w:szCs w:val="28"/>
                <w:highlight w:val="none"/>
                <w:vertAlign w:val="baseline"/>
                <w:lang w:val="en-US" w:eastAsia="zh-CN"/>
              </w:rPr>
              <w:t>1450</w:t>
            </w:r>
          </w:p>
        </w:tc>
        <w:tc>
          <w:tcPr>
            <w:tcW w:w="1038"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仿宋" w:cs="Times New Roman"/>
                <w:b w:val="0"/>
                <w:bCs/>
                <w:sz w:val="28"/>
                <w:szCs w:val="28"/>
                <w:highlight w:val="none"/>
                <w:vertAlign w:val="baseline"/>
                <w:lang w:val="en-US" w:eastAsia="zh-CN"/>
              </w:rPr>
            </w:pPr>
            <w:r>
              <w:rPr>
                <w:rFonts w:hint="eastAsia" w:eastAsia="仿宋" w:cs="Times New Roman"/>
                <w:b w:val="0"/>
                <w:bCs/>
                <w:sz w:val="28"/>
                <w:szCs w:val="28"/>
                <w:highlight w:val="none"/>
                <w:vertAlign w:val="baseline"/>
                <w:lang w:val="en-US" w:eastAsia="zh-CN"/>
              </w:rPr>
              <w:t>1级</w:t>
            </w:r>
          </w:p>
        </w:tc>
        <w:tc>
          <w:tcPr>
            <w:tcW w:w="1287"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仿宋" w:cs="Times New Roman"/>
                <w:b w:val="0"/>
                <w:bCs/>
                <w:sz w:val="28"/>
                <w:szCs w:val="28"/>
                <w:highlight w:val="none"/>
                <w:vertAlign w:val="baseline"/>
                <w:lang w:val="en-US" w:eastAsia="zh-CN"/>
              </w:rPr>
            </w:pPr>
            <w:r>
              <w:rPr>
                <w:rFonts w:hint="eastAsia" w:eastAsia="仿宋" w:cs="Times New Roman"/>
                <w:b w:val="0"/>
                <w:bCs/>
                <w:sz w:val="28"/>
                <w:szCs w:val="28"/>
                <w:highlight w:val="none"/>
                <w:vertAlign w:val="baseline"/>
                <w:lang w:val="en-US" w:eastAsia="zh-CN"/>
              </w:rPr>
              <w:t>纳入续期范围的所有宗地</w:t>
            </w:r>
          </w:p>
        </w:tc>
        <w:tc>
          <w:tcPr>
            <w:tcW w:w="1169"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val="0"/>
                <w:bCs/>
                <w:sz w:val="28"/>
                <w:szCs w:val="28"/>
                <w:highlight w:val="none"/>
                <w:vertAlign w:val="baseline"/>
                <w:lang w:val="en-US" w:eastAsia="zh-CN"/>
              </w:rPr>
            </w:pPr>
            <w:r>
              <w:rPr>
                <w:rFonts w:hint="eastAsia" w:eastAsia="仿宋" w:cs="Times New Roman"/>
                <w:b w:val="0"/>
                <w:bCs/>
                <w:sz w:val="28"/>
                <w:szCs w:val="28"/>
                <w:highlight w:val="none"/>
                <w:vertAlign w:val="baseline"/>
                <w:lang w:val="en-US" w:eastAsia="zh-CN"/>
              </w:rPr>
              <w:t>585</w:t>
            </w:r>
          </w:p>
        </w:tc>
        <w:tc>
          <w:tcPr>
            <w:tcW w:w="109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val="0"/>
                <w:bCs/>
                <w:sz w:val="28"/>
                <w:szCs w:val="28"/>
                <w:highlight w:val="none"/>
                <w:vertAlign w:val="baseli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3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val="0"/>
                <w:bCs/>
                <w:sz w:val="28"/>
                <w:szCs w:val="28"/>
                <w:highlight w:val="none"/>
                <w:vertAlign w:val="baseline"/>
                <w:lang w:val="en-US" w:eastAsia="zh-CN"/>
              </w:rPr>
            </w:pPr>
            <w:r>
              <w:rPr>
                <w:rFonts w:hint="eastAsia" w:eastAsia="仿宋" w:cs="Times New Roman"/>
                <w:b w:val="0"/>
                <w:bCs/>
                <w:sz w:val="28"/>
                <w:szCs w:val="28"/>
                <w:highlight w:val="none"/>
                <w:vertAlign w:val="baseline"/>
                <w:lang w:val="en-US" w:eastAsia="zh-CN"/>
              </w:rPr>
              <w:t>2</w:t>
            </w:r>
          </w:p>
        </w:tc>
        <w:tc>
          <w:tcPr>
            <w:tcW w:w="837"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cs="Times New Roman"/>
                <w:color w:val="auto"/>
                <w:kern w:val="0"/>
                <w:sz w:val="28"/>
                <w:szCs w:val="28"/>
                <w:highlight w:val="none"/>
                <w:lang w:val="en-US" w:eastAsia="zh-CN" w:bidi="ar-SA"/>
              </w:rPr>
            </w:pPr>
          </w:p>
        </w:tc>
        <w:tc>
          <w:tcPr>
            <w:tcW w:w="307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val="0"/>
                <w:bCs/>
                <w:color w:val="auto"/>
                <w:sz w:val="28"/>
                <w:szCs w:val="28"/>
                <w:highlight w:val="none"/>
                <w:vertAlign w:val="baseline"/>
                <w:lang w:val="en-US" w:eastAsia="zh-CN"/>
              </w:rPr>
            </w:pPr>
            <w:r>
              <w:rPr>
                <w:rFonts w:hint="eastAsia" w:cs="Times New Roman"/>
                <w:color w:val="auto"/>
                <w:kern w:val="0"/>
                <w:sz w:val="28"/>
                <w:szCs w:val="28"/>
                <w:highlight w:val="none"/>
                <w:lang w:val="en-US" w:eastAsia="zh-CN" w:bidi="ar-SA"/>
              </w:rPr>
              <w:t>白龙街、青龙街、五桥路（九龙大道至五福路）、五福路（九龙大道至营盘山小学）</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val="0"/>
                <w:bCs/>
                <w:color w:val="auto"/>
                <w:sz w:val="28"/>
                <w:szCs w:val="28"/>
                <w:highlight w:val="none"/>
                <w:vertAlign w:val="baseline"/>
                <w:lang w:val="en-US" w:eastAsia="zh-CN"/>
              </w:rPr>
            </w:pPr>
            <w:r>
              <w:rPr>
                <w:rFonts w:hint="eastAsia" w:eastAsia="仿宋" w:cs="Times New Roman"/>
                <w:b w:val="0"/>
                <w:bCs/>
                <w:color w:val="auto"/>
                <w:sz w:val="28"/>
                <w:szCs w:val="28"/>
                <w:highlight w:val="none"/>
                <w:vertAlign w:val="baseline"/>
                <w:lang w:val="en-US" w:eastAsia="zh-CN"/>
              </w:rPr>
              <w:t>1233</w:t>
            </w:r>
          </w:p>
        </w:tc>
        <w:tc>
          <w:tcPr>
            <w:tcW w:w="103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eastAsia="仿宋" w:cs="Times New Roman"/>
                <w:b w:val="0"/>
                <w:bCs/>
                <w:sz w:val="28"/>
                <w:szCs w:val="28"/>
                <w:highlight w:val="none"/>
                <w:vertAlign w:val="baseline"/>
                <w:lang w:val="en-US" w:eastAsia="zh-CN"/>
              </w:rPr>
            </w:pPr>
          </w:p>
        </w:tc>
        <w:tc>
          <w:tcPr>
            <w:tcW w:w="1287"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eastAsia="仿宋" w:cs="Times New Roman"/>
                <w:b w:val="0"/>
                <w:bCs/>
                <w:sz w:val="28"/>
                <w:szCs w:val="28"/>
                <w:highlight w:val="none"/>
                <w:vertAlign w:val="baseline"/>
                <w:lang w:val="en-US" w:eastAsia="zh-CN"/>
              </w:rPr>
            </w:pPr>
          </w:p>
        </w:tc>
        <w:tc>
          <w:tcPr>
            <w:tcW w:w="1169"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val="0"/>
                <w:bCs/>
                <w:sz w:val="28"/>
                <w:szCs w:val="28"/>
                <w:highlight w:val="none"/>
                <w:vertAlign w:val="baseline"/>
                <w:lang w:val="en-US" w:eastAsia="zh-CN"/>
              </w:rPr>
            </w:pPr>
          </w:p>
        </w:tc>
        <w:tc>
          <w:tcPr>
            <w:tcW w:w="109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val="0"/>
                <w:bCs/>
                <w:sz w:val="28"/>
                <w:szCs w:val="28"/>
                <w:highlight w:val="none"/>
                <w:vertAlign w:val="baseli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3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val="0"/>
                <w:bCs/>
                <w:sz w:val="28"/>
                <w:szCs w:val="28"/>
                <w:highlight w:val="none"/>
                <w:vertAlign w:val="baseline"/>
                <w:lang w:val="en-US" w:eastAsia="zh-CN"/>
              </w:rPr>
            </w:pPr>
            <w:r>
              <w:rPr>
                <w:rFonts w:hint="eastAsia" w:eastAsia="仿宋" w:cs="Times New Roman"/>
                <w:b w:val="0"/>
                <w:bCs/>
                <w:sz w:val="28"/>
                <w:szCs w:val="28"/>
                <w:highlight w:val="none"/>
                <w:vertAlign w:val="baseline"/>
                <w:lang w:val="en-US" w:eastAsia="zh-CN"/>
              </w:rPr>
              <w:t>3</w:t>
            </w:r>
          </w:p>
        </w:tc>
        <w:tc>
          <w:tcPr>
            <w:tcW w:w="837"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eastAsia="仿宋" w:cs="Times New Roman"/>
                <w:b w:val="0"/>
                <w:bCs/>
                <w:color w:val="auto"/>
                <w:sz w:val="28"/>
                <w:szCs w:val="28"/>
                <w:highlight w:val="none"/>
                <w:vertAlign w:val="baseline"/>
                <w:lang w:val="en-US" w:eastAsia="zh-CN"/>
              </w:rPr>
            </w:pPr>
          </w:p>
        </w:tc>
        <w:tc>
          <w:tcPr>
            <w:tcW w:w="307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val="0"/>
                <w:bCs/>
                <w:color w:val="auto"/>
                <w:sz w:val="28"/>
                <w:szCs w:val="28"/>
                <w:highlight w:val="none"/>
                <w:vertAlign w:val="baseline"/>
                <w:lang w:val="en-US" w:eastAsia="zh-CN"/>
              </w:rPr>
            </w:pPr>
            <w:r>
              <w:rPr>
                <w:rFonts w:hint="eastAsia" w:eastAsia="仿宋" w:cs="Times New Roman"/>
                <w:b w:val="0"/>
                <w:bCs/>
                <w:color w:val="auto"/>
                <w:sz w:val="28"/>
                <w:szCs w:val="28"/>
                <w:highlight w:val="none"/>
                <w:vertAlign w:val="baseline"/>
                <w:lang w:val="en-US" w:eastAsia="zh-CN"/>
              </w:rPr>
              <w:t>白营街、大田湾街、</w:t>
            </w:r>
            <w:r>
              <w:rPr>
                <w:rFonts w:hint="eastAsia" w:cs="Times New Roman"/>
                <w:color w:val="auto"/>
                <w:kern w:val="0"/>
                <w:sz w:val="28"/>
                <w:szCs w:val="28"/>
                <w:highlight w:val="none"/>
                <w:lang w:val="en-US" w:eastAsia="zh-CN" w:bidi="ar-SA"/>
              </w:rPr>
              <w:t>大田湾街与白营街之间巷道（大田湾街7号）、连接大田湾街与白营街的支路（大田湾街19号附1-33号、附2-14号、附48-56号）、团山巷</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val="0"/>
                <w:bCs/>
                <w:color w:val="auto"/>
                <w:sz w:val="28"/>
                <w:szCs w:val="28"/>
                <w:highlight w:val="none"/>
                <w:vertAlign w:val="baseline"/>
                <w:lang w:val="en-US" w:eastAsia="zh-CN"/>
              </w:rPr>
            </w:pPr>
            <w:r>
              <w:rPr>
                <w:rFonts w:hint="eastAsia" w:eastAsia="仿宋" w:cs="Times New Roman"/>
                <w:b w:val="0"/>
                <w:bCs/>
                <w:color w:val="auto"/>
                <w:sz w:val="28"/>
                <w:szCs w:val="28"/>
                <w:highlight w:val="none"/>
                <w:vertAlign w:val="baseline"/>
                <w:lang w:val="en-US" w:eastAsia="zh-CN"/>
              </w:rPr>
              <w:t>1088</w:t>
            </w:r>
          </w:p>
        </w:tc>
        <w:tc>
          <w:tcPr>
            <w:tcW w:w="103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eastAsia="仿宋" w:cs="Times New Roman"/>
                <w:b w:val="0"/>
                <w:bCs/>
                <w:sz w:val="28"/>
                <w:szCs w:val="28"/>
                <w:highlight w:val="none"/>
                <w:vertAlign w:val="baseline"/>
                <w:lang w:val="en-US" w:eastAsia="zh-CN"/>
              </w:rPr>
            </w:pPr>
          </w:p>
        </w:tc>
        <w:tc>
          <w:tcPr>
            <w:tcW w:w="1287"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eastAsia="仿宋" w:cs="Times New Roman"/>
                <w:b w:val="0"/>
                <w:bCs/>
                <w:sz w:val="28"/>
                <w:szCs w:val="28"/>
                <w:highlight w:val="none"/>
                <w:vertAlign w:val="baseline"/>
                <w:lang w:val="en-US" w:eastAsia="zh-CN"/>
              </w:rPr>
            </w:pPr>
          </w:p>
        </w:tc>
        <w:tc>
          <w:tcPr>
            <w:tcW w:w="1169"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val="0"/>
                <w:bCs/>
                <w:sz w:val="28"/>
                <w:szCs w:val="28"/>
                <w:highlight w:val="none"/>
                <w:vertAlign w:val="baseline"/>
                <w:lang w:val="en-US" w:eastAsia="zh-CN"/>
              </w:rPr>
            </w:pPr>
          </w:p>
        </w:tc>
        <w:tc>
          <w:tcPr>
            <w:tcW w:w="109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val="0"/>
                <w:bCs/>
                <w:sz w:val="28"/>
                <w:szCs w:val="28"/>
                <w:highlight w:val="none"/>
                <w:vertAlign w:val="baseli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3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仿宋" w:cs="Times New Roman"/>
                <w:b w:val="0"/>
                <w:bCs/>
                <w:sz w:val="28"/>
                <w:szCs w:val="28"/>
                <w:highlight w:val="none"/>
                <w:vertAlign w:val="baseline"/>
                <w:lang w:val="en-US" w:eastAsia="zh-CN"/>
              </w:rPr>
            </w:pPr>
            <w:r>
              <w:rPr>
                <w:rFonts w:hint="eastAsia" w:eastAsia="仿宋" w:cs="Times New Roman"/>
                <w:b w:val="0"/>
                <w:bCs/>
                <w:sz w:val="28"/>
                <w:szCs w:val="28"/>
                <w:highlight w:val="none"/>
                <w:vertAlign w:val="baseline"/>
                <w:lang w:val="en-US" w:eastAsia="zh-CN"/>
              </w:rPr>
              <w:t>4</w:t>
            </w:r>
          </w:p>
        </w:tc>
        <w:tc>
          <w:tcPr>
            <w:tcW w:w="837"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cs="Times New Roman"/>
                <w:color w:val="auto"/>
                <w:kern w:val="0"/>
                <w:sz w:val="28"/>
                <w:szCs w:val="28"/>
                <w:highlight w:val="none"/>
                <w:lang w:val="en-US" w:eastAsia="zh-CN" w:bidi="ar-SA"/>
              </w:rPr>
            </w:pPr>
          </w:p>
        </w:tc>
        <w:tc>
          <w:tcPr>
            <w:tcW w:w="307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仿宋" w:cs="Times New Roman"/>
                <w:b w:val="0"/>
                <w:bCs/>
                <w:color w:val="auto"/>
                <w:sz w:val="28"/>
                <w:szCs w:val="28"/>
                <w:highlight w:val="none"/>
                <w:vertAlign w:val="baseline"/>
                <w:lang w:val="en-US" w:eastAsia="zh-CN"/>
              </w:rPr>
            </w:pPr>
            <w:r>
              <w:rPr>
                <w:rFonts w:hint="eastAsia" w:cs="Times New Roman"/>
                <w:color w:val="auto"/>
                <w:kern w:val="0"/>
                <w:sz w:val="28"/>
                <w:szCs w:val="28"/>
                <w:highlight w:val="none"/>
                <w:lang w:val="en-US" w:eastAsia="zh-CN" w:bidi="ar-SA"/>
              </w:rPr>
              <w:t>白龙街与大田湾街之间的支路（大田湾街20号）、大石路（1级范围）</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仿宋" w:cs="Times New Roman"/>
                <w:b w:val="0"/>
                <w:bCs/>
                <w:color w:val="auto"/>
                <w:sz w:val="28"/>
                <w:szCs w:val="28"/>
                <w:highlight w:val="none"/>
                <w:vertAlign w:val="baseline"/>
                <w:lang w:val="en-US" w:eastAsia="zh-CN"/>
              </w:rPr>
            </w:pPr>
            <w:r>
              <w:rPr>
                <w:rFonts w:hint="eastAsia" w:eastAsia="仿宋" w:cs="Times New Roman"/>
                <w:b w:val="0"/>
                <w:bCs/>
                <w:color w:val="auto"/>
                <w:sz w:val="28"/>
                <w:szCs w:val="28"/>
                <w:highlight w:val="none"/>
                <w:vertAlign w:val="baseline"/>
                <w:lang w:val="en-US" w:eastAsia="zh-CN"/>
              </w:rPr>
              <w:t>1015</w:t>
            </w:r>
          </w:p>
        </w:tc>
        <w:tc>
          <w:tcPr>
            <w:tcW w:w="103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eastAsia="仿宋" w:cs="Times New Roman"/>
                <w:b w:val="0"/>
                <w:bCs/>
                <w:sz w:val="28"/>
                <w:szCs w:val="28"/>
                <w:highlight w:val="none"/>
                <w:vertAlign w:val="baseline"/>
                <w:lang w:val="en-US" w:eastAsia="zh-CN"/>
              </w:rPr>
            </w:pPr>
          </w:p>
        </w:tc>
        <w:tc>
          <w:tcPr>
            <w:tcW w:w="1287"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eastAsia="仿宋" w:cs="Times New Roman"/>
                <w:b w:val="0"/>
                <w:bCs/>
                <w:sz w:val="28"/>
                <w:szCs w:val="28"/>
                <w:highlight w:val="none"/>
                <w:vertAlign w:val="baseline"/>
                <w:lang w:val="en-US" w:eastAsia="zh-CN"/>
              </w:rPr>
            </w:pPr>
          </w:p>
        </w:tc>
        <w:tc>
          <w:tcPr>
            <w:tcW w:w="1169"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仿宋" w:cs="Times New Roman"/>
                <w:b w:val="0"/>
                <w:bCs/>
                <w:sz w:val="28"/>
                <w:szCs w:val="28"/>
                <w:highlight w:val="none"/>
                <w:vertAlign w:val="baseline"/>
                <w:lang w:val="en-US" w:eastAsia="zh-CN"/>
              </w:rPr>
            </w:pPr>
          </w:p>
        </w:tc>
        <w:tc>
          <w:tcPr>
            <w:tcW w:w="109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val="0"/>
                <w:bCs/>
                <w:sz w:val="28"/>
                <w:szCs w:val="28"/>
                <w:highlight w:val="none"/>
                <w:vertAlign w:val="baseli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3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eastAsia="仿宋" w:cs="Times New Roman"/>
                <w:b w:val="0"/>
                <w:bCs/>
                <w:sz w:val="28"/>
                <w:szCs w:val="28"/>
                <w:highlight w:val="none"/>
                <w:vertAlign w:val="baseline"/>
                <w:lang w:val="en-US" w:eastAsia="zh-CN"/>
              </w:rPr>
            </w:pPr>
            <w:r>
              <w:rPr>
                <w:rFonts w:hint="eastAsia" w:eastAsia="仿宋" w:cs="Times New Roman"/>
                <w:b w:val="0"/>
                <w:bCs/>
                <w:sz w:val="28"/>
                <w:szCs w:val="28"/>
                <w:highlight w:val="none"/>
                <w:vertAlign w:val="baseline"/>
                <w:lang w:val="en-US" w:eastAsia="zh-CN"/>
              </w:rPr>
              <w:t>5</w:t>
            </w:r>
          </w:p>
        </w:tc>
        <w:tc>
          <w:tcPr>
            <w:tcW w:w="837"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cs="Times New Roman"/>
                <w:color w:val="auto"/>
                <w:kern w:val="0"/>
                <w:sz w:val="28"/>
                <w:szCs w:val="28"/>
                <w:highlight w:val="none"/>
                <w:lang w:val="en-US" w:eastAsia="zh-CN" w:bidi="ar-SA"/>
              </w:rPr>
            </w:pPr>
          </w:p>
        </w:tc>
        <w:tc>
          <w:tcPr>
            <w:tcW w:w="307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s="Times New Roman"/>
                <w:color w:val="auto"/>
                <w:kern w:val="0"/>
                <w:sz w:val="28"/>
                <w:szCs w:val="28"/>
                <w:highlight w:val="none"/>
                <w:lang w:val="en-US" w:eastAsia="zh-CN" w:bidi="ar-SA"/>
              </w:rPr>
            </w:pPr>
            <w:r>
              <w:rPr>
                <w:rFonts w:hint="eastAsia" w:cs="Times New Roman"/>
                <w:color w:val="auto"/>
                <w:kern w:val="0"/>
                <w:sz w:val="28"/>
                <w:szCs w:val="28"/>
                <w:highlight w:val="none"/>
                <w:lang w:val="en-US" w:eastAsia="zh-CN" w:bidi="ar-SA"/>
              </w:rPr>
              <w:t>大石路支路（大石路45号附6-11号、大田湾街9号附16-46号）、五福路（1级范围）</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仿宋" w:cs="Times New Roman"/>
                <w:b w:val="0"/>
                <w:bCs/>
                <w:color w:val="auto"/>
                <w:sz w:val="28"/>
                <w:szCs w:val="28"/>
                <w:highlight w:val="none"/>
                <w:vertAlign w:val="baseline"/>
                <w:lang w:val="en-US" w:eastAsia="zh-CN"/>
              </w:rPr>
            </w:pPr>
            <w:r>
              <w:rPr>
                <w:rFonts w:hint="eastAsia" w:eastAsia="仿宋" w:cs="Times New Roman"/>
                <w:b w:val="0"/>
                <w:bCs/>
                <w:color w:val="auto"/>
                <w:sz w:val="28"/>
                <w:szCs w:val="28"/>
                <w:highlight w:val="none"/>
                <w:vertAlign w:val="baseline"/>
                <w:lang w:val="en-US" w:eastAsia="zh-CN"/>
              </w:rPr>
              <w:t>943</w:t>
            </w:r>
          </w:p>
        </w:tc>
        <w:tc>
          <w:tcPr>
            <w:tcW w:w="103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eastAsia="仿宋" w:cs="Times New Roman"/>
                <w:b w:val="0"/>
                <w:bCs/>
                <w:sz w:val="28"/>
                <w:szCs w:val="28"/>
                <w:highlight w:val="none"/>
                <w:vertAlign w:val="baseline"/>
                <w:lang w:val="en-US" w:eastAsia="zh-CN"/>
              </w:rPr>
            </w:pPr>
          </w:p>
        </w:tc>
        <w:tc>
          <w:tcPr>
            <w:tcW w:w="1287"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eastAsia="仿宋" w:cs="Times New Roman"/>
                <w:b w:val="0"/>
                <w:bCs/>
                <w:sz w:val="28"/>
                <w:szCs w:val="28"/>
                <w:highlight w:val="none"/>
                <w:vertAlign w:val="baseline"/>
                <w:lang w:val="en-US" w:eastAsia="zh-CN"/>
              </w:rPr>
            </w:pPr>
          </w:p>
        </w:tc>
        <w:tc>
          <w:tcPr>
            <w:tcW w:w="1169"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仿宋" w:cs="Times New Roman"/>
                <w:b w:val="0"/>
                <w:bCs/>
                <w:sz w:val="28"/>
                <w:szCs w:val="28"/>
                <w:highlight w:val="none"/>
                <w:vertAlign w:val="baseline"/>
                <w:lang w:val="en-US" w:eastAsia="zh-CN"/>
              </w:rPr>
            </w:pPr>
          </w:p>
        </w:tc>
        <w:tc>
          <w:tcPr>
            <w:tcW w:w="109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val="0"/>
                <w:bCs/>
                <w:sz w:val="28"/>
                <w:szCs w:val="28"/>
                <w:highlight w:val="none"/>
                <w:vertAlign w:val="baseli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 w:hRule="atLeast"/>
          <w:jc w:val="center"/>
        </w:trPr>
        <w:tc>
          <w:tcPr>
            <w:tcW w:w="103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仿宋" w:cs="Times New Roman"/>
                <w:b w:val="0"/>
                <w:bCs/>
                <w:sz w:val="28"/>
                <w:szCs w:val="28"/>
                <w:highlight w:val="none"/>
                <w:vertAlign w:val="baseline"/>
                <w:lang w:val="en-US" w:eastAsia="zh-CN"/>
              </w:rPr>
            </w:pPr>
            <w:r>
              <w:rPr>
                <w:rFonts w:hint="eastAsia" w:eastAsia="仿宋" w:cs="Times New Roman"/>
                <w:b w:val="0"/>
                <w:bCs/>
                <w:sz w:val="28"/>
                <w:szCs w:val="28"/>
                <w:highlight w:val="none"/>
                <w:vertAlign w:val="baseline"/>
                <w:lang w:val="en-US" w:eastAsia="zh-CN"/>
              </w:rPr>
              <w:t>6</w:t>
            </w:r>
          </w:p>
        </w:tc>
        <w:tc>
          <w:tcPr>
            <w:tcW w:w="837"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cs="Times New Roman"/>
                <w:color w:val="auto"/>
                <w:kern w:val="0"/>
                <w:sz w:val="28"/>
                <w:szCs w:val="28"/>
                <w:highlight w:val="none"/>
                <w:lang w:val="en-US" w:eastAsia="zh-CN" w:bidi="ar-SA"/>
              </w:rPr>
            </w:pPr>
          </w:p>
        </w:tc>
        <w:tc>
          <w:tcPr>
            <w:tcW w:w="307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s="Times New Roman"/>
                <w:color w:val="auto"/>
                <w:kern w:val="0"/>
                <w:sz w:val="28"/>
                <w:szCs w:val="28"/>
                <w:highlight w:val="none"/>
                <w:lang w:val="en-US" w:eastAsia="zh-CN" w:bidi="ar-SA"/>
              </w:rPr>
            </w:pPr>
            <w:r>
              <w:rPr>
                <w:rFonts w:hint="eastAsia" w:cs="Times New Roman"/>
                <w:color w:val="auto"/>
                <w:kern w:val="0"/>
                <w:sz w:val="28"/>
                <w:szCs w:val="28"/>
                <w:highlight w:val="none"/>
                <w:lang w:val="en-US" w:eastAsia="zh-CN" w:bidi="ar-SA"/>
              </w:rPr>
              <w:t>一级范围内不临路区域</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仿宋" w:cs="Times New Roman"/>
                <w:b w:val="0"/>
                <w:bCs/>
                <w:color w:val="auto"/>
                <w:sz w:val="28"/>
                <w:szCs w:val="28"/>
                <w:highlight w:val="none"/>
                <w:vertAlign w:val="baseline"/>
                <w:lang w:val="en-US" w:eastAsia="zh-CN"/>
              </w:rPr>
            </w:pPr>
            <w:r>
              <w:rPr>
                <w:rFonts w:hint="eastAsia" w:eastAsia="仿宋" w:cs="Times New Roman"/>
                <w:b w:val="0"/>
                <w:bCs/>
                <w:color w:val="auto"/>
                <w:sz w:val="28"/>
                <w:szCs w:val="28"/>
                <w:highlight w:val="none"/>
                <w:vertAlign w:val="baseline"/>
                <w:lang w:val="en-US" w:eastAsia="zh-CN"/>
              </w:rPr>
              <w:t>870</w:t>
            </w:r>
          </w:p>
        </w:tc>
        <w:tc>
          <w:tcPr>
            <w:tcW w:w="103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eastAsia="仿宋" w:cs="Times New Roman"/>
                <w:b w:val="0"/>
                <w:bCs/>
                <w:sz w:val="28"/>
                <w:szCs w:val="28"/>
                <w:highlight w:val="none"/>
                <w:vertAlign w:val="baseline"/>
                <w:lang w:val="en-US" w:eastAsia="zh-CN"/>
              </w:rPr>
            </w:pPr>
          </w:p>
        </w:tc>
        <w:tc>
          <w:tcPr>
            <w:tcW w:w="1287"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eastAsia="仿宋" w:cs="Times New Roman"/>
                <w:b w:val="0"/>
                <w:bCs/>
                <w:sz w:val="28"/>
                <w:szCs w:val="28"/>
                <w:highlight w:val="none"/>
                <w:vertAlign w:val="baseline"/>
                <w:lang w:val="en-US" w:eastAsia="zh-CN"/>
              </w:rPr>
            </w:pPr>
          </w:p>
        </w:tc>
        <w:tc>
          <w:tcPr>
            <w:tcW w:w="1169"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仿宋" w:cs="Times New Roman"/>
                <w:b w:val="0"/>
                <w:bCs/>
                <w:sz w:val="28"/>
                <w:szCs w:val="28"/>
                <w:highlight w:val="none"/>
                <w:vertAlign w:val="baseline"/>
                <w:lang w:val="en-US" w:eastAsia="zh-CN"/>
              </w:rPr>
            </w:pPr>
          </w:p>
        </w:tc>
        <w:tc>
          <w:tcPr>
            <w:tcW w:w="109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val="0"/>
                <w:bCs/>
                <w:sz w:val="28"/>
                <w:szCs w:val="28"/>
                <w:highlight w:val="none"/>
                <w:vertAlign w:val="baseli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39" w:hRule="atLeast"/>
          <w:jc w:val="center"/>
        </w:trPr>
        <w:tc>
          <w:tcPr>
            <w:tcW w:w="103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仿宋" w:cs="Times New Roman"/>
                <w:b w:val="0"/>
                <w:bCs/>
                <w:sz w:val="28"/>
                <w:szCs w:val="28"/>
                <w:highlight w:val="none"/>
                <w:vertAlign w:val="baseline"/>
                <w:lang w:val="en-US" w:eastAsia="zh-CN"/>
              </w:rPr>
            </w:pPr>
            <w:r>
              <w:rPr>
                <w:rFonts w:hint="eastAsia" w:eastAsia="仿宋" w:cs="Times New Roman"/>
                <w:b w:val="0"/>
                <w:bCs/>
                <w:sz w:val="28"/>
                <w:szCs w:val="28"/>
                <w:highlight w:val="none"/>
                <w:vertAlign w:val="baseline"/>
                <w:lang w:val="en-US" w:eastAsia="zh-CN"/>
              </w:rPr>
              <w:t>7</w:t>
            </w:r>
          </w:p>
        </w:tc>
        <w:tc>
          <w:tcPr>
            <w:tcW w:w="837"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s="Times New Roman"/>
                <w:color w:val="auto"/>
                <w:kern w:val="0"/>
                <w:sz w:val="28"/>
                <w:szCs w:val="28"/>
                <w:highlight w:val="none"/>
                <w:lang w:val="en-US" w:eastAsia="zh-CN" w:bidi="ar-SA"/>
              </w:rPr>
            </w:pPr>
            <w:r>
              <w:rPr>
                <w:rFonts w:hint="eastAsia" w:cs="Times New Roman"/>
                <w:color w:val="auto"/>
                <w:kern w:val="0"/>
                <w:sz w:val="28"/>
                <w:szCs w:val="28"/>
                <w:highlight w:val="none"/>
                <w:lang w:val="en-US" w:eastAsia="zh-CN" w:bidi="ar-SA"/>
              </w:rPr>
              <w:t>2级</w:t>
            </w:r>
          </w:p>
        </w:tc>
        <w:tc>
          <w:tcPr>
            <w:tcW w:w="307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s="Times New Roman"/>
                <w:color w:val="auto"/>
                <w:kern w:val="0"/>
                <w:sz w:val="28"/>
                <w:szCs w:val="28"/>
                <w:highlight w:val="none"/>
                <w:lang w:val="en-US" w:eastAsia="zh-CN" w:bidi="ar-SA"/>
              </w:rPr>
            </w:pPr>
            <w:r>
              <w:rPr>
                <w:rFonts w:hint="eastAsia" w:cs="Times New Roman"/>
                <w:color w:val="auto"/>
                <w:kern w:val="0"/>
                <w:sz w:val="28"/>
                <w:szCs w:val="28"/>
                <w:highlight w:val="none"/>
                <w:lang w:val="en-US" w:eastAsia="zh-CN" w:bidi="ar-SA"/>
              </w:rPr>
              <w:t>九龙大道（电信支路至沙溪路）</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仿宋" w:cs="Times New Roman"/>
                <w:b w:val="0"/>
                <w:bCs/>
                <w:color w:val="auto"/>
                <w:sz w:val="28"/>
                <w:szCs w:val="28"/>
                <w:highlight w:val="none"/>
                <w:vertAlign w:val="baseline"/>
                <w:lang w:val="en-US" w:eastAsia="zh-CN"/>
              </w:rPr>
            </w:pPr>
            <w:r>
              <w:rPr>
                <w:rFonts w:hint="eastAsia" w:eastAsia="仿宋" w:cs="Times New Roman"/>
                <w:b w:val="0"/>
                <w:bCs/>
                <w:color w:val="auto"/>
                <w:sz w:val="28"/>
                <w:szCs w:val="28"/>
                <w:highlight w:val="none"/>
                <w:vertAlign w:val="baseline"/>
                <w:lang w:val="en-US" w:eastAsia="zh-CN"/>
              </w:rPr>
              <w:t>960</w:t>
            </w:r>
          </w:p>
        </w:tc>
        <w:tc>
          <w:tcPr>
            <w:tcW w:w="103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eastAsia="仿宋" w:cs="Times New Roman"/>
                <w:b w:val="0"/>
                <w:bCs/>
                <w:sz w:val="28"/>
                <w:szCs w:val="28"/>
                <w:highlight w:val="none"/>
                <w:vertAlign w:val="baseline"/>
                <w:lang w:val="en-US" w:eastAsia="zh-CN"/>
              </w:rPr>
            </w:pPr>
          </w:p>
        </w:tc>
        <w:tc>
          <w:tcPr>
            <w:tcW w:w="1287"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eastAsia="仿宋" w:cs="Times New Roman"/>
                <w:b w:val="0"/>
                <w:bCs/>
                <w:sz w:val="28"/>
                <w:szCs w:val="28"/>
                <w:highlight w:val="none"/>
                <w:vertAlign w:val="baseline"/>
                <w:lang w:val="en-US" w:eastAsia="zh-CN"/>
              </w:rPr>
            </w:pPr>
          </w:p>
        </w:tc>
        <w:tc>
          <w:tcPr>
            <w:tcW w:w="1169"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仿宋" w:cs="Times New Roman"/>
                <w:b w:val="0"/>
                <w:bCs/>
                <w:sz w:val="28"/>
                <w:szCs w:val="28"/>
                <w:highlight w:val="none"/>
                <w:vertAlign w:val="baseline"/>
                <w:lang w:val="en-US" w:eastAsia="zh-CN"/>
              </w:rPr>
            </w:pPr>
          </w:p>
        </w:tc>
        <w:tc>
          <w:tcPr>
            <w:tcW w:w="109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val="0"/>
                <w:bCs/>
                <w:sz w:val="28"/>
                <w:szCs w:val="28"/>
                <w:highlight w:val="none"/>
                <w:vertAlign w:val="baseli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3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仿宋" w:cs="Times New Roman"/>
                <w:b w:val="0"/>
                <w:bCs/>
                <w:sz w:val="28"/>
                <w:szCs w:val="28"/>
                <w:highlight w:val="none"/>
                <w:vertAlign w:val="baseline"/>
                <w:lang w:val="en-US" w:eastAsia="zh-CN"/>
              </w:rPr>
            </w:pPr>
            <w:r>
              <w:rPr>
                <w:rFonts w:hint="eastAsia" w:eastAsia="仿宋" w:cs="Times New Roman"/>
                <w:b w:val="0"/>
                <w:bCs/>
                <w:sz w:val="28"/>
                <w:szCs w:val="28"/>
                <w:highlight w:val="none"/>
                <w:vertAlign w:val="baseline"/>
                <w:lang w:val="en-US" w:eastAsia="zh-CN"/>
              </w:rPr>
              <w:t>8</w:t>
            </w:r>
          </w:p>
        </w:tc>
        <w:tc>
          <w:tcPr>
            <w:tcW w:w="837"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cs="Times New Roman"/>
                <w:color w:val="auto"/>
                <w:kern w:val="0"/>
                <w:sz w:val="28"/>
                <w:szCs w:val="28"/>
                <w:highlight w:val="none"/>
                <w:lang w:val="en-US" w:eastAsia="zh-CN" w:bidi="ar-SA"/>
              </w:rPr>
            </w:pPr>
          </w:p>
        </w:tc>
        <w:tc>
          <w:tcPr>
            <w:tcW w:w="307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cs="Times New Roman"/>
                <w:color w:val="auto"/>
                <w:kern w:val="0"/>
                <w:sz w:val="28"/>
                <w:szCs w:val="28"/>
                <w:highlight w:val="none"/>
                <w:lang w:val="en-US" w:eastAsia="zh-CN" w:bidi="ar-SA"/>
              </w:rPr>
            </w:pPr>
            <w:r>
              <w:rPr>
                <w:rFonts w:hint="eastAsia" w:cs="Times New Roman"/>
                <w:color w:val="auto"/>
                <w:kern w:val="0"/>
                <w:sz w:val="28"/>
                <w:szCs w:val="28"/>
                <w:highlight w:val="none"/>
                <w:lang w:val="en-US" w:eastAsia="zh-CN" w:bidi="ar-SA"/>
              </w:rPr>
              <w:t>九龙大道与健康路之间的连接道路</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仿宋" w:cs="Times New Roman"/>
                <w:b w:val="0"/>
                <w:bCs/>
                <w:color w:val="auto"/>
                <w:sz w:val="28"/>
                <w:szCs w:val="28"/>
                <w:highlight w:val="none"/>
                <w:vertAlign w:val="baseline"/>
                <w:lang w:val="en-US" w:eastAsia="zh-CN"/>
              </w:rPr>
            </w:pPr>
            <w:r>
              <w:rPr>
                <w:rFonts w:hint="eastAsia" w:eastAsia="仿宋" w:cs="Times New Roman"/>
                <w:b w:val="0"/>
                <w:bCs/>
                <w:color w:val="auto"/>
                <w:sz w:val="28"/>
                <w:szCs w:val="28"/>
                <w:highlight w:val="none"/>
                <w:vertAlign w:val="baseline"/>
                <w:lang w:val="en-US" w:eastAsia="zh-CN"/>
              </w:rPr>
              <w:t>816</w:t>
            </w:r>
          </w:p>
        </w:tc>
        <w:tc>
          <w:tcPr>
            <w:tcW w:w="103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eastAsia="仿宋" w:cs="Times New Roman"/>
                <w:b w:val="0"/>
                <w:bCs/>
                <w:sz w:val="28"/>
                <w:szCs w:val="28"/>
                <w:highlight w:val="none"/>
                <w:vertAlign w:val="baseline"/>
                <w:lang w:val="en-US" w:eastAsia="zh-CN"/>
              </w:rPr>
            </w:pPr>
          </w:p>
        </w:tc>
        <w:tc>
          <w:tcPr>
            <w:tcW w:w="1287"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eastAsia="仿宋" w:cs="Times New Roman"/>
                <w:b w:val="0"/>
                <w:bCs/>
                <w:sz w:val="28"/>
                <w:szCs w:val="28"/>
                <w:highlight w:val="none"/>
                <w:vertAlign w:val="baseline"/>
                <w:lang w:val="en-US" w:eastAsia="zh-CN"/>
              </w:rPr>
            </w:pPr>
          </w:p>
        </w:tc>
        <w:tc>
          <w:tcPr>
            <w:tcW w:w="1169"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仿宋" w:cs="Times New Roman"/>
                <w:b w:val="0"/>
                <w:bCs/>
                <w:sz w:val="28"/>
                <w:szCs w:val="28"/>
                <w:highlight w:val="none"/>
                <w:vertAlign w:val="baseline"/>
                <w:lang w:val="en-US" w:eastAsia="zh-CN"/>
              </w:rPr>
            </w:pPr>
          </w:p>
        </w:tc>
        <w:tc>
          <w:tcPr>
            <w:tcW w:w="109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val="0"/>
                <w:bCs/>
                <w:sz w:val="28"/>
                <w:szCs w:val="28"/>
                <w:highlight w:val="none"/>
                <w:vertAlign w:val="baseli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3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仿宋" w:cs="Times New Roman"/>
                <w:b w:val="0"/>
                <w:bCs/>
                <w:sz w:val="28"/>
                <w:szCs w:val="28"/>
                <w:highlight w:val="none"/>
                <w:vertAlign w:val="baseline"/>
                <w:lang w:val="en-US" w:eastAsia="zh-CN"/>
              </w:rPr>
            </w:pPr>
            <w:r>
              <w:rPr>
                <w:rFonts w:hint="eastAsia" w:eastAsia="仿宋" w:cs="Times New Roman"/>
                <w:b w:val="0"/>
                <w:bCs/>
                <w:sz w:val="28"/>
                <w:szCs w:val="28"/>
                <w:highlight w:val="none"/>
                <w:vertAlign w:val="baseline"/>
                <w:lang w:val="en-US" w:eastAsia="zh-CN"/>
              </w:rPr>
              <w:t>9</w:t>
            </w:r>
          </w:p>
        </w:tc>
        <w:tc>
          <w:tcPr>
            <w:tcW w:w="837"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cs="Times New Roman"/>
                <w:color w:val="auto"/>
                <w:kern w:val="0"/>
                <w:sz w:val="28"/>
                <w:szCs w:val="28"/>
                <w:highlight w:val="none"/>
                <w:lang w:val="en-US" w:eastAsia="zh-CN" w:bidi="ar-SA"/>
              </w:rPr>
            </w:pPr>
          </w:p>
        </w:tc>
        <w:tc>
          <w:tcPr>
            <w:tcW w:w="307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s="Times New Roman"/>
                <w:color w:val="auto"/>
                <w:kern w:val="0"/>
                <w:sz w:val="28"/>
                <w:szCs w:val="28"/>
                <w:highlight w:val="none"/>
                <w:lang w:val="en-US" w:eastAsia="zh-CN" w:bidi="ar-SA"/>
              </w:rPr>
            </w:pPr>
            <w:r>
              <w:rPr>
                <w:rFonts w:hint="eastAsia" w:cs="Times New Roman"/>
                <w:color w:val="auto"/>
                <w:kern w:val="0"/>
                <w:sz w:val="28"/>
                <w:szCs w:val="28"/>
                <w:highlight w:val="none"/>
                <w:lang w:val="en-US" w:eastAsia="zh-CN" w:bidi="ar-SA"/>
              </w:rPr>
              <w:t>大石路（2级范围）</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仿宋" w:cs="Times New Roman"/>
                <w:b w:val="0"/>
                <w:bCs/>
                <w:color w:val="auto"/>
                <w:sz w:val="28"/>
                <w:szCs w:val="28"/>
                <w:highlight w:val="none"/>
                <w:vertAlign w:val="baseline"/>
                <w:lang w:val="en-US" w:eastAsia="zh-CN"/>
              </w:rPr>
            </w:pPr>
            <w:r>
              <w:rPr>
                <w:rFonts w:hint="eastAsia" w:eastAsia="仿宋" w:cs="Times New Roman"/>
                <w:b w:val="0"/>
                <w:bCs/>
                <w:color w:val="auto"/>
                <w:sz w:val="28"/>
                <w:szCs w:val="28"/>
                <w:highlight w:val="none"/>
                <w:vertAlign w:val="baseline"/>
                <w:lang w:val="en-US" w:eastAsia="zh-CN"/>
              </w:rPr>
              <w:t>768</w:t>
            </w:r>
          </w:p>
        </w:tc>
        <w:tc>
          <w:tcPr>
            <w:tcW w:w="103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eastAsia="仿宋" w:cs="Times New Roman"/>
                <w:b w:val="0"/>
                <w:bCs/>
                <w:sz w:val="28"/>
                <w:szCs w:val="28"/>
                <w:highlight w:val="none"/>
                <w:vertAlign w:val="baseline"/>
                <w:lang w:val="en-US" w:eastAsia="zh-CN"/>
              </w:rPr>
            </w:pPr>
          </w:p>
        </w:tc>
        <w:tc>
          <w:tcPr>
            <w:tcW w:w="1287"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eastAsia="仿宋" w:cs="Times New Roman"/>
                <w:b w:val="0"/>
                <w:bCs/>
                <w:sz w:val="28"/>
                <w:szCs w:val="28"/>
                <w:highlight w:val="none"/>
                <w:vertAlign w:val="baseline"/>
                <w:lang w:val="en-US" w:eastAsia="zh-CN"/>
              </w:rPr>
            </w:pPr>
          </w:p>
        </w:tc>
        <w:tc>
          <w:tcPr>
            <w:tcW w:w="1169"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仿宋" w:cs="Times New Roman"/>
                <w:b w:val="0"/>
                <w:bCs/>
                <w:sz w:val="28"/>
                <w:szCs w:val="28"/>
                <w:highlight w:val="none"/>
                <w:vertAlign w:val="baseline"/>
                <w:lang w:val="en-US" w:eastAsia="zh-CN"/>
              </w:rPr>
            </w:pPr>
          </w:p>
        </w:tc>
        <w:tc>
          <w:tcPr>
            <w:tcW w:w="109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val="0"/>
                <w:bCs/>
                <w:sz w:val="28"/>
                <w:szCs w:val="28"/>
                <w:highlight w:val="none"/>
                <w:vertAlign w:val="baseli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3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仿宋" w:cs="Times New Roman"/>
                <w:b w:val="0"/>
                <w:bCs/>
                <w:sz w:val="28"/>
                <w:szCs w:val="28"/>
                <w:highlight w:val="none"/>
                <w:vertAlign w:val="baseline"/>
                <w:lang w:val="en-US" w:eastAsia="zh-CN"/>
              </w:rPr>
            </w:pPr>
            <w:r>
              <w:rPr>
                <w:rFonts w:hint="eastAsia" w:eastAsia="仿宋" w:cs="Times New Roman"/>
                <w:b w:val="0"/>
                <w:bCs/>
                <w:sz w:val="28"/>
                <w:szCs w:val="28"/>
                <w:highlight w:val="none"/>
                <w:vertAlign w:val="baseline"/>
                <w:lang w:val="en-US" w:eastAsia="zh-CN"/>
              </w:rPr>
              <w:t>10</w:t>
            </w:r>
          </w:p>
        </w:tc>
        <w:tc>
          <w:tcPr>
            <w:tcW w:w="837"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cs="Times New Roman"/>
                <w:color w:val="auto"/>
                <w:kern w:val="0"/>
                <w:sz w:val="28"/>
                <w:szCs w:val="28"/>
                <w:highlight w:val="none"/>
                <w:lang w:val="en-US" w:eastAsia="zh-CN" w:bidi="ar-SA"/>
              </w:rPr>
            </w:pPr>
          </w:p>
        </w:tc>
        <w:tc>
          <w:tcPr>
            <w:tcW w:w="307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s="Times New Roman"/>
                <w:color w:val="auto"/>
                <w:kern w:val="0"/>
                <w:sz w:val="28"/>
                <w:szCs w:val="28"/>
                <w:highlight w:val="none"/>
                <w:lang w:val="en-US" w:eastAsia="zh-CN" w:bidi="ar-SA"/>
              </w:rPr>
            </w:pPr>
            <w:r>
              <w:rPr>
                <w:rFonts w:hint="eastAsia" w:cs="Times New Roman"/>
                <w:color w:val="auto"/>
                <w:kern w:val="0"/>
                <w:sz w:val="28"/>
                <w:szCs w:val="28"/>
                <w:highlight w:val="none"/>
                <w:lang w:val="en-US" w:eastAsia="zh-CN" w:bidi="ar-SA"/>
              </w:rPr>
              <w:t>大石路、健康路、五桥路、五福路（2级范围）</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仿宋" w:cs="Times New Roman"/>
                <w:b w:val="0"/>
                <w:bCs/>
                <w:color w:val="auto"/>
                <w:sz w:val="28"/>
                <w:szCs w:val="28"/>
                <w:highlight w:val="none"/>
                <w:vertAlign w:val="baseline"/>
                <w:lang w:val="en-US" w:eastAsia="zh-CN"/>
              </w:rPr>
            </w:pPr>
            <w:r>
              <w:rPr>
                <w:rFonts w:hint="eastAsia" w:eastAsia="仿宋" w:cs="Times New Roman"/>
                <w:b w:val="0"/>
                <w:bCs/>
                <w:color w:val="auto"/>
                <w:sz w:val="28"/>
                <w:szCs w:val="28"/>
                <w:highlight w:val="none"/>
                <w:vertAlign w:val="baseline"/>
                <w:lang w:val="en-US" w:eastAsia="zh-CN"/>
              </w:rPr>
              <w:t>720</w:t>
            </w:r>
          </w:p>
        </w:tc>
        <w:tc>
          <w:tcPr>
            <w:tcW w:w="103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eastAsia="仿宋" w:cs="Times New Roman"/>
                <w:b w:val="0"/>
                <w:bCs/>
                <w:sz w:val="28"/>
                <w:szCs w:val="28"/>
                <w:highlight w:val="none"/>
                <w:vertAlign w:val="baseline"/>
                <w:lang w:val="en-US" w:eastAsia="zh-CN"/>
              </w:rPr>
            </w:pPr>
          </w:p>
        </w:tc>
        <w:tc>
          <w:tcPr>
            <w:tcW w:w="1287"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eastAsia="仿宋" w:cs="Times New Roman"/>
                <w:b w:val="0"/>
                <w:bCs/>
                <w:sz w:val="28"/>
                <w:szCs w:val="28"/>
                <w:highlight w:val="none"/>
                <w:vertAlign w:val="baseline"/>
                <w:lang w:val="en-US" w:eastAsia="zh-CN"/>
              </w:rPr>
            </w:pPr>
          </w:p>
        </w:tc>
        <w:tc>
          <w:tcPr>
            <w:tcW w:w="1169"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仿宋" w:cs="Times New Roman"/>
                <w:b w:val="0"/>
                <w:bCs/>
                <w:sz w:val="28"/>
                <w:szCs w:val="28"/>
                <w:highlight w:val="none"/>
                <w:vertAlign w:val="baseline"/>
                <w:lang w:val="en-US" w:eastAsia="zh-CN"/>
              </w:rPr>
            </w:pPr>
          </w:p>
        </w:tc>
        <w:tc>
          <w:tcPr>
            <w:tcW w:w="109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val="0"/>
                <w:bCs/>
                <w:sz w:val="28"/>
                <w:szCs w:val="28"/>
                <w:highlight w:val="none"/>
                <w:vertAlign w:val="baseli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3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仿宋" w:cs="Times New Roman"/>
                <w:b w:val="0"/>
                <w:bCs/>
                <w:sz w:val="28"/>
                <w:szCs w:val="28"/>
                <w:highlight w:val="none"/>
                <w:vertAlign w:val="baseline"/>
                <w:lang w:val="en-US" w:eastAsia="zh-CN"/>
              </w:rPr>
            </w:pPr>
            <w:r>
              <w:rPr>
                <w:rFonts w:hint="eastAsia" w:eastAsia="仿宋" w:cs="Times New Roman"/>
                <w:b w:val="0"/>
                <w:bCs/>
                <w:sz w:val="28"/>
                <w:szCs w:val="28"/>
                <w:highlight w:val="none"/>
                <w:vertAlign w:val="baseline"/>
                <w:lang w:val="en-US" w:eastAsia="zh-CN"/>
              </w:rPr>
              <w:t>11</w:t>
            </w:r>
          </w:p>
        </w:tc>
        <w:tc>
          <w:tcPr>
            <w:tcW w:w="837"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cs="Times New Roman"/>
                <w:color w:val="auto"/>
                <w:kern w:val="0"/>
                <w:sz w:val="28"/>
                <w:szCs w:val="28"/>
                <w:highlight w:val="none"/>
                <w:lang w:val="en-US" w:eastAsia="zh-CN" w:bidi="ar-SA"/>
              </w:rPr>
            </w:pPr>
          </w:p>
        </w:tc>
        <w:tc>
          <w:tcPr>
            <w:tcW w:w="307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s="Times New Roman"/>
                <w:color w:val="auto"/>
                <w:kern w:val="0"/>
                <w:sz w:val="28"/>
                <w:szCs w:val="28"/>
                <w:highlight w:val="none"/>
                <w:lang w:val="en-US" w:eastAsia="zh-CN" w:bidi="ar-SA"/>
              </w:rPr>
            </w:pPr>
            <w:r>
              <w:rPr>
                <w:rFonts w:hint="eastAsia" w:cs="Times New Roman"/>
                <w:color w:val="auto"/>
                <w:kern w:val="0"/>
                <w:sz w:val="28"/>
                <w:szCs w:val="28"/>
                <w:highlight w:val="none"/>
                <w:lang w:val="en-US" w:eastAsia="zh-CN" w:bidi="ar-SA"/>
              </w:rPr>
              <w:t>长青路、花果巷</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仿宋" w:cs="Times New Roman"/>
                <w:b w:val="0"/>
                <w:bCs/>
                <w:color w:val="auto"/>
                <w:sz w:val="28"/>
                <w:szCs w:val="28"/>
                <w:highlight w:val="none"/>
                <w:vertAlign w:val="baseline"/>
                <w:lang w:val="en-US" w:eastAsia="zh-CN"/>
              </w:rPr>
            </w:pPr>
            <w:r>
              <w:rPr>
                <w:rFonts w:hint="eastAsia" w:eastAsia="仿宋" w:cs="Times New Roman"/>
                <w:b w:val="0"/>
                <w:bCs/>
                <w:color w:val="auto"/>
                <w:sz w:val="28"/>
                <w:szCs w:val="28"/>
                <w:highlight w:val="none"/>
                <w:vertAlign w:val="baseline"/>
                <w:lang w:val="en-US" w:eastAsia="zh-CN"/>
              </w:rPr>
              <w:t>672</w:t>
            </w:r>
          </w:p>
        </w:tc>
        <w:tc>
          <w:tcPr>
            <w:tcW w:w="103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eastAsia="仿宋" w:cs="Times New Roman"/>
                <w:b w:val="0"/>
                <w:bCs/>
                <w:sz w:val="28"/>
                <w:szCs w:val="28"/>
                <w:highlight w:val="none"/>
                <w:vertAlign w:val="baseline"/>
                <w:lang w:val="en-US" w:eastAsia="zh-CN"/>
              </w:rPr>
            </w:pPr>
          </w:p>
        </w:tc>
        <w:tc>
          <w:tcPr>
            <w:tcW w:w="1287"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eastAsia="仿宋" w:cs="Times New Roman"/>
                <w:b w:val="0"/>
                <w:bCs/>
                <w:sz w:val="28"/>
                <w:szCs w:val="28"/>
                <w:highlight w:val="none"/>
                <w:vertAlign w:val="baseline"/>
                <w:lang w:val="en-US" w:eastAsia="zh-CN"/>
              </w:rPr>
            </w:pPr>
          </w:p>
        </w:tc>
        <w:tc>
          <w:tcPr>
            <w:tcW w:w="1169"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仿宋" w:cs="Times New Roman"/>
                <w:b w:val="0"/>
                <w:bCs/>
                <w:sz w:val="28"/>
                <w:szCs w:val="28"/>
                <w:highlight w:val="none"/>
                <w:vertAlign w:val="baseline"/>
                <w:lang w:val="en-US" w:eastAsia="zh-CN"/>
              </w:rPr>
            </w:pPr>
          </w:p>
        </w:tc>
        <w:tc>
          <w:tcPr>
            <w:tcW w:w="109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val="0"/>
                <w:bCs/>
                <w:sz w:val="28"/>
                <w:szCs w:val="28"/>
                <w:highlight w:val="none"/>
                <w:vertAlign w:val="baseli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34" w:hRule="atLeast"/>
          <w:jc w:val="center"/>
        </w:trPr>
        <w:tc>
          <w:tcPr>
            <w:tcW w:w="103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仿宋" w:cs="Times New Roman"/>
                <w:b w:val="0"/>
                <w:bCs/>
                <w:sz w:val="28"/>
                <w:szCs w:val="28"/>
                <w:highlight w:val="none"/>
                <w:vertAlign w:val="baseline"/>
                <w:lang w:val="en-US" w:eastAsia="zh-CN"/>
              </w:rPr>
            </w:pPr>
            <w:r>
              <w:rPr>
                <w:rFonts w:hint="eastAsia" w:eastAsia="仿宋" w:cs="Times New Roman"/>
                <w:b w:val="0"/>
                <w:bCs/>
                <w:sz w:val="28"/>
                <w:szCs w:val="28"/>
                <w:highlight w:val="none"/>
                <w:vertAlign w:val="baseline"/>
                <w:lang w:val="en-US" w:eastAsia="zh-CN"/>
              </w:rPr>
              <w:t>12</w:t>
            </w:r>
          </w:p>
        </w:tc>
        <w:tc>
          <w:tcPr>
            <w:tcW w:w="837"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cs="Times New Roman"/>
                <w:color w:val="auto"/>
                <w:kern w:val="0"/>
                <w:sz w:val="28"/>
                <w:szCs w:val="28"/>
                <w:highlight w:val="none"/>
                <w:lang w:val="en-US" w:eastAsia="zh-CN" w:bidi="ar-SA"/>
              </w:rPr>
            </w:pPr>
          </w:p>
        </w:tc>
        <w:tc>
          <w:tcPr>
            <w:tcW w:w="307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cs="Times New Roman"/>
                <w:color w:val="auto"/>
                <w:kern w:val="0"/>
                <w:sz w:val="28"/>
                <w:szCs w:val="28"/>
                <w:highlight w:val="none"/>
                <w:lang w:val="en-US" w:eastAsia="zh-CN" w:bidi="ar-SA"/>
              </w:rPr>
            </w:pPr>
            <w:r>
              <w:rPr>
                <w:rFonts w:hint="eastAsia" w:cs="Times New Roman"/>
                <w:color w:val="auto"/>
                <w:kern w:val="0"/>
                <w:sz w:val="28"/>
                <w:szCs w:val="28"/>
                <w:highlight w:val="none"/>
                <w:lang w:val="en-US" w:eastAsia="zh-CN" w:bidi="ar-SA"/>
              </w:rPr>
              <w:t>二级范围内不临路区域</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仿宋" w:cs="Times New Roman"/>
                <w:b w:val="0"/>
                <w:bCs/>
                <w:color w:val="auto"/>
                <w:sz w:val="28"/>
                <w:szCs w:val="28"/>
                <w:highlight w:val="none"/>
                <w:vertAlign w:val="baseline"/>
                <w:lang w:val="en-US" w:eastAsia="zh-CN"/>
              </w:rPr>
            </w:pPr>
            <w:r>
              <w:rPr>
                <w:rFonts w:hint="eastAsia" w:eastAsia="仿宋" w:cs="Times New Roman"/>
                <w:b w:val="0"/>
                <w:bCs/>
                <w:color w:val="auto"/>
                <w:sz w:val="28"/>
                <w:szCs w:val="28"/>
                <w:highlight w:val="none"/>
                <w:vertAlign w:val="baseline"/>
                <w:lang w:val="en-US" w:eastAsia="zh-CN"/>
              </w:rPr>
              <w:t>576</w:t>
            </w:r>
          </w:p>
        </w:tc>
        <w:tc>
          <w:tcPr>
            <w:tcW w:w="103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eastAsia="仿宋" w:cs="Times New Roman"/>
                <w:b w:val="0"/>
                <w:bCs/>
                <w:sz w:val="28"/>
                <w:szCs w:val="28"/>
                <w:highlight w:val="none"/>
                <w:vertAlign w:val="baseline"/>
                <w:lang w:val="en-US" w:eastAsia="zh-CN"/>
              </w:rPr>
            </w:pPr>
          </w:p>
        </w:tc>
        <w:tc>
          <w:tcPr>
            <w:tcW w:w="1287"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eastAsia="仿宋" w:cs="Times New Roman"/>
                <w:b w:val="0"/>
                <w:bCs/>
                <w:sz w:val="28"/>
                <w:szCs w:val="28"/>
                <w:highlight w:val="none"/>
                <w:vertAlign w:val="baseline"/>
                <w:lang w:val="en-US" w:eastAsia="zh-CN"/>
              </w:rPr>
            </w:pPr>
          </w:p>
        </w:tc>
        <w:tc>
          <w:tcPr>
            <w:tcW w:w="1169"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仿宋" w:cs="Times New Roman"/>
                <w:b w:val="0"/>
                <w:bCs/>
                <w:sz w:val="28"/>
                <w:szCs w:val="28"/>
                <w:highlight w:val="none"/>
                <w:vertAlign w:val="baseline"/>
                <w:lang w:val="en-US" w:eastAsia="zh-CN"/>
              </w:rPr>
            </w:pPr>
          </w:p>
        </w:tc>
        <w:tc>
          <w:tcPr>
            <w:tcW w:w="109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val="0"/>
                <w:bCs/>
                <w:sz w:val="28"/>
                <w:szCs w:val="28"/>
                <w:highlight w:val="none"/>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val="0"/>
        <w:spacing w:line="540" w:lineRule="exact"/>
        <w:ind w:firstLine="480" w:firstLineChars="200"/>
        <w:textAlignment w:val="auto"/>
        <w:rPr>
          <w:rFonts w:hint="default"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根据规资部门提供的续期宗地信息，2026年仅涉及商服用途及仓储用途土地到期续期，未涉及公共管理与公共服务用地到期续期，故暂未制定公共管理与公共服务用地续期基准价。本续期基准价可根据綦江区续期范围及续期用途变化和新增进行更新与调整。</w:t>
      </w:r>
    </w:p>
    <w:p>
      <w:pPr>
        <w:keepNext w:val="0"/>
        <w:keepLines w:val="0"/>
        <w:pageBreakBefore w:val="0"/>
        <w:widowControl w:val="0"/>
        <w:kinsoku/>
        <w:wordWrap/>
        <w:overflowPunct/>
        <w:topLinePunct w:val="0"/>
        <w:autoSpaceDE/>
        <w:autoSpaceDN/>
        <w:bidi w:val="0"/>
        <w:adjustRightInd/>
        <w:spacing w:line="560" w:lineRule="exact"/>
        <w:ind w:firstLine="420" w:firstLineChars="200"/>
        <w:textAlignment w:val="auto"/>
        <w:rPr>
          <w:rFonts w:hint="default" w:ascii="方正黑体_GBK" w:hAnsi="Times New Roman" w:eastAsia="方正黑体_GBK" w:cs="Times New Roman"/>
          <w:szCs w:val="32"/>
          <w:highlight w:val="none"/>
          <w:lang w:val="en-US" w:eastAsia="zh-CN"/>
        </w:rPr>
      </w:pPr>
      <w:r>
        <w:rPr>
          <w:rFonts w:hint="eastAsia" w:ascii="方正黑体_GBK" w:hAnsi="Times New Roman" w:eastAsia="方正黑体_GBK" w:cs="Times New Roman"/>
          <w:szCs w:val="32"/>
          <w:highlight w:val="none"/>
          <w:lang w:val="en-US" w:eastAsia="zh-CN"/>
        </w:rPr>
        <w:t>五、法定最高出让年限的续期单价</w:t>
      </w:r>
    </w:p>
    <w:p>
      <w:pPr>
        <w:keepNext w:val="0"/>
        <w:keepLines w:val="0"/>
        <w:pageBreakBefore w:val="0"/>
        <w:widowControl w:val="0"/>
        <w:kinsoku/>
        <w:wordWrap/>
        <w:overflowPunct/>
        <w:topLinePunct w:val="0"/>
        <w:autoSpaceDE/>
        <w:autoSpaceDN/>
        <w:bidi w:val="0"/>
        <w:adjustRightInd/>
        <w:snapToGrid w:val="0"/>
        <w:spacing w:line="540" w:lineRule="exact"/>
        <w:ind w:firstLine="420" w:firstLineChars="200"/>
        <w:textAlignment w:val="auto"/>
        <w:rPr>
          <w:rFonts w:hint="default"/>
          <w:szCs w:val="32"/>
          <w:highlight w:val="none"/>
          <w:lang w:val="en-US" w:eastAsia="zh-CN"/>
        </w:rPr>
      </w:pPr>
      <w:r>
        <w:rPr>
          <w:rFonts w:hint="eastAsia"/>
          <w:szCs w:val="32"/>
          <w:highlight w:val="none"/>
          <w:lang w:val="en-US" w:eastAsia="zh-CN"/>
        </w:rPr>
        <w:t>法定最高出让年限续期单价，是指在续期基准价的基础上，针对续期房地产的楼层、临街道路类型以及街角地差异进行修正得出的价格，是续期房地产的具体价格。</w:t>
      </w:r>
    </w:p>
    <w:p>
      <w:pPr>
        <w:keepNext w:val="0"/>
        <w:keepLines w:val="0"/>
        <w:pageBreakBefore w:val="0"/>
        <w:widowControl w:val="0"/>
        <w:kinsoku/>
        <w:wordWrap/>
        <w:overflowPunct/>
        <w:topLinePunct w:val="0"/>
        <w:autoSpaceDE/>
        <w:autoSpaceDN/>
        <w:bidi w:val="0"/>
        <w:adjustRightInd/>
        <w:spacing w:line="560" w:lineRule="exact"/>
        <w:ind w:firstLine="420" w:firstLineChars="200"/>
        <w:textAlignment w:val="auto"/>
        <w:rPr>
          <w:szCs w:val="32"/>
          <w:highlight w:val="none"/>
        </w:rPr>
      </w:pPr>
      <w:r>
        <w:rPr>
          <w:rFonts w:hint="eastAsia"/>
          <w:szCs w:val="32"/>
          <w:highlight w:val="none"/>
          <w:lang w:val="en-US" w:eastAsia="zh-CN"/>
        </w:rPr>
        <w:t>1.楼层</w:t>
      </w:r>
      <w:r>
        <w:rPr>
          <w:szCs w:val="32"/>
          <w:highlight w:val="none"/>
        </w:rPr>
        <w:t>修正系数的确定</w:t>
      </w:r>
    </w:p>
    <w:p>
      <w:pPr>
        <w:keepNext w:val="0"/>
        <w:keepLines w:val="0"/>
        <w:pageBreakBefore w:val="0"/>
        <w:widowControl w:val="0"/>
        <w:kinsoku/>
        <w:wordWrap/>
        <w:overflowPunct/>
        <w:topLinePunct w:val="0"/>
        <w:autoSpaceDE/>
        <w:autoSpaceDN/>
        <w:bidi w:val="0"/>
        <w:adjustRightInd/>
        <w:spacing w:line="560" w:lineRule="exact"/>
        <w:ind w:firstLine="420" w:firstLineChars="200"/>
        <w:textAlignment w:val="auto"/>
        <w:rPr>
          <w:rFonts w:hint="default" w:cs="Times New Roman"/>
          <w:highlight w:val="none"/>
          <w:lang w:val="en-US" w:eastAsia="zh-CN"/>
        </w:rPr>
      </w:pPr>
      <w:r>
        <w:rPr>
          <w:rFonts w:hint="eastAsia"/>
          <w:highlight w:val="none"/>
          <w:lang w:val="en-US" w:eastAsia="zh-CN"/>
        </w:rPr>
        <w:t>续期宗地楼层</w:t>
      </w:r>
      <w:r>
        <w:rPr>
          <w:highlight w:val="none"/>
        </w:rPr>
        <w:t>需要进行修正的，按照《</w:t>
      </w:r>
      <w:r>
        <w:rPr>
          <w:rFonts w:hint="eastAsia"/>
          <w:highlight w:val="none"/>
          <w:lang w:val="en-US" w:eastAsia="zh-CN"/>
        </w:rPr>
        <w:t>楼层</w:t>
      </w:r>
      <w:r>
        <w:rPr>
          <w:highlight w:val="none"/>
        </w:rPr>
        <w:t>修正系数表》确定</w:t>
      </w:r>
      <w:r>
        <w:rPr>
          <w:rFonts w:hint="eastAsia"/>
          <w:highlight w:val="none"/>
          <w:lang w:val="en-US" w:eastAsia="zh-CN"/>
        </w:rPr>
        <w:t>楼层</w:t>
      </w:r>
      <w:r>
        <w:rPr>
          <w:highlight w:val="none"/>
        </w:rPr>
        <w:t>修正</w:t>
      </w:r>
      <w:r>
        <w:rPr>
          <w:rFonts w:hint="eastAsia" w:cs="Times New Roman"/>
          <w:highlight w:val="none"/>
          <w:lang w:val="en-US" w:eastAsia="zh-CN"/>
        </w:rPr>
        <w:t>系数。不临街但位于平街层、或非平街层侧面/背面有出入口至平街层的，按平街1层修正。</w:t>
      </w:r>
    </w:p>
    <w:p>
      <w:pPr>
        <w:spacing w:line="560" w:lineRule="exact"/>
        <w:ind w:firstLine="560"/>
        <w:rPr>
          <w:rFonts w:hint="default" w:cs="Times New Roman"/>
          <w:highlight w:val="none"/>
          <w:lang w:val="en-US" w:eastAsia="zh-CN"/>
        </w:rPr>
      </w:pPr>
    </w:p>
    <w:p>
      <w:pPr>
        <w:spacing w:line="560" w:lineRule="exact"/>
        <w:ind w:firstLine="560"/>
        <w:jc w:val="center"/>
        <w:rPr>
          <w:rFonts w:hint="eastAsia" w:ascii="黑体" w:hAnsi="黑体" w:eastAsia="黑体" w:cs="黑体"/>
          <w:b w:val="0"/>
          <w:bCs/>
          <w:szCs w:val="32"/>
          <w:highlight w:val="none"/>
          <w:lang w:val="en-US" w:eastAsia="zh-CN"/>
        </w:rPr>
      </w:pPr>
      <w:r>
        <w:rPr>
          <w:rFonts w:hint="eastAsia" w:ascii="黑体" w:hAnsi="黑体" w:eastAsia="黑体" w:cs="黑体"/>
          <w:b w:val="0"/>
          <w:bCs/>
          <w:szCs w:val="32"/>
          <w:highlight w:val="none"/>
          <w:lang w:val="en-US" w:eastAsia="zh-CN"/>
        </w:rPr>
        <w:t>楼层修正系数表</w:t>
      </w:r>
    </w:p>
    <w:tbl>
      <w:tblPr>
        <w:tblStyle w:val="8"/>
        <w:tblW w:w="9356"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3018"/>
        <w:gridCol w:w="3338"/>
        <w:gridCol w:w="3000"/>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19" w:hRule="atLeast"/>
          <w:tblHeader/>
          <w:jc w:val="center"/>
        </w:trPr>
        <w:tc>
          <w:tcPr>
            <w:tcW w:w="3018" w:type="dxa"/>
            <w:vMerge w:val="restart"/>
            <w:tcBorders>
              <w:right w:val="single" w:color="000000" w:sz="4" w:space="0"/>
            </w:tcBorders>
            <w:noWrap/>
            <w:vAlign w:val="center"/>
          </w:tcPr>
          <w:p>
            <w:pPr>
              <w:keepNext w:val="0"/>
              <w:keepLines w:val="0"/>
              <w:widowControl/>
              <w:suppressLineNumbers w:val="0"/>
              <w:jc w:val="center"/>
              <w:textAlignment w:val="center"/>
              <w:rPr>
                <w:rFonts w:hint="eastAsia" w:ascii="黑体" w:hAnsi="黑体" w:eastAsia="黑体" w:cs="黑体"/>
                <w:kern w:val="0"/>
                <w:sz w:val="28"/>
                <w:szCs w:val="28"/>
                <w:highlight w:val="none"/>
                <w:lang w:val="en-US" w:eastAsia="zh-CN" w:bidi="ar-SA"/>
              </w:rPr>
            </w:pPr>
            <w:r>
              <w:rPr>
                <w:rFonts w:hint="eastAsia" w:ascii="黑体" w:hAnsi="黑体" w:eastAsia="黑体" w:cs="黑体"/>
                <w:kern w:val="0"/>
                <w:sz w:val="28"/>
                <w:szCs w:val="28"/>
                <w:highlight w:val="none"/>
                <w:lang w:val="en-US" w:eastAsia="zh-CN" w:bidi="ar-SA"/>
              </w:rPr>
              <w:t>楼层</w:t>
            </w:r>
          </w:p>
        </w:tc>
        <w:tc>
          <w:tcPr>
            <w:tcW w:w="6338" w:type="dxa"/>
            <w:gridSpan w:val="2"/>
            <w:tcBorders>
              <w:left w:val="single" w:color="000000" w:sz="4" w:space="0"/>
              <w:bottom w:val="single" w:color="000000" w:sz="4" w:space="0"/>
            </w:tcBorders>
            <w:noWrap/>
            <w:vAlign w:val="center"/>
          </w:tcPr>
          <w:p>
            <w:pPr>
              <w:keepNext w:val="0"/>
              <w:keepLines w:val="0"/>
              <w:widowControl/>
              <w:suppressLineNumbers w:val="0"/>
              <w:jc w:val="center"/>
              <w:textAlignment w:val="center"/>
              <w:rPr>
                <w:rFonts w:hint="eastAsia" w:ascii="黑体" w:hAnsi="黑体" w:eastAsia="黑体" w:cs="黑体"/>
                <w:kern w:val="0"/>
                <w:sz w:val="28"/>
                <w:szCs w:val="28"/>
                <w:highlight w:val="none"/>
                <w:lang w:val="en-US" w:eastAsia="zh-CN" w:bidi="ar-SA"/>
              </w:rPr>
            </w:pPr>
            <w:r>
              <w:rPr>
                <w:rFonts w:hint="eastAsia" w:ascii="黑体" w:hAnsi="黑体" w:eastAsia="黑体" w:cs="黑体"/>
                <w:kern w:val="0"/>
                <w:sz w:val="28"/>
                <w:szCs w:val="28"/>
                <w:highlight w:val="none"/>
                <w:lang w:val="en-US" w:eastAsia="zh-CN" w:bidi="ar-SA"/>
              </w:rPr>
              <w:t>修正系数</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9" w:hRule="atLeast"/>
          <w:tblHeader/>
          <w:jc w:val="center"/>
        </w:trPr>
        <w:tc>
          <w:tcPr>
            <w:tcW w:w="3018" w:type="dxa"/>
            <w:vMerge w:val="continue"/>
            <w:tcBorders>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黑体" w:hAnsi="黑体" w:eastAsia="黑体" w:cs="黑体"/>
                <w:kern w:val="0"/>
                <w:sz w:val="28"/>
                <w:szCs w:val="28"/>
                <w:highlight w:val="none"/>
                <w:lang w:val="en-US" w:eastAsia="zh-CN" w:bidi="ar-SA"/>
              </w:rPr>
            </w:pPr>
          </w:p>
        </w:tc>
        <w:tc>
          <w:tcPr>
            <w:tcW w:w="333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黑体" w:hAnsi="黑体" w:eastAsia="黑体" w:cs="黑体"/>
                <w:kern w:val="0"/>
                <w:sz w:val="28"/>
                <w:szCs w:val="28"/>
                <w:highlight w:val="none"/>
                <w:lang w:val="en-US" w:eastAsia="zh-CN" w:bidi="ar-SA"/>
              </w:rPr>
            </w:pPr>
            <w:r>
              <w:rPr>
                <w:rFonts w:hint="eastAsia" w:ascii="黑体" w:hAnsi="黑体" w:eastAsia="黑体" w:cs="黑体"/>
                <w:kern w:val="0"/>
                <w:sz w:val="28"/>
                <w:szCs w:val="28"/>
                <w:highlight w:val="none"/>
                <w:lang w:val="en-US" w:eastAsia="zh-CN" w:bidi="ar-SA"/>
              </w:rPr>
              <w:t>商服</w:t>
            </w:r>
          </w:p>
        </w:tc>
        <w:tc>
          <w:tcPr>
            <w:tcW w:w="3000" w:type="dxa"/>
            <w:tcBorders>
              <w:top w:val="single" w:color="000000" w:sz="4" w:space="0"/>
              <w:left w:val="single" w:color="000000" w:sz="4" w:space="0"/>
              <w:bottom w:val="single" w:color="000000" w:sz="4" w:space="0"/>
            </w:tcBorders>
            <w:noWrap/>
            <w:vAlign w:val="center"/>
          </w:tcPr>
          <w:p>
            <w:pPr>
              <w:keepNext w:val="0"/>
              <w:keepLines w:val="0"/>
              <w:widowControl/>
              <w:suppressLineNumbers w:val="0"/>
              <w:jc w:val="center"/>
              <w:textAlignment w:val="center"/>
              <w:rPr>
                <w:rFonts w:hint="eastAsia" w:ascii="黑体" w:hAnsi="黑体" w:eastAsia="黑体" w:cs="黑体"/>
                <w:kern w:val="0"/>
                <w:sz w:val="28"/>
                <w:szCs w:val="28"/>
                <w:highlight w:val="none"/>
                <w:lang w:val="en-US" w:eastAsia="zh-CN" w:bidi="ar-SA"/>
              </w:rPr>
            </w:pPr>
            <w:r>
              <w:rPr>
                <w:rFonts w:hint="eastAsia" w:ascii="黑体" w:hAnsi="黑体" w:eastAsia="黑体" w:cs="黑体"/>
                <w:kern w:val="0"/>
                <w:sz w:val="28"/>
                <w:szCs w:val="28"/>
                <w:highlight w:val="none"/>
                <w:lang w:val="en-US" w:eastAsia="zh-CN" w:bidi="ar-SA"/>
              </w:rPr>
              <w:t>公共管理与公共服务</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3018" w:type="dxa"/>
            <w:tcBorders>
              <w:top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方正仿宋_GBK" w:cs="Times New Roman"/>
                <w:kern w:val="0"/>
                <w:sz w:val="28"/>
                <w:szCs w:val="28"/>
                <w:highlight w:val="none"/>
                <w:lang w:val="en-US" w:eastAsia="zh-CN" w:bidi="ar-SA"/>
              </w:rPr>
            </w:pPr>
            <w:r>
              <w:rPr>
                <w:rFonts w:hint="eastAsia" w:ascii="Times New Roman" w:hAnsi="Times New Roman" w:eastAsia="方正仿宋_GBK" w:cs="Times New Roman"/>
                <w:kern w:val="0"/>
                <w:sz w:val="28"/>
                <w:szCs w:val="28"/>
                <w:highlight w:val="none"/>
                <w:lang w:val="en-US" w:eastAsia="zh-CN" w:bidi="ar-SA"/>
              </w:rPr>
              <w:t>平街1层</w:t>
            </w:r>
          </w:p>
        </w:tc>
        <w:tc>
          <w:tcPr>
            <w:tcW w:w="333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仿宋_GBK" w:cs="Times New Roman"/>
                <w:kern w:val="0"/>
                <w:sz w:val="28"/>
                <w:szCs w:val="28"/>
                <w:highlight w:val="none"/>
                <w:lang w:val="en-US" w:eastAsia="zh-CN" w:bidi="ar-SA"/>
              </w:rPr>
            </w:pPr>
            <w:r>
              <w:rPr>
                <w:rFonts w:hint="eastAsia" w:ascii="Times New Roman" w:hAnsi="Times New Roman" w:eastAsia="方正仿宋_GBK" w:cs="Times New Roman"/>
                <w:kern w:val="0"/>
                <w:sz w:val="28"/>
                <w:szCs w:val="28"/>
                <w:highlight w:val="none"/>
                <w:lang w:val="en-US" w:eastAsia="zh-CN" w:bidi="ar-SA"/>
              </w:rPr>
              <w:t>1</w:t>
            </w:r>
            <w:r>
              <w:rPr>
                <w:rFonts w:hint="eastAsia" w:cs="Times New Roman"/>
                <w:kern w:val="0"/>
                <w:sz w:val="28"/>
                <w:szCs w:val="28"/>
                <w:highlight w:val="none"/>
                <w:lang w:val="en-US" w:eastAsia="zh-CN" w:bidi="ar-SA"/>
              </w:rPr>
              <w:t>.55</w:t>
            </w:r>
          </w:p>
        </w:tc>
        <w:tc>
          <w:tcPr>
            <w:tcW w:w="3000" w:type="dxa"/>
            <w:tcBorders>
              <w:top w:val="single" w:color="000000" w:sz="4" w:space="0"/>
              <w:left w:val="single" w:color="000000" w:sz="4" w:space="0"/>
              <w:bottom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方正仿宋_GBK" w:cs="Times New Roman"/>
                <w:kern w:val="0"/>
                <w:sz w:val="28"/>
                <w:szCs w:val="28"/>
                <w:highlight w:val="none"/>
                <w:lang w:val="en-US" w:eastAsia="zh-CN" w:bidi="ar-SA"/>
              </w:rPr>
            </w:pPr>
            <w:r>
              <w:rPr>
                <w:rFonts w:hint="eastAsia" w:ascii="Times New Roman" w:hAnsi="Times New Roman" w:cs="Times New Roman"/>
                <w:kern w:val="0"/>
                <w:sz w:val="28"/>
                <w:szCs w:val="28"/>
                <w:highlight w:val="none"/>
                <w:lang w:val="en-US" w:eastAsia="zh-CN" w:bidi="ar-SA"/>
              </w:rPr>
              <w:t>1.2</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3018" w:type="dxa"/>
            <w:tcBorders>
              <w:top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方正仿宋_GBK" w:cs="Times New Roman"/>
                <w:kern w:val="0"/>
                <w:sz w:val="28"/>
                <w:szCs w:val="28"/>
                <w:highlight w:val="none"/>
                <w:lang w:val="en-US" w:eastAsia="zh-CN" w:bidi="ar-SA"/>
              </w:rPr>
            </w:pPr>
            <w:r>
              <w:rPr>
                <w:rFonts w:hint="eastAsia" w:ascii="Times New Roman" w:hAnsi="Times New Roman" w:eastAsia="方正仿宋_GBK" w:cs="Times New Roman"/>
                <w:kern w:val="0"/>
                <w:sz w:val="28"/>
                <w:szCs w:val="28"/>
                <w:highlight w:val="none"/>
                <w:lang w:val="en-US" w:eastAsia="zh-CN" w:bidi="ar-SA"/>
              </w:rPr>
              <w:t>平街2层</w:t>
            </w:r>
          </w:p>
        </w:tc>
        <w:tc>
          <w:tcPr>
            <w:tcW w:w="333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仿宋_GBK" w:cs="Times New Roman"/>
                <w:kern w:val="0"/>
                <w:sz w:val="28"/>
                <w:szCs w:val="28"/>
                <w:highlight w:val="none"/>
                <w:lang w:val="en-US" w:eastAsia="zh-CN" w:bidi="ar-SA"/>
              </w:rPr>
            </w:pPr>
            <w:r>
              <w:rPr>
                <w:rFonts w:hint="eastAsia" w:ascii="Times New Roman" w:hAnsi="Times New Roman" w:eastAsia="方正仿宋_GBK" w:cs="Times New Roman"/>
                <w:kern w:val="0"/>
                <w:sz w:val="28"/>
                <w:szCs w:val="28"/>
                <w:highlight w:val="none"/>
                <w:lang w:val="en-US" w:eastAsia="zh-CN" w:bidi="ar-SA"/>
              </w:rPr>
              <w:t>0.</w:t>
            </w:r>
            <w:r>
              <w:rPr>
                <w:rFonts w:hint="eastAsia" w:cs="Times New Roman"/>
                <w:kern w:val="0"/>
                <w:sz w:val="28"/>
                <w:szCs w:val="28"/>
                <w:highlight w:val="none"/>
                <w:lang w:val="en-US" w:eastAsia="zh-CN" w:bidi="ar-SA"/>
              </w:rPr>
              <w:t>85</w:t>
            </w:r>
          </w:p>
        </w:tc>
        <w:tc>
          <w:tcPr>
            <w:tcW w:w="3000" w:type="dxa"/>
            <w:tcBorders>
              <w:top w:val="single" w:color="000000" w:sz="4" w:space="0"/>
              <w:left w:val="single" w:color="000000" w:sz="4" w:space="0"/>
              <w:bottom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方正仿宋_GBK" w:cs="Times New Roman"/>
                <w:kern w:val="0"/>
                <w:sz w:val="28"/>
                <w:szCs w:val="28"/>
                <w:highlight w:val="none"/>
                <w:lang w:val="en-US" w:eastAsia="zh-CN" w:bidi="ar-SA"/>
              </w:rPr>
            </w:pPr>
            <w:r>
              <w:rPr>
                <w:rFonts w:hint="eastAsia" w:ascii="Times New Roman" w:hAnsi="Times New Roman" w:cs="Times New Roman"/>
                <w:kern w:val="0"/>
                <w:sz w:val="28"/>
                <w:szCs w:val="28"/>
                <w:highlight w:val="none"/>
                <w:lang w:val="en-US" w:eastAsia="zh-CN" w:bidi="ar-SA"/>
              </w:rPr>
              <w:t>1</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3018" w:type="dxa"/>
            <w:tcBorders>
              <w:top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方正仿宋_GBK" w:cs="Times New Roman"/>
                <w:kern w:val="0"/>
                <w:sz w:val="28"/>
                <w:szCs w:val="28"/>
                <w:highlight w:val="none"/>
                <w:lang w:val="en-US" w:eastAsia="zh-CN" w:bidi="ar-SA"/>
              </w:rPr>
            </w:pPr>
            <w:r>
              <w:rPr>
                <w:rFonts w:hint="eastAsia" w:ascii="Times New Roman" w:hAnsi="Times New Roman" w:eastAsia="方正仿宋_GBK" w:cs="Times New Roman"/>
                <w:kern w:val="0"/>
                <w:sz w:val="28"/>
                <w:szCs w:val="28"/>
                <w:highlight w:val="none"/>
                <w:lang w:val="en-US" w:eastAsia="zh-CN" w:bidi="ar-SA"/>
              </w:rPr>
              <w:t>平街3层及以上</w:t>
            </w:r>
          </w:p>
        </w:tc>
        <w:tc>
          <w:tcPr>
            <w:tcW w:w="333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方正仿宋_GBK" w:cs="Times New Roman"/>
                <w:kern w:val="0"/>
                <w:sz w:val="28"/>
                <w:szCs w:val="28"/>
                <w:highlight w:val="none"/>
                <w:lang w:val="en-US" w:eastAsia="zh-CN" w:bidi="ar-SA"/>
              </w:rPr>
            </w:pPr>
            <w:r>
              <w:rPr>
                <w:rFonts w:hint="eastAsia" w:ascii="Times New Roman" w:hAnsi="Times New Roman" w:eastAsia="方正仿宋_GBK" w:cs="Times New Roman"/>
                <w:kern w:val="0"/>
                <w:sz w:val="28"/>
                <w:szCs w:val="28"/>
                <w:highlight w:val="none"/>
                <w:lang w:val="en-US" w:eastAsia="zh-CN" w:bidi="ar-SA"/>
              </w:rPr>
              <w:t>0.</w:t>
            </w:r>
            <w:r>
              <w:rPr>
                <w:rFonts w:hint="eastAsia" w:cs="Times New Roman"/>
                <w:kern w:val="0"/>
                <w:sz w:val="28"/>
                <w:szCs w:val="28"/>
                <w:highlight w:val="none"/>
                <w:lang w:val="en-US" w:eastAsia="zh-CN" w:bidi="ar-SA"/>
              </w:rPr>
              <w:t>7</w:t>
            </w:r>
          </w:p>
        </w:tc>
        <w:tc>
          <w:tcPr>
            <w:tcW w:w="3000" w:type="dxa"/>
            <w:tcBorders>
              <w:top w:val="single" w:color="000000" w:sz="4" w:space="0"/>
              <w:left w:val="single" w:color="000000" w:sz="4" w:space="0"/>
              <w:bottom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方正仿宋_GBK" w:cs="Times New Roman"/>
                <w:kern w:val="0"/>
                <w:sz w:val="28"/>
                <w:szCs w:val="28"/>
                <w:highlight w:val="none"/>
                <w:lang w:val="en-US" w:eastAsia="zh-CN" w:bidi="ar-SA"/>
              </w:rPr>
            </w:pPr>
            <w:r>
              <w:rPr>
                <w:rFonts w:hint="eastAsia" w:ascii="Times New Roman" w:hAnsi="Times New Roman" w:cs="Times New Roman"/>
                <w:kern w:val="0"/>
                <w:sz w:val="28"/>
                <w:szCs w:val="28"/>
                <w:highlight w:val="none"/>
                <w:lang w:val="en-US" w:eastAsia="zh-CN" w:bidi="ar-SA"/>
              </w:rPr>
              <w:t>0.9</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3018" w:type="dxa"/>
            <w:tcBorders>
              <w:top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仿宋_GBK" w:cs="Times New Roman"/>
                <w:kern w:val="0"/>
                <w:sz w:val="28"/>
                <w:szCs w:val="28"/>
                <w:highlight w:val="none"/>
                <w:lang w:val="en-US" w:eastAsia="zh-CN" w:bidi="ar-SA"/>
              </w:rPr>
            </w:pPr>
            <w:r>
              <w:rPr>
                <w:rFonts w:hint="eastAsia" w:ascii="Times New Roman" w:hAnsi="Times New Roman" w:eastAsia="方正仿宋_GBK" w:cs="Times New Roman"/>
                <w:kern w:val="0"/>
                <w:sz w:val="28"/>
                <w:szCs w:val="28"/>
                <w:highlight w:val="none"/>
                <w:lang w:val="en-US" w:eastAsia="zh-CN" w:bidi="ar-SA"/>
              </w:rPr>
              <w:t>负1层及以下</w:t>
            </w:r>
          </w:p>
        </w:tc>
        <w:tc>
          <w:tcPr>
            <w:tcW w:w="3338" w:type="dxa"/>
            <w:tcBorders>
              <w:top w:val="single" w:color="000000" w:sz="4" w:space="0"/>
              <w:left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方正仿宋_GBK" w:cs="Times New Roman"/>
                <w:kern w:val="0"/>
                <w:sz w:val="28"/>
                <w:szCs w:val="28"/>
                <w:highlight w:val="none"/>
                <w:lang w:val="en-US" w:eastAsia="zh-CN" w:bidi="ar-SA"/>
              </w:rPr>
            </w:pPr>
            <w:r>
              <w:rPr>
                <w:rFonts w:hint="eastAsia" w:ascii="Times New Roman" w:hAnsi="Times New Roman" w:eastAsia="方正仿宋_GBK" w:cs="Times New Roman"/>
                <w:kern w:val="0"/>
                <w:sz w:val="28"/>
                <w:szCs w:val="28"/>
                <w:highlight w:val="none"/>
                <w:lang w:val="en-US" w:eastAsia="zh-CN" w:bidi="ar-SA"/>
              </w:rPr>
              <w:t>0.</w:t>
            </w:r>
            <w:r>
              <w:rPr>
                <w:rFonts w:hint="eastAsia" w:cs="Times New Roman"/>
                <w:kern w:val="0"/>
                <w:sz w:val="28"/>
                <w:szCs w:val="28"/>
                <w:highlight w:val="none"/>
                <w:lang w:val="en-US" w:eastAsia="zh-CN" w:bidi="ar-SA"/>
              </w:rPr>
              <w:t>5</w:t>
            </w:r>
            <w:r>
              <w:rPr>
                <w:rFonts w:hint="eastAsia" w:ascii="Times New Roman" w:hAnsi="Times New Roman" w:eastAsia="方正仿宋_GBK" w:cs="Times New Roman"/>
                <w:kern w:val="0"/>
                <w:sz w:val="28"/>
                <w:szCs w:val="28"/>
                <w:highlight w:val="none"/>
                <w:lang w:val="en-US" w:eastAsia="zh-CN" w:bidi="ar-SA"/>
              </w:rPr>
              <w:t>5</w:t>
            </w:r>
          </w:p>
        </w:tc>
        <w:tc>
          <w:tcPr>
            <w:tcW w:w="3000" w:type="dxa"/>
            <w:tcBorders>
              <w:top w:val="single" w:color="000000" w:sz="4" w:space="0"/>
              <w:lef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方正仿宋_GBK" w:cs="Times New Roman"/>
                <w:kern w:val="0"/>
                <w:sz w:val="28"/>
                <w:szCs w:val="28"/>
                <w:highlight w:val="none"/>
                <w:lang w:val="en-US" w:eastAsia="zh-CN" w:bidi="ar-SA"/>
              </w:rPr>
            </w:pPr>
            <w:r>
              <w:rPr>
                <w:rFonts w:hint="eastAsia" w:ascii="Times New Roman" w:hAnsi="Times New Roman" w:eastAsia="方正仿宋_GBK" w:cs="Times New Roman"/>
                <w:kern w:val="0"/>
                <w:sz w:val="28"/>
                <w:szCs w:val="28"/>
                <w:highlight w:val="none"/>
                <w:lang w:val="en-US" w:eastAsia="zh-CN" w:bidi="ar-SA"/>
              </w:rPr>
              <w:t>0.</w:t>
            </w:r>
            <w:r>
              <w:rPr>
                <w:rFonts w:hint="eastAsia" w:cs="Times New Roman"/>
                <w:kern w:val="0"/>
                <w:sz w:val="28"/>
                <w:szCs w:val="28"/>
                <w:highlight w:val="none"/>
                <w:lang w:val="en-US" w:eastAsia="zh-CN" w:bidi="ar-SA"/>
              </w:rPr>
              <w:t>8</w:t>
            </w:r>
          </w:p>
        </w:tc>
      </w:tr>
    </w:tbl>
    <w:p>
      <w:pPr>
        <w:keepNext w:val="0"/>
        <w:keepLines w:val="0"/>
        <w:pageBreakBefore w:val="0"/>
        <w:widowControl w:val="0"/>
        <w:kinsoku/>
        <w:wordWrap/>
        <w:overflowPunct/>
        <w:topLinePunct w:val="0"/>
        <w:autoSpaceDE/>
        <w:autoSpaceDN/>
        <w:bidi w:val="0"/>
        <w:adjustRightInd/>
        <w:spacing w:line="560" w:lineRule="exact"/>
        <w:ind w:firstLine="420" w:firstLineChars="200"/>
        <w:textAlignment w:val="auto"/>
        <w:rPr>
          <w:rFonts w:hint="default"/>
          <w:szCs w:val="32"/>
          <w:highlight w:val="none"/>
          <w:lang w:val="en-US" w:eastAsia="zh-CN"/>
        </w:rPr>
      </w:pPr>
      <w:r>
        <w:rPr>
          <w:rFonts w:hint="eastAsia"/>
          <w:szCs w:val="32"/>
          <w:highlight w:val="none"/>
          <w:lang w:val="en-US" w:eastAsia="zh-CN"/>
        </w:rPr>
        <w:t>续期宗地位于不同楼层时，根据各楼层建筑面积比例确定楼层修正系数。工业仓储用地不进行楼层修正。</w:t>
      </w:r>
    </w:p>
    <w:p>
      <w:pPr>
        <w:keepNext w:val="0"/>
        <w:keepLines w:val="0"/>
        <w:pageBreakBefore w:val="0"/>
        <w:widowControl w:val="0"/>
        <w:kinsoku/>
        <w:wordWrap/>
        <w:overflowPunct/>
        <w:topLinePunct w:val="0"/>
        <w:autoSpaceDE/>
        <w:autoSpaceDN/>
        <w:bidi w:val="0"/>
        <w:adjustRightInd/>
        <w:snapToGrid w:val="0"/>
        <w:spacing w:line="540" w:lineRule="exact"/>
        <w:ind w:firstLine="420" w:firstLineChars="200"/>
        <w:textAlignment w:val="auto"/>
        <w:rPr>
          <w:highlight w:val="none"/>
        </w:rPr>
      </w:pPr>
      <w:r>
        <w:rPr>
          <w:rFonts w:hint="eastAsia"/>
          <w:szCs w:val="32"/>
          <w:highlight w:val="none"/>
          <w:lang w:val="en-US" w:eastAsia="zh-CN"/>
        </w:rPr>
        <w:t>2.</w:t>
      </w:r>
      <w:r>
        <w:rPr>
          <w:rFonts w:hint="eastAsia"/>
          <w:highlight w:val="none"/>
          <w:lang w:val="en-US" w:eastAsia="zh-CN"/>
        </w:rPr>
        <w:t>临街道路类型</w:t>
      </w:r>
      <w:r>
        <w:rPr>
          <w:highlight w:val="none"/>
        </w:rPr>
        <w:t>修正系数的确定</w:t>
      </w:r>
      <w:r>
        <w:rPr>
          <w:rFonts w:hint="eastAsia"/>
          <w:highlight w:val="none"/>
        </w:rPr>
        <w:t>。</w:t>
      </w:r>
    </w:p>
    <w:p>
      <w:pPr>
        <w:keepNext w:val="0"/>
        <w:keepLines w:val="0"/>
        <w:pageBreakBefore w:val="0"/>
        <w:widowControl w:val="0"/>
        <w:kinsoku/>
        <w:wordWrap/>
        <w:overflowPunct/>
        <w:topLinePunct w:val="0"/>
        <w:autoSpaceDE/>
        <w:autoSpaceDN/>
        <w:bidi w:val="0"/>
        <w:adjustRightInd/>
        <w:spacing w:line="560" w:lineRule="exact"/>
        <w:ind w:firstLine="420" w:firstLineChars="200"/>
        <w:textAlignment w:val="auto"/>
        <w:rPr>
          <w:highlight w:val="none"/>
        </w:rPr>
      </w:pPr>
      <w:r>
        <w:rPr>
          <w:rFonts w:hint="eastAsia"/>
          <w:highlight w:val="none"/>
          <w:lang w:val="en-US" w:eastAsia="zh-CN"/>
        </w:rPr>
        <w:t>续期宗地临街道路类型</w:t>
      </w:r>
      <w:r>
        <w:rPr>
          <w:highlight w:val="none"/>
        </w:rPr>
        <w:t>需要进行修正的，按照《</w:t>
      </w:r>
      <w:r>
        <w:rPr>
          <w:rFonts w:hint="eastAsia"/>
          <w:highlight w:val="none"/>
          <w:lang w:val="en-US" w:eastAsia="zh-CN"/>
        </w:rPr>
        <w:t>临街道路类型</w:t>
      </w:r>
      <w:r>
        <w:rPr>
          <w:highlight w:val="none"/>
        </w:rPr>
        <w:t>修正系数表》确定</w:t>
      </w:r>
      <w:r>
        <w:rPr>
          <w:rFonts w:hint="eastAsia"/>
          <w:highlight w:val="none"/>
          <w:lang w:val="en-US" w:eastAsia="zh-CN"/>
        </w:rPr>
        <w:t>临街道路类型</w:t>
      </w:r>
      <w:r>
        <w:rPr>
          <w:highlight w:val="none"/>
        </w:rPr>
        <w:t>修正系数。</w:t>
      </w:r>
    </w:p>
    <w:p>
      <w:pPr>
        <w:spacing w:line="560" w:lineRule="exact"/>
        <w:ind w:firstLine="560"/>
        <w:jc w:val="center"/>
        <w:rPr>
          <w:rFonts w:hint="eastAsia" w:ascii="黑体" w:hAnsi="黑体" w:eastAsia="黑体" w:cs="黑体"/>
          <w:b w:val="0"/>
          <w:bCs/>
          <w:szCs w:val="32"/>
          <w:highlight w:val="none"/>
          <w:lang w:val="en-US" w:eastAsia="zh-CN"/>
        </w:rPr>
      </w:pPr>
      <w:r>
        <w:rPr>
          <w:rFonts w:hint="eastAsia" w:ascii="黑体" w:hAnsi="黑体" w:eastAsia="黑体" w:cs="黑体"/>
          <w:b w:val="0"/>
          <w:bCs/>
          <w:szCs w:val="32"/>
          <w:highlight w:val="none"/>
          <w:lang w:val="en-US" w:eastAsia="zh-CN"/>
        </w:rPr>
        <w:t>临街道路类型修正系数表</w:t>
      </w:r>
    </w:p>
    <w:tbl>
      <w:tblPr>
        <w:tblStyle w:val="8"/>
        <w:tblW w:w="9832"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3184"/>
        <w:gridCol w:w="2025"/>
        <w:gridCol w:w="1635"/>
        <w:gridCol w:w="2988"/>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417" w:hRule="atLeast"/>
          <w:tblHeader/>
          <w:jc w:val="center"/>
        </w:trPr>
        <w:tc>
          <w:tcPr>
            <w:tcW w:w="3184" w:type="dxa"/>
            <w:vMerge w:val="restart"/>
            <w:tcBorders>
              <w:right w:val="single" w:color="000000" w:sz="4" w:space="0"/>
            </w:tcBorders>
            <w:noWrap/>
            <w:vAlign w:val="center"/>
          </w:tcPr>
          <w:p>
            <w:pPr>
              <w:keepNext w:val="0"/>
              <w:keepLines w:val="0"/>
              <w:widowControl/>
              <w:suppressLineNumbers w:val="0"/>
              <w:jc w:val="center"/>
              <w:textAlignment w:val="center"/>
              <w:rPr>
                <w:rFonts w:hint="default" w:ascii="黑体" w:hAnsi="黑体" w:eastAsia="黑体" w:cs="黑体"/>
                <w:kern w:val="0"/>
                <w:sz w:val="28"/>
                <w:szCs w:val="28"/>
                <w:highlight w:val="none"/>
                <w:lang w:val="en-US" w:eastAsia="zh-CN" w:bidi="ar-SA"/>
              </w:rPr>
            </w:pPr>
            <w:r>
              <w:rPr>
                <w:rFonts w:hint="eastAsia" w:ascii="黑体" w:hAnsi="黑体" w:eastAsia="黑体" w:cs="黑体"/>
                <w:kern w:val="0"/>
                <w:sz w:val="28"/>
                <w:szCs w:val="28"/>
                <w:highlight w:val="none"/>
                <w:lang w:val="en-US" w:eastAsia="zh-CN" w:bidi="ar-SA"/>
              </w:rPr>
              <w:t>所在道路名称</w:t>
            </w:r>
          </w:p>
        </w:tc>
        <w:tc>
          <w:tcPr>
            <w:tcW w:w="2025" w:type="dxa"/>
            <w:vMerge w:val="restart"/>
            <w:tcBorders>
              <w:right w:val="single" w:color="000000" w:sz="4" w:space="0"/>
            </w:tcBorders>
            <w:noWrap/>
            <w:vAlign w:val="center"/>
          </w:tcPr>
          <w:p>
            <w:pPr>
              <w:keepNext w:val="0"/>
              <w:keepLines w:val="0"/>
              <w:widowControl/>
              <w:suppressLineNumbers w:val="0"/>
              <w:jc w:val="center"/>
              <w:textAlignment w:val="center"/>
              <w:rPr>
                <w:rFonts w:hint="eastAsia" w:ascii="黑体" w:hAnsi="黑体" w:eastAsia="黑体" w:cs="黑体"/>
                <w:kern w:val="0"/>
                <w:sz w:val="28"/>
                <w:szCs w:val="28"/>
                <w:highlight w:val="none"/>
                <w:lang w:val="en-US" w:eastAsia="zh-CN" w:bidi="ar-SA"/>
              </w:rPr>
            </w:pPr>
            <w:r>
              <w:rPr>
                <w:rFonts w:hint="eastAsia" w:ascii="黑体" w:hAnsi="黑体" w:eastAsia="黑体" w:cs="黑体"/>
                <w:kern w:val="0"/>
                <w:sz w:val="28"/>
                <w:szCs w:val="28"/>
                <w:highlight w:val="none"/>
                <w:lang w:val="en-US" w:eastAsia="zh-CN" w:bidi="ar-SA"/>
              </w:rPr>
              <w:t>临街道路等级</w:t>
            </w:r>
          </w:p>
        </w:tc>
        <w:tc>
          <w:tcPr>
            <w:tcW w:w="4623" w:type="dxa"/>
            <w:gridSpan w:val="2"/>
            <w:tcBorders>
              <w:left w:val="single" w:color="000000" w:sz="4" w:space="0"/>
              <w:bottom w:val="single" w:color="000000" w:sz="4" w:space="0"/>
            </w:tcBorders>
            <w:noWrap/>
            <w:vAlign w:val="center"/>
          </w:tcPr>
          <w:p>
            <w:pPr>
              <w:keepNext w:val="0"/>
              <w:keepLines w:val="0"/>
              <w:widowControl/>
              <w:suppressLineNumbers w:val="0"/>
              <w:jc w:val="center"/>
              <w:textAlignment w:val="center"/>
              <w:rPr>
                <w:rFonts w:hint="eastAsia" w:ascii="黑体" w:hAnsi="黑体" w:eastAsia="黑体" w:cs="黑体"/>
                <w:kern w:val="0"/>
                <w:sz w:val="28"/>
                <w:szCs w:val="28"/>
                <w:highlight w:val="none"/>
                <w:lang w:val="en-US" w:eastAsia="zh-CN" w:bidi="ar-SA"/>
              </w:rPr>
            </w:pPr>
            <w:r>
              <w:rPr>
                <w:rFonts w:hint="eastAsia" w:ascii="黑体" w:hAnsi="黑体" w:eastAsia="黑体" w:cs="黑体"/>
                <w:kern w:val="0"/>
                <w:sz w:val="28"/>
                <w:szCs w:val="28"/>
                <w:highlight w:val="none"/>
                <w:lang w:val="en-US" w:eastAsia="zh-CN" w:bidi="ar-SA"/>
              </w:rPr>
              <w:t>修正系数</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270" w:hRule="atLeast"/>
          <w:tblHeader/>
          <w:jc w:val="center"/>
        </w:trPr>
        <w:tc>
          <w:tcPr>
            <w:tcW w:w="3184" w:type="dxa"/>
            <w:vMerge w:val="continue"/>
            <w:tcBorders>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黑体" w:hAnsi="黑体" w:eastAsia="黑体" w:cs="黑体"/>
                <w:kern w:val="0"/>
                <w:sz w:val="28"/>
                <w:szCs w:val="28"/>
                <w:highlight w:val="none"/>
                <w:lang w:val="en-US" w:eastAsia="zh-CN" w:bidi="ar-SA"/>
              </w:rPr>
            </w:pPr>
          </w:p>
        </w:tc>
        <w:tc>
          <w:tcPr>
            <w:tcW w:w="2025" w:type="dxa"/>
            <w:vMerge w:val="continue"/>
            <w:tcBorders>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黑体" w:hAnsi="黑体" w:eastAsia="黑体" w:cs="黑体"/>
                <w:kern w:val="0"/>
                <w:sz w:val="28"/>
                <w:szCs w:val="28"/>
                <w:highlight w:val="none"/>
                <w:lang w:val="en-US" w:eastAsia="zh-CN" w:bidi="ar-SA"/>
              </w:rPr>
            </w:pPr>
          </w:p>
        </w:tc>
        <w:tc>
          <w:tcPr>
            <w:tcW w:w="16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黑体" w:hAnsi="黑体" w:eastAsia="黑体" w:cs="黑体"/>
                <w:kern w:val="0"/>
                <w:sz w:val="28"/>
                <w:szCs w:val="28"/>
                <w:highlight w:val="none"/>
                <w:lang w:val="en-US" w:eastAsia="zh-CN" w:bidi="ar-SA"/>
              </w:rPr>
            </w:pPr>
            <w:r>
              <w:rPr>
                <w:rFonts w:hint="eastAsia" w:ascii="黑体" w:hAnsi="黑体" w:eastAsia="黑体" w:cs="黑体"/>
                <w:kern w:val="0"/>
                <w:sz w:val="28"/>
                <w:szCs w:val="28"/>
                <w:highlight w:val="none"/>
                <w:lang w:val="en-US" w:eastAsia="zh-CN" w:bidi="ar-SA"/>
              </w:rPr>
              <w:t>商服</w:t>
            </w:r>
          </w:p>
        </w:tc>
        <w:tc>
          <w:tcPr>
            <w:tcW w:w="2988" w:type="dxa"/>
            <w:tcBorders>
              <w:top w:val="single" w:color="000000" w:sz="4" w:space="0"/>
              <w:left w:val="single" w:color="000000" w:sz="4" w:space="0"/>
              <w:bottom w:val="single" w:color="000000" w:sz="4" w:space="0"/>
            </w:tcBorders>
            <w:noWrap/>
            <w:vAlign w:val="center"/>
          </w:tcPr>
          <w:p>
            <w:pPr>
              <w:keepNext w:val="0"/>
              <w:keepLines w:val="0"/>
              <w:widowControl/>
              <w:suppressLineNumbers w:val="0"/>
              <w:jc w:val="center"/>
              <w:textAlignment w:val="center"/>
              <w:rPr>
                <w:rFonts w:hint="eastAsia" w:ascii="黑体" w:hAnsi="黑体" w:eastAsia="黑体" w:cs="黑体"/>
                <w:kern w:val="0"/>
                <w:sz w:val="28"/>
                <w:szCs w:val="28"/>
                <w:highlight w:val="none"/>
                <w:lang w:val="en-US" w:eastAsia="zh-CN" w:bidi="ar-SA"/>
              </w:rPr>
            </w:pPr>
            <w:r>
              <w:rPr>
                <w:rFonts w:hint="eastAsia" w:ascii="黑体" w:hAnsi="黑体" w:eastAsia="黑体" w:cs="黑体"/>
                <w:kern w:val="0"/>
                <w:sz w:val="28"/>
                <w:szCs w:val="28"/>
                <w:highlight w:val="none"/>
                <w:lang w:val="en-US" w:eastAsia="zh-CN" w:bidi="ar-SA"/>
              </w:rPr>
              <w:t>公共管理与公共服务</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270" w:hRule="atLeast"/>
          <w:jc w:val="center"/>
        </w:trPr>
        <w:tc>
          <w:tcPr>
            <w:tcW w:w="3184" w:type="dxa"/>
            <w:tcBorders>
              <w:top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cs="Times New Roman"/>
                <w:kern w:val="0"/>
                <w:sz w:val="28"/>
                <w:szCs w:val="28"/>
                <w:highlight w:val="none"/>
                <w:lang w:val="en-US" w:eastAsia="zh-CN" w:bidi="ar-SA"/>
              </w:rPr>
            </w:pPr>
            <w:r>
              <w:rPr>
                <w:rFonts w:hint="eastAsia" w:cs="Times New Roman"/>
                <w:kern w:val="0"/>
                <w:sz w:val="28"/>
                <w:szCs w:val="28"/>
                <w:highlight w:val="none"/>
                <w:lang w:val="en-US" w:eastAsia="zh-CN" w:bidi="ar-SA"/>
              </w:rPr>
              <w:t>九龙大道</w:t>
            </w:r>
          </w:p>
        </w:tc>
        <w:tc>
          <w:tcPr>
            <w:tcW w:w="2025" w:type="dxa"/>
            <w:tcBorders>
              <w:top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仿宋_GBK" w:cs="Times New Roman"/>
                <w:kern w:val="0"/>
                <w:sz w:val="28"/>
                <w:szCs w:val="28"/>
                <w:highlight w:val="none"/>
                <w:lang w:val="en-US" w:eastAsia="zh-CN" w:bidi="ar-SA"/>
              </w:rPr>
            </w:pPr>
            <w:r>
              <w:rPr>
                <w:rFonts w:hint="eastAsia" w:cs="Times New Roman"/>
                <w:kern w:val="0"/>
                <w:sz w:val="28"/>
                <w:szCs w:val="28"/>
                <w:highlight w:val="none"/>
                <w:lang w:val="en-US" w:eastAsia="zh-CN" w:bidi="ar-SA"/>
              </w:rPr>
              <w:t>I级</w:t>
            </w:r>
          </w:p>
        </w:tc>
        <w:tc>
          <w:tcPr>
            <w:tcW w:w="16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方正仿宋_GBK" w:cs="Times New Roman"/>
                <w:kern w:val="0"/>
                <w:sz w:val="28"/>
                <w:szCs w:val="28"/>
                <w:highlight w:val="none"/>
                <w:lang w:val="en-US" w:eastAsia="zh-CN" w:bidi="ar-SA"/>
              </w:rPr>
            </w:pPr>
            <w:r>
              <w:rPr>
                <w:rFonts w:hint="eastAsia" w:ascii="Times New Roman" w:hAnsi="Times New Roman" w:eastAsia="方正仿宋_GBK" w:cs="Times New Roman"/>
                <w:kern w:val="0"/>
                <w:sz w:val="28"/>
                <w:szCs w:val="28"/>
                <w:highlight w:val="none"/>
                <w:lang w:val="en-US" w:eastAsia="zh-CN" w:bidi="ar-SA"/>
              </w:rPr>
              <w:t>1</w:t>
            </w:r>
          </w:p>
        </w:tc>
        <w:tc>
          <w:tcPr>
            <w:tcW w:w="2988" w:type="dxa"/>
            <w:tcBorders>
              <w:top w:val="single" w:color="000000" w:sz="4" w:space="0"/>
              <w:left w:val="single" w:color="000000" w:sz="4" w:space="0"/>
              <w:bottom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方正仿宋_GBK" w:cs="Times New Roman"/>
                <w:kern w:val="0"/>
                <w:sz w:val="28"/>
                <w:szCs w:val="28"/>
                <w:highlight w:val="none"/>
                <w:lang w:val="en-US" w:eastAsia="zh-CN" w:bidi="ar-SA"/>
              </w:rPr>
            </w:pPr>
            <w:r>
              <w:rPr>
                <w:rFonts w:hint="eastAsia" w:ascii="Times New Roman" w:hAnsi="Times New Roman" w:eastAsia="方正仿宋_GBK" w:cs="Times New Roman"/>
                <w:kern w:val="0"/>
                <w:sz w:val="28"/>
                <w:szCs w:val="28"/>
                <w:highlight w:val="none"/>
                <w:lang w:val="en-US" w:eastAsia="zh-CN" w:bidi="ar-SA"/>
              </w:rPr>
              <w:t>1</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90" w:hRule="atLeast"/>
          <w:jc w:val="center"/>
        </w:trPr>
        <w:tc>
          <w:tcPr>
            <w:tcW w:w="3184" w:type="dxa"/>
            <w:tcBorders>
              <w:top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cs="Times New Roman"/>
                <w:kern w:val="0"/>
                <w:sz w:val="28"/>
                <w:szCs w:val="28"/>
                <w:highlight w:val="none"/>
                <w:lang w:val="en-US" w:eastAsia="zh-CN" w:bidi="ar-SA"/>
              </w:rPr>
            </w:pPr>
            <w:r>
              <w:rPr>
                <w:rFonts w:hint="eastAsia" w:cs="Times New Roman"/>
                <w:kern w:val="0"/>
                <w:sz w:val="28"/>
                <w:szCs w:val="28"/>
                <w:highlight w:val="none"/>
                <w:lang w:val="en-US" w:eastAsia="zh-CN" w:bidi="ar-SA"/>
              </w:rPr>
              <w:t>九龙大道与健康路之间的连接道路、大石路、团山巷、白龙街、青龙街、五桥路</w:t>
            </w:r>
          </w:p>
        </w:tc>
        <w:tc>
          <w:tcPr>
            <w:tcW w:w="2025" w:type="dxa"/>
            <w:tcBorders>
              <w:top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仿宋_GBK" w:cs="Times New Roman"/>
                <w:kern w:val="0"/>
                <w:sz w:val="28"/>
                <w:szCs w:val="28"/>
                <w:highlight w:val="none"/>
                <w:lang w:val="en-US" w:eastAsia="zh-CN" w:bidi="ar-SA"/>
              </w:rPr>
            </w:pPr>
            <w:r>
              <w:rPr>
                <w:rFonts w:hint="eastAsia" w:cs="Times New Roman"/>
                <w:kern w:val="0"/>
                <w:sz w:val="28"/>
                <w:szCs w:val="28"/>
                <w:highlight w:val="none"/>
                <w:lang w:val="en-US" w:eastAsia="zh-CN" w:bidi="ar-SA"/>
              </w:rPr>
              <w:t>Ⅱ级</w:t>
            </w:r>
          </w:p>
        </w:tc>
        <w:tc>
          <w:tcPr>
            <w:tcW w:w="16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方正仿宋_GBK" w:cs="Times New Roman"/>
                <w:kern w:val="0"/>
                <w:sz w:val="28"/>
                <w:szCs w:val="28"/>
                <w:highlight w:val="none"/>
                <w:lang w:val="en-US" w:eastAsia="zh-CN" w:bidi="ar-SA"/>
              </w:rPr>
            </w:pPr>
            <w:r>
              <w:rPr>
                <w:rFonts w:hint="eastAsia" w:ascii="Times New Roman" w:hAnsi="Times New Roman" w:eastAsia="方正仿宋_GBK" w:cs="Times New Roman"/>
                <w:kern w:val="0"/>
                <w:sz w:val="28"/>
                <w:szCs w:val="28"/>
                <w:highlight w:val="none"/>
                <w:lang w:val="en-US" w:eastAsia="zh-CN" w:bidi="ar-SA"/>
              </w:rPr>
              <w:t>0.75</w:t>
            </w:r>
          </w:p>
        </w:tc>
        <w:tc>
          <w:tcPr>
            <w:tcW w:w="2988" w:type="dxa"/>
            <w:tcBorders>
              <w:top w:val="single" w:color="000000" w:sz="4" w:space="0"/>
              <w:left w:val="single" w:color="000000" w:sz="4" w:space="0"/>
              <w:bottom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方正仿宋_GBK" w:cs="Times New Roman"/>
                <w:kern w:val="0"/>
                <w:sz w:val="28"/>
                <w:szCs w:val="28"/>
                <w:highlight w:val="none"/>
                <w:lang w:val="en-US" w:eastAsia="zh-CN" w:bidi="ar-SA"/>
              </w:rPr>
            </w:pPr>
            <w:r>
              <w:rPr>
                <w:rFonts w:hint="eastAsia" w:ascii="Times New Roman" w:hAnsi="Times New Roman" w:eastAsia="方正仿宋_GBK" w:cs="Times New Roman"/>
                <w:kern w:val="0"/>
                <w:sz w:val="28"/>
                <w:szCs w:val="28"/>
                <w:highlight w:val="none"/>
                <w:lang w:val="en-US" w:eastAsia="zh-CN" w:bidi="ar-SA"/>
              </w:rPr>
              <w:t>0.85</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1130" w:hRule="atLeast"/>
          <w:jc w:val="center"/>
        </w:trPr>
        <w:tc>
          <w:tcPr>
            <w:tcW w:w="3184" w:type="dxa"/>
            <w:tcBorders>
              <w:top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cs="Times New Roman"/>
                <w:kern w:val="0"/>
                <w:sz w:val="28"/>
                <w:szCs w:val="28"/>
                <w:highlight w:val="none"/>
                <w:lang w:val="en-US" w:eastAsia="zh-CN" w:bidi="ar-SA"/>
              </w:rPr>
            </w:pPr>
            <w:r>
              <w:rPr>
                <w:rFonts w:hint="eastAsia" w:cs="Times New Roman"/>
                <w:kern w:val="0"/>
                <w:sz w:val="28"/>
                <w:szCs w:val="28"/>
                <w:highlight w:val="none"/>
                <w:lang w:val="en-US" w:eastAsia="zh-CN" w:bidi="ar-SA"/>
              </w:rPr>
              <w:t>健康路、白营街、大石路支路（</w:t>
            </w:r>
            <w:r>
              <w:rPr>
                <w:rFonts w:hint="eastAsia" w:cs="Times New Roman"/>
                <w:color w:val="auto"/>
                <w:kern w:val="0"/>
                <w:sz w:val="28"/>
                <w:szCs w:val="28"/>
                <w:highlight w:val="none"/>
                <w:lang w:val="en-US" w:eastAsia="zh-CN" w:bidi="ar-SA"/>
              </w:rPr>
              <w:t>大石路45号附6-11号、大田湾街9号附16-46号</w:t>
            </w:r>
            <w:r>
              <w:rPr>
                <w:rFonts w:hint="eastAsia" w:cs="Times New Roman"/>
                <w:kern w:val="0"/>
                <w:sz w:val="28"/>
                <w:szCs w:val="28"/>
                <w:highlight w:val="none"/>
                <w:lang w:val="en-US" w:eastAsia="zh-CN" w:bidi="ar-SA"/>
              </w:rPr>
              <w:t>）、花果巷、五福路、长青路、连接大田湾街与白营街的支路</w:t>
            </w:r>
            <w:r>
              <w:rPr>
                <w:rFonts w:hint="eastAsia" w:cs="Times New Roman"/>
                <w:color w:val="auto"/>
                <w:kern w:val="0"/>
                <w:sz w:val="28"/>
                <w:szCs w:val="28"/>
                <w:highlight w:val="none"/>
                <w:lang w:val="en-US" w:eastAsia="zh-CN" w:bidi="ar-SA"/>
              </w:rPr>
              <w:t>（大田湾街19号附1-33号、附2-14号、附48-56号）</w:t>
            </w:r>
            <w:r>
              <w:rPr>
                <w:rFonts w:hint="eastAsia" w:cs="Times New Roman"/>
                <w:kern w:val="0"/>
                <w:sz w:val="28"/>
                <w:szCs w:val="28"/>
                <w:highlight w:val="none"/>
                <w:lang w:val="en-US" w:eastAsia="zh-CN" w:bidi="ar-SA"/>
              </w:rPr>
              <w:t>、大田湾街</w:t>
            </w:r>
          </w:p>
        </w:tc>
        <w:tc>
          <w:tcPr>
            <w:tcW w:w="2025" w:type="dxa"/>
            <w:tcBorders>
              <w:top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仿宋_GBK" w:cs="Times New Roman"/>
                <w:kern w:val="0"/>
                <w:sz w:val="28"/>
                <w:szCs w:val="28"/>
                <w:highlight w:val="none"/>
                <w:lang w:val="en-US" w:eastAsia="zh-CN" w:bidi="ar-SA"/>
              </w:rPr>
            </w:pPr>
            <w:r>
              <w:rPr>
                <w:rFonts w:hint="eastAsia" w:cs="Times New Roman"/>
                <w:kern w:val="0"/>
                <w:sz w:val="28"/>
                <w:szCs w:val="28"/>
                <w:highlight w:val="none"/>
                <w:lang w:val="en-US" w:eastAsia="zh-CN" w:bidi="ar-SA"/>
              </w:rPr>
              <w:t>Ⅲ级</w:t>
            </w:r>
          </w:p>
        </w:tc>
        <w:tc>
          <w:tcPr>
            <w:tcW w:w="16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仿宋_GBK" w:cs="Times New Roman"/>
                <w:kern w:val="0"/>
                <w:sz w:val="28"/>
                <w:szCs w:val="28"/>
                <w:highlight w:val="none"/>
                <w:lang w:val="en-US" w:eastAsia="zh-CN" w:bidi="ar-SA"/>
              </w:rPr>
            </w:pPr>
            <w:r>
              <w:rPr>
                <w:rFonts w:hint="eastAsia" w:ascii="Times New Roman" w:hAnsi="Times New Roman" w:eastAsia="方正仿宋_GBK" w:cs="Times New Roman"/>
                <w:kern w:val="0"/>
                <w:sz w:val="28"/>
                <w:szCs w:val="28"/>
                <w:highlight w:val="none"/>
                <w:lang w:val="en-US" w:eastAsia="zh-CN" w:bidi="ar-SA"/>
              </w:rPr>
              <w:t>0.</w:t>
            </w:r>
            <w:r>
              <w:rPr>
                <w:rFonts w:hint="eastAsia" w:cs="Times New Roman"/>
                <w:kern w:val="0"/>
                <w:sz w:val="28"/>
                <w:szCs w:val="28"/>
                <w:highlight w:val="none"/>
                <w:lang w:val="en-US" w:eastAsia="zh-CN" w:bidi="ar-SA"/>
              </w:rPr>
              <w:t>65</w:t>
            </w:r>
          </w:p>
        </w:tc>
        <w:tc>
          <w:tcPr>
            <w:tcW w:w="2988" w:type="dxa"/>
            <w:tcBorders>
              <w:top w:val="single" w:color="000000" w:sz="4" w:space="0"/>
              <w:left w:val="single" w:color="000000" w:sz="4" w:space="0"/>
              <w:bottom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方正仿宋_GBK" w:cs="Times New Roman"/>
                <w:kern w:val="0"/>
                <w:sz w:val="28"/>
                <w:szCs w:val="28"/>
                <w:highlight w:val="none"/>
                <w:lang w:val="en-US" w:eastAsia="zh-CN" w:bidi="ar-SA"/>
              </w:rPr>
            </w:pPr>
            <w:r>
              <w:rPr>
                <w:rFonts w:hint="eastAsia" w:ascii="Times New Roman" w:hAnsi="Times New Roman" w:eastAsia="方正仿宋_GBK" w:cs="Times New Roman"/>
                <w:kern w:val="0"/>
                <w:sz w:val="28"/>
                <w:szCs w:val="28"/>
                <w:highlight w:val="none"/>
                <w:lang w:val="en-US" w:eastAsia="zh-CN" w:bidi="ar-SA"/>
              </w:rPr>
              <w:t>0.7</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270" w:hRule="atLeast"/>
          <w:jc w:val="center"/>
        </w:trPr>
        <w:tc>
          <w:tcPr>
            <w:tcW w:w="3184" w:type="dxa"/>
            <w:tcBorders>
              <w:top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cs="Times New Roman"/>
                <w:kern w:val="0"/>
                <w:sz w:val="28"/>
                <w:szCs w:val="28"/>
                <w:highlight w:val="none"/>
                <w:lang w:val="en-US" w:eastAsia="zh-CN" w:bidi="ar-SA"/>
              </w:rPr>
            </w:pPr>
            <w:r>
              <w:rPr>
                <w:rFonts w:hint="eastAsia" w:cs="Times New Roman"/>
                <w:kern w:val="0"/>
                <w:sz w:val="28"/>
                <w:szCs w:val="28"/>
                <w:highlight w:val="none"/>
                <w:lang w:val="en-US" w:eastAsia="zh-CN" w:bidi="ar-SA"/>
              </w:rPr>
              <w:t>白龙街与大田湾街之间的支路</w:t>
            </w:r>
            <w:r>
              <w:rPr>
                <w:rFonts w:hint="eastAsia" w:cs="Times New Roman"/>
                <w:color w:val="auto"/>
                <w:kern w:val="0"/>
                <w:sz w:val="28"/>
                <w:szCs w:val="28"/>
                <w:highlight w:val="none"/>
                <w:lang w:val="en-US" w:eastAsia="zh-CN" w:bidi="ar-SA"/>
              </w:rPr>
              <w:t>（大田湾街20号）、</w:t>
            </w:r>
            <w:r>
              <w:rPr>
                <w:rFonts w:hint="eastAsia" w:cs="Times New Roman"/>
                <w:kern w:val="0"/>
                <w:sz w:val="28"/>
                <w:szCs w:val="28"/>
                <w:highlight w:val="none"/>
                <w:lang w:val="en-US" w:eastAsia="zh-CN" w:bidi="ar-SA"/>
              </w:rPr>
              <w:t>大田湾街与白营街之间巷道</w:t>
            </w:r>
          </w:p>
        </w:tc>
        <w:tc>
          <w:tcPr>
            <w:tcW w:w="2025" w:type="dxa"/>
            <w:tcBorders>
              <w:top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仿宋_GBK" w:cs="Times New Roman"/>
                <w:kern w:val="0"/>
                <w:sz w:val="28"/>
                <w:szCs w:val="28"/>
                <w:highlight w:val="none"/>
                <w:lang w:val="en-US" w:eastAsia="zh-CN" w:bidi="ar-SA"/>
              </w:rPr>
            </w:pPr>
            <w:r>
              <w:rPr>
                <w:rFonts w:hint="eastAsia" w:cs="Times New Roman"/>
                <w:kern w:val="0"/>
                <w:sz w:val="28"/>
                <w:szCs w:val="28"/>
                <w:highlight w:val="none"/>
                <w:lang w:val="en-US" w:eastAsia="zh-CN" w:bidi="ar-SA"/>
              </w:rPr>
              <w:t>Ⅳ级</w:t>
            </w:r>
          </w:p>
        </w:tc>
        <w:tc>
          <w:tcPr>
            <w:tcW w:w="16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仿宋_GBK" w:cs="Times New Roman"/>
                <w:kern w:val="0"/>
                <w:sz w:val="28"/>
                <w:szCs w:val="28"/>
                <w:highlight w:val="none"/>
                <w:lang w:val="en-US" w:eastAsia="zh-CN" w:bidi="ar-SA"/>
              </w:rPr>
            </w:pPr>
            <w:r>
              <w:rPr>
                <w:rFonts w:hint="eastAsia" w:ascii="Times New Roman" w:hAnsi="Times New Roman" w:eastAsia="方正仿宋_GBK" w:cs="Times New Roman"/>
                <w:kern w:val="0"/>
                <w:sz w:val="28"/>
                <w:szCs w:val="28"/>
                <w:highlight w:val="none"/>
                <w:lang w:val="en-US" w:eastAsia="zh-CN" w:bidi="ar-SA"/>
              </w:rPr>
              <w:t>0.</w:t>
            </w:r>
            <w:r>
              <w:rPr>
                <w:rFonts w:hint="eastAsia" w:cs="Times New Roman"/>
                <w:kern w:val="0"/>
                <w:sz w:val="28"/>
                <w:szCs w:val="28"/>
                <w:highlight w:val="none"/>
                <w:lang w:val="en-US" w:eastAsia="zh-CN" w:bidi="ar-SA"/>
              </w:rPr>
              <w:t>5</w:t>
            </w:r>
          </w:p>
        </w:tc>
        <w:tc>
          <w:tcPr>
            <w:tcW w:w="2988" w:type="dxa"/>
            <w:tcBorders>
              <w:top w:val="single" w:color="000000" w:sz="4" w:space="0"/>
              <w:left w:val="single" w:color="000000" w:sz="4" w:space="0"/>
              <w:bottom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仿宋_GBK" w:cs="Times New Roman"/>
                <w:kern w:val="0"/>
                <w:sz w:val="28"/>
                <w:szCs w:val="28"/>
                <w:highlight w:val="none"/>
                <w:lang w:val="en-US" w:eastAsia="zh-CN" w:bidi="ar-SA"/>
              </w:rPr>
            </w:pPr>
            <w:r>
              <w:rPr>
                <w:rFonts w:hint="eastAsia" w:ascii="Times New Roman" w:hAnsi="Times New Roman" w:eastAsia="方正仿宋_GBK" w:cs="Times New Roman"/>
                <w:kern w:val="0"/>
                <w:sz w:val="28"/>
                <w:szCs w:val="28"/>
                <w:highlight w:val="none"/>
                <w:lang w:val="en-US" w:eastAsia="zh-CN" w:bidi="ar-SA"/>
              </w:rPr>
              <w:t>0.5</w:t>
            </w:r>
            <w:r>
              <w:rPr>
                <w:rFonts w:hint="eastAsia" w:cs="Times New Roman"/>
                <w:kern w:val="0"/>
                <w:sz w:val="28"/>
                <w:szCs w:val="28"/>
                <w:highlight w:val="none"/>
                <w:lang w:val="en-US" w:eastAsia="zh-CN" w:bidi="ar-SA"/>
              </w:rPr>
              <w:t>5</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270" w:hRule="atLeast"/>
          <w:jc w:val="center"/>
        </w:trPr>
        <w:tc>
          <w:tcPr>
            <w:tcW w:w="3184" w:type="dxa"/>
            <w:tcBorders>
              <w:top w:val="single" w:color="000000" w:sz="4" w:space="0"/>
              <w:right w:val="single" w:color="000000" w:sz="4" w:space="0"/>
            </w:tcBorders>
            <w:noWrap/>
            <w:vAlign w:val="center"/>
          </w:tcPr>
          <w:p>
            <w:pPr>
              <w:keepNext w:val="0"/>
              <w:keepLines w:val="0"/>
              <w:widowControl/>
              <w:suppressLineNumbers w:val="0"/>
              <w:jc w:val="center"/>
              <w:textAlignment w:val="center"/>
              <w:rPr>
                <w:rFonts w:hint="eastAsia" w:cs="Times New Roman"/>
                <w:kern w:val="0"/>
                <w:sz w:val="28"/>
                <w:szCs w:val="28"/>
                <w:highlight w:val="none"/>
                <w:lang w:val="en-US" w:eastAsia="zh-CN" w:bidi="ar-SA"/>
              </w:rPr>
            </w:pPr>
            <w:r>
              <w:rPr>
                <w:rFonts w:hint="eastAsia" w:cs="Times New Roman"/>
                <w:kern w:val="0"/>
                <w:sz w:val="28"/>
                <w:szCs w:val="28"/>
                <w:highlight w:val="none"/>
                <w:lang w:val="en-US" w:eastAsia="zh-CN" w:bidi="ar-SA"/>
              </w:rPr>
              <w:t>不临路</w:t>
            </w:r>
          </w:p>
        </w:tc>
        <w:tc>
          <w:tcPr>
            <w:tcW w:w="2025" w:type="dxa"/>
            <w:tcBorders>
              <w:top w:val="single" w:color="000000" w:sz="4" w:space="0"/>
              <w:right w:val="single" w:color="000000" w:sz="4" w:space="0"/>
            </w:tcBorders>
            <w:noWrap/>
            <w:vAlign w:val="center"/>
          </w:tcPr>
          <w:p>
            <w:pPr>
              <w:keepNext w:val="0"/>
              <w:keepLines w:val="0"/>
              <w:widowControl/>
              <w:suppressLineNumbers w:val="0"/>
              <w:jc w:val="center"/>
              <w:textAlignment w:val="center"/>
              <w:rPr>
                <w:rFonts w:hint="default" w:cs="Times New Roman"/>
                <w:kern w:val="0"/>
                <w:sz w:val="28"/>
                <w:szCs w:val="28"/>
                <w:highlight w:val="none"/>
                <w:lang w:val="en-US" w:eastAsia="zh-CN" w:bidi="ar-SA"/>
              </w:rPr>
            </w:pPr>
            <w:r>
              <w:rPr>
                <w:rFonts w:hint="eastAsia" w:cs="Times New Roman"/>
                <w:kern w:val="0"/>
                <w:sz w:val="28"/>
                <w:szCs w:val="28"/>
                <w:highlight w:val="none"/>
                <w:lang w:val="en-US" w:eastAsia="zh-CN" w:bidi="ar-SA"/>
              </w:rPr>
              <w:t>V级</w:t>
            </w:r>
          </w:p>
        </w:tc>
        <w:tc>
          <w:tcPr>
            <w:tcW w:w="1635" w:type="dxa"/>
            <w:tcBorders>
              <w:top w:val="single" w:color="000000" w:sz="4" w:space="0"/>
              <w:left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仿宋_GBK" w:cs="Times New Roman"/>
                <w:kern w:val="0"/>
                <w:sz w:val="28"/>
                <w:szCs w:val="28"/>
                <w:highlight w:val="none"/>
                <w:lang w:val="en-US" w:eastAsia="zh-CN" w:bidi="ar-SA"/>
              </w:rPr>
            </w:pPr>
            <w:r>
              <w:rPr>
                <w:rFonts w:hint="eastAsia" w:ascii="Times New Roman" w:hAnsi="Times New Roman" w:eastAsia="方正仿宋_GBK" w:cs="Times New Roman"/>
                <w:kern w:val="0"/>
                <w:sz w:val="28"/>
                <w:szCs w:val="28"/>
                <w:highlight w:val="none"/>
                <w:lang w:val="en-US" w:eastAsia="zh-CN" w:bidi="ar-SA"/>
              </w:rPr>
              <w:t>0.</w:t>
            </w:r>
            <w:r>
              <w:rPr>
                <w:rFonts w:hint="eastAsia" w:cs="Times New Roman"/>
                <w:kern w:val="0"/>
                <w:sz w:val="28"/>
                <w:szCs w:val="28"/>
                <w:highlight w:val="none"/>
                <w:lang w:val="en-US" w:eastAsia="zh-CN" w:bidi="ar-SA"/>
              </w:rPr>
              <w:t>45</w:t>
            </w:r>
          </w:p>
        </w:tc>
        <w:tc>
          <w:tcPr>
            <w:tcW w:w="2988" w:type="dxa"/>
            <w:tcBorders>
              <w:top w:val="single" w:color="000000" w:sz="4" w:space="0"/>
              <w:lef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方正仿宋_GBK" w:cs="Times New Roman"/>
                <w:kern w:val="0"/>
                <w:sz w:val="28"/>
                <w:szCs w:val="28"/>
                <w:highlight w:val="none"/>
                <w:lang w:val="en-US" w:eastAsia="zh-CN" w:bidi="ar-SA"/>
              </w:rPr>
            </w:pPr>
            <w:r>
              <w:rPr>
                <w:rFonts w:hint="eastAsia" w:ascii="Times New Roman" w:hAnsi="Times New Roman" w:eastAsia="方正仿宋_GBK" w:cs="Times New Roman"/>
                <w:kern w:val="0"/>
                <w:sz w:val="28"/>
                <w:szCs w:val="28"/>
                <w:highlight w:val="none"/>
                <w:lang w:val="en-US" w:eastAsia="zh-CN" w:bidi="ar-SA"/>
              </w:rPr>
              <w:t>0.5</w:t>
            </w:r>
          </w:p>
        </w:tc>
      </w:tr>
    </w:tbl>
    <w:p>
      <w:pPr>
        <w:spacing w:line="560" w:lineRule="exact"/>
        <w:ind w:firstLine="420" w:firstLineChars="200"/>
        <w:rPr>
          <w:rFonts w:hint="default" w:eastAsia="方正仿宋_GBK"/>
          <w:szCs w:val="32"/>
          <w:highlight w:val="none"/>
          <w:lang w:val="en-US" w:eastAsia="zh-CN"/>
        </w:rPr>
      </w:pPr>
      <w:r>
        <w:rPr>
          <w:rFonts w:hint="eastAsia"/>
          <w:highlight w:val="none"/>
          <w:lang w:val="en-US" w:eastAsia="zh-CN"/>
        </w:rPr>
        <w:t>当续期宗地为两面及以上临路时，以所临道路中等级较高者确定临街道路修正系数。工业仓储用地不进行临街道路类型修正。</w:t>
      </w:r>
    </w:p>
    <w:p>
      <w:pPr>
        <w:spacing w:line="560" w:lineRule="exact"/>
        <w:ind w:firstLine="420" w:firstLineChars="200"/>
        <w:rPr>
          <w:szCs w:val="32"/>
          <w:highlight w:val="none"/>
        </w:rPr>
      </w:pPr>
      <w:r>
        <w:rPr>
          <w:rFonts w:hint="eastAsia"/>
          <w:szCs w:val="32"/>
          <w:highlight w:val="none"/>
          <w:lang w:val="en-US" w:eastAsia="zh-CN"/>
        </w:rPr>
        <w:t>3.街角地</w:t>
      </w:r>
      <w:r>
        <w:rPr>
          <w:szCs w:val="32"/>
          <w:highlight w:val="none"/>
        </w:rPr>
        <w:t>修正系数的确定</w:t>
      </w:r>
    </w:p>
    <w:p>
      <w:pPr>
        <w:spacing w:line="560" w:lineRule="exact"/>
        <w:ind w:firstLine="420" w:firstLineChars="200"/>
        <w:rPr>
          <w:rFonts w:hint="eastAsia" w:cs="Times New Roman"/>
          <w:highlight w:val="none"/>
          <w:lang w:val="en-US" w:eastAsia="zh-CN"/>
        </w:rPr>
      </w:pPr>
      <w:r>
        <w:rPr>
          <w:rFonts w:hint="eastAsia" w:cs="Times New Roman"/>
          <w:highlight w:val="none"/>
          <w:lang w:val="en-US" w:eastAsia="zh-CN"/>
        </w:rPr>
        <w:t>当续期宗地两面临路且均有开口时，需进行街角地修正，街角地修正系数为1.1。</w:t>
      </w:r>
    </w:p>
    <w:p>
      <w:pPr>
        <w:spacing w:line="560" w:lineRule="exact"/>
        <w:ind w:firstLine="420" w:firstLineChars="200"/>
        <w:rPr>
          <w:rFonts w:hint="default" w:eastAsia="方正仿宋_GBK"/>
          <w:szCs w:val="32"/>
          <w:highlight w:val="none"/>
          <w:lang w:val="en-US" w:eastAsia="zh-CN"/>
        </w:rPr>
      </w:pPr>
      <w:r>
        <w:rPr>
          <w:rFonts w:hint="eastAsia"/>
          <w:highlight w:val="none"/>
          <w:lang w:val="en-US" w:eastAsia="zh-CN"/>
        </w:rPr>
        <w:t>非平街层不进行街角地修正，公服与工业仓储用地不进行街角地修正。</w:t>
      </w:r>
    </w:p>
    <w:bookmarkEnd w:id="0"/>
    <w:p>
      <w:pPr>
        <w:spacing w:line="560" w:lineRule="exact"/>
        <w:ind w:firstLine="420" w:firstLineChars="200"/>
        <w:rPr>
          <w:rFonts w:hint="eastAsia" w:ascii="Times New Roman" w:hAnsi="Times New Roman" w:cs="Times New Roman"/>
          <w:szCs w:val="32"/>
          <w:highlight w:val="none"/>
          <w:lang w:val="en-US" w:eastAsia="zh-CN"/>
        </w:rPr>
      </w:pPr>
      <w:r>
        <w:rPr>
          <w:rFonts w:hint="eastAsia" w:ascii="Times New Roman" w:hAnsi="Times New Roman" w:cs="Times New Roman"/>
          <w:szCs w:val="32"/>
          <w:highlight w:val="none"/>
          <w:lang w:val="en-US" w:eastAsia="zh-CN"/>
        </w:rPr>
        <w:t>4.企业绩效评价修正系数的确定</w:t>
      </w:r>
    </w:p>
    <w:p>
      <w:pPr>
        <w:spacing w:line="560" w:lineRule="exact"/>
        <w:ind w:firstLine="420" w:firstLineChars="200"/>
        <w:rPr>
          <w:rFonts w:hint="eastAsia" w:ascii="Times New Roman" w:hAnsi="Times New Roman" w:cs="Times New Roman"/>
          <w:szCs w:val="32"/>
          <w:highlight w:val="none"/>
          <w:lang w:val="en-US" w:eastAsia="zh-CN"/>
        </w:rPr>
      </w:pPr>
      <w:r>
        <w:rPr>
          <w:rFonts w:hint="eastAsia" w:ascii="Times New Roman" w:hAnsi="Times New Roman" w:cs="Times New Roman"/>
          <w:szCs w:val="32"/>
          <w:highlight w:val="none"/>
          <w:lang w:val="en-US" w:eastAsia="zh-CN"/>
        </w:rPr>
        <w:t>工业用地需进行企业绩效评价修正。</w:t>
      </w:r>
    </w:p>
    <w:p>
      <w:pPr>
        <w:spacing w:line="560" w:lineRule="exact"/>
        <w:ind w:firstLine="420" w:firstLineChars="200"/>
        <w:rPr>
          <w:rFonts w:hint="eastAsia" w:ascii="Times New Roman" w:hAnsi="Times New Roman" w:cs="Times New Roman"/>
          <w:szCs w:val="32"/>
          <w:highlight w:val="none"/>
          <w:lang w:val="en-US" w:eastAsia="zh-CN"/>
        </w:rPr>
      </w:pPr>
      <w:r>
        <w:rPr>
          <w:rFonts w:hint="eastAsia" w:ascii="Times New Roman" w:hAnsi="Times New Roman" w:cs="Times New Roman"/>
          <w:szCs w:val="32"/>
          <w:highlight w:val="none"/>
          <w:lang w:val="en-US" w:eastAsia="zh-CN"/>
        </w:rPr>
        <w:t>根据綦江区规划和自然资源局公布的“年度企业绩效评价”确定A、B、C、D等级，不同等级按照《企业绩效评价修正系数表》确定企业绩效评价修正系数。</w:t>
      </w:r>
    </w:p>
    <w:p>
      <w:pPr>
        <w:spacing w:line="560" w:lineRule="exact"/>
        <w:ind w:firstLine="560"/>
        <w:jc w:val="center"/>
        <w:rPr>
          <w:rFonts w:hint="eastAsia" w:ascii="黑体" w:hAnsi="黑体" w:eastAsia="黑体" w:cs="黑体"/>
          <w:highlight w:val="none"/>
          <w:lang w:val="en-US" w:eastAsia="zh-CN"/>
        </w:rPr>
      </w:pPr>
      <w:r>
        <w:rPr>
          <w:rFonts w:hint="eastAsia" w:ascii="黑体" w:hAnsi="黑体" w:eastAsia="黑体" w:cs="黑体"/>
          <w:highlight w:val="none"/>
          <w:lang w:val="en-US" w:eastAsia="zh-CN"/>
        </w:rPr>
        <w:t>企业绩效评价修正系数表</w:t>
      </w:r>
    </w:p>
    <w:tbl>
      <w:tblPr>
        <w:tblStyle w:val="9"/>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254"/>
        <w:gridCol w:w="426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53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黑体" w:hAnsi="黑体" w:eastAsia="黑体" w:cs="黑体"/>
                <w:sz w:val="28"/>
                <w:szCs w:val="28"/>
                <w:highlight w:val="none"/>
                <w:vertAlign w:val="baseline"/>
                <w:lang w:val="en-US" w:eastAsia="zh-CN"/>
              </w:rPr>
            </w:pPr>
            <w:r>
              <w:rPr>
                <w:rFonts w:hint="eastAsia" w:ascii="黑体" w:hAnsi="黑体" w:eastAsia="黑体" w:cs="黑体"/>
                <w:sz w:val="28"/>
                <w:szCs w:val="28"/>
                <w:highlight w:val="none"/>
                <w:vertAlign w:val="baseline"/>
                <w:lang w:val="en-US" w:eastAsia="zh-CN"/>
              </w:rPr>
              <w:t>企业等级</w:t>
            </w:r>
          </w:p>
        </w:tc>
        <w:tc>
          <w:tcPr>
            <w:tcW w:w="453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黑体" w:hAnsi="黑体" w:eastAsia="黑体" w:cs="黑体"/>
                <w:sz w:val="28"/>
                <w:szCs w:val="28"/>
                <w:highlight w:val="none"/>
                <w:vertAlign w:val="baseline"/>
                <w:lang w:val="en-US" w:eastAsia="zh-CN"/>
              </w:rPr>
            </w:pPr>
            <w:r>
              <w:rPr>
                <w:rFonts w:hint="eastAsia" w:ascii="黑体" w:hAnsi="黑体" w:eastAsia="黑体" w:cs="黑体"/>
                <w:sz w:val="28"/>
                <w:szCs w:val="28"/>
                <w:highlight w:val="none"/>
                <w:vertAlign w:val="baseline"/>
                <w:lang w:val="en-US" w:eastAsia="zh-CN"/>
              </w:rPr>
              <w:t>修正系数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530" w:type="dxa"/>
            <w:noWrap w:val="0"/>
            <w:vAlign w:val="center"/>
          </w:tcPr>
          <w:p>
            <w:pPr>
              <w:keepNext w:val="0"/>
              <w:keepLines w:val="0"/>
              <w:widowControl/>
              <w:suppressLineNumbers w:val="0"/>
              <w:jc w:val="center"/>
              <w:textAlignment w:val="center"/>
              <w:rPr>
                <w:rFonts w:hint="default" w:ascii="Times New Roman" w:hAnsi="Times New Roman" w:eastAsia="方正仿宋_GBK" w:cs="Times New Roman"/>
                <w:kern w:val="0"/>
                <w:sz w:val="28"/>
                <w:szCs w:val="28"/>
                <w:highlight w:val="none"/>
                <w:lang w:val="en-US" w:eastAsia="zh-CN" w:bidi="ar-SA"/>
              </w:rPr>
            </w:pPr>
            <w:r>
              <w:rPr>
                <w:rFonts w:hint="eastAsia" w:ascii="Times New Roman" w:hAnsi="Times New Roman" w:eastAsia="方正仿宋_GBK" w:cs="Times New Roman"/>
                <w:kern w:val="0"/>
                <w:sz w:val="28"/>
                <w:szCs w:val="28"/>
                <w:highlight w:val="none"/>
                <w:lang w:val="en-US" w:eastAsia="zh-CN" w:bidi="ar-SA"/>
              </w:rPr>
              <w:t>A级</w:t>
            </w:r>
          </w:p>
        </w:tc>
        <w:tc>
          <w:tcPr>
            <w:tcW w:w="4530" w:type="dxa"/>
            <w:noWrap w:val="0"/>
            <w:vAlign w:val="center"/>
          </w:tcPr>
          <w:p>
            <w:pPr>
              <w:keepNext w:val="0"/>
              <w:keepLines w:val="0"/>
              <w:widowControl/>
              <w:suppressLineNumbers w:val="0"/>
              <w:jc w:val="center"/>
              <w:textAlignment w:val="center"/>
              <w:rPr>
                <w:rFonts w:hint="default" w:ascii="Times New Roman" w:hAnsi="Times New Roman" w:eastAsia="方正仿宋_GBK" w:cs="Times New Roman"/>
                <w:kern w:val="0"/>
                <w:sz w:val="28"/>
                <w:szCs w:val="28"/>
                <w:highlight w:val="none"/>
                <w:lang w:val="en-US" w:eastAsia="zh-CN" w:bidi="ar-SA"/>
              </w:rPr>
            </w:pPr>
            <w:r>
              <w:rPr>
                <w:rFonts w:hint="eastAsia" w:ascii="Times New Roman" w:hAnsi="Times New Roman" w:cs="Times New Roman"/>
                <w:kern w:val="0"/>
                <w:sz w:val="28"/>
                <w:szCs w:val="28"/>
                <w:highlight w:val="none"/>
                <w:lang w:val="en-US" w:eastAsia="zh-CN" w:bidi="ar-SA"/>
              </w:rPr>
              <w:t>0.85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530" w:type="dxa"/>
            <w:noWrap w:val="0"/>
            <w:vAlign w:val="center"/>
          </w:tcPr>
          <w:p>
            <w:pPr>
              <w:keepNext w:val="0"/>
              <w:keepLines w:val="0"/>
              <w:widowControl/>
              <w:suppressLineNumbers w:val="0"/>
              <w:jc w:val="center"/>
              <w:textAlignment w:val="center"/>
              <w:rPr>
                <w:rFonts w:hint="default" w:ascii="Times New Roman" w:hAnsi="Times New Roman" w:eastAsia="方正仿宋_GBK" w:cs="Times New Roman"/>
                <w:kern w:val="0"/>
                <w:sz w:val="28"/>
                <w:szCs w:val="28"/>
                <w:highlight w:val="none"/>
                <w:lang w:val="en-US" w:eastAsia="zh-CN" w:bidi="ar-SA"/>
              </w:rPr>
            </w:pPr>
            <w:r>
              <w:rPr>
                <w:rFonts w:hint="eastAsia" w:ascii="Times New Roman" w:hAnsi="Times New Roman" w:eastAsia="方正仿宋_GBK" w:cs="Times New Roman"/>
                <w:kern w:val="0"/>
                <w:sz w:val="28"/>
                <w:szCs w:val="28"/>
                <w:highlight w:val="none"/>
                <w:lang w:val="en-US" w:eastAsia="zh-CN" w:bidi="ar-SA"/>
              </w:rPr>
              <w:t>B级</w:t>
            </w:r>
          </w:p>
        </w:tc>
        <w:tc>
          <w:tcPr>
            <w:tcW w:w="4530" w:type="dxa"/>
            <w:noWrap w:val="0"/>
            <w:vAlign w:val="center"/>
          </w:tcPr>
          <w:p>
            <w:pPr>
              <w:keepNext w:val="0"/>
              <w:keepLines w:val="0"/>
              <w:widowControl/>
              <w:suppressLineNumbers w:val="0"/>
              <w:jc w:val="center"/>
              <w:textAlignment w:val="center"/>
              <w:rPr>
                <w:rFonts w:hint="default" w:ascii="Times New Roman" w:hAnsi="Times New Roman" w:eastAsia="方正仿宋_GBK" w:cs="Times New Roman"/>
                <w:kern w:val="0"/>
                <w:sz w:val="28"/>
                <w:szCs w:val="28"/>
                <w:highlight w:val="none"/>
                <w:lang w:val="en-US" w:eastAsia="zh-CN" w:bidi="ar-SA"/>
              </w:rPr>
            </w:pPr>
            <w:r>
              <w:rPr>
                <w:rFonts w:hint="eastAsia" w:ascii="Times New Roman" w:hAnsi="Times New Roman" w:cs="Times New Roman"/>
                <w:kern w:val="0"/>
                <w:sz w:val="28"/>
                <w:szCs w:val="28"/>
                <w:highlight w:val="none"/>
                <w:lang w:val="en-US" w:eastAsia="zh-CN" w:bidi="ar-SA"/>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530" w:type="dxa"/>
            <w:noWrap w:val="0"/>
            <w:vAlign w:val="center"/>
          </w:tcPr>
          <w:p>
            <w:pPr>
              <w:keepNext w:val="0"/>
              <w:keepLines w:val="0"/>
              <w:widowControl/>
              <w:suppressLineNumbers w:val="0"/>
              <w:jc w:val="center"/>
              <w:textAlignment w:val="center"/>
              <w:rPr>
                <w:rFonts w:hint="default" w:ascii="Times New Roman" w:hAnsi="Times New Roman" w:eastAsia="方正仿宋_GBK" w:cs="Times New Roman"/>
                <w:kern w:val="0"/>
                <w:sz w:val="28"/>
                <w:szCs w:val="28"/>
                <w:highlight w:val="none"/>
                <w:lang w:val="en-US" w:eastAsia="zh-CN" w:bidi="ar-SA"/>
              </w:rPr>
            </w:pPr>
            <w:r>
              <w:rPr>
                <w:rFonts w:hint="eastAsia" w:ascii="Times New Roman" w:hAnsi="Times New Roman" w:eastAsia="方正仿宋_GBK" w:cs="Times New Roman"/>
                <w:kern w:val="0"/>
                <w:sz w:val="28"/>
                <w:szCs w:val="28"/>
                <w:highlight w:val="none"/>
                <w:lang w:val="en-US" w:eastAsia="zh-CN" w:bidi="ar-SA"/>
              </w:rPr>
              <w:t>C级</w:t>
            </w:r>
          </w:p>
        </w:tc>
        <w:tc>
          <w:tcPr>
            <w:tcW w:w="4530" w:type="dxa"/>
            <w:noWrap w:val="0"/>
            <w:vAlign w:val="center"/>
          </w:tcPr>
          <w:p>
            <w:pPr>
              <w:keepNext w:val="0"/>
              <w:keepLines w:val="0"/>
              <w:widowControl/>
              <w:suppressLineNumbers w:val="0"/>
              <w:jc w:val="center"/>
              <w:textAlignment w:val="center"/>
              <w:rPr>
                <w:rFonts w:hint="default" w:ascii="Times New Roman" w:hAnsi="Times New Roman" w:eastAsia="方正仿宋_GBK" w:cs="Times New Roman"/>
                <w:kern w:val="0"/>
                <w:sz w:val="28"/>
                <w:szCs w:val="28"/>
                <w:highlight w:val="none"/>
                <w:lang w:val="en-US" w:eastAsia="zh-CN" w:bidi="ar-SA"/>
              </w:rPr>
            </w:pPr>
            <w:r>
              <w:rPr>
                <w:rFonts w:hint="eastAsia" w:ascii="Times New Roman" w:hAnsi="Times New Roman" w:cs="Times New Roman"/>
                <w:kern w:val="0"/>
                <w:sz w:val="28"/>
                <w:szCs w:val="28"/>
                <w:highlight w:val="none"/>
                <w:lang w:val="en-US" w:eastAsia="zh-CN" w:bidi="ar-SA"/>
              </w:rPr>
              <w:t>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530" w:type="dxa"/>
            <w:noWrap w:val="0"/>
            <w:vAlign w:val="center"/>
          </w:tcPr>
          <w:p>
            <w:pPr>
              <w:keepNext w:val="0"/>
              <w:keepLines w:val="0"/>
              <w:widowControl/>
              <w:suppressLineNumbers w:val="0"/>
              <w:jc w:val="center"/>
              <w:textAlignment w:val="center"/>
              <w:rPr>
                <w:rFonts w:hint="default" w:ascii="Times New Roman" w:hAnsi="Times New Roman" w:eastAsia="方正仿宋_GBK" w:cs="Times New Roman"/>
                <w:kern w:val="0"/>
                <w:sz w:val="28"/>
                <w:szCs w:val="28"/>
                <w:highlight w:val="none"/>
                <w:lang w:val="en-US" w:eastAsia="zh-CN" w:bidi="ar-SA"/>
              </w:rPr>
            </w:pPr>
            <w:r>
              <w:rPr>
                <w:rFonts w:hint="eastAsia" w:ascii="Times New Roman" w:hAnsi="Times New Roman" w:eastAsia="方正仿宋_GBK" w:cs="Times New Roman"/>
                <w:kern w:val="0"/>
                <w:sz w:val="28"/>
                <w:szCs w:val="28"/>
                <w:highlight w:val="none"/>
                <w:lang w:val="en-US" w:eastAsia="zh-CN" w:bidi="ar-SA"/>
              </w:rPr>
              <w:t>D级</w:t>
            </w:r>
          </w:p>
        </w:tc>
        <w:tc>
          <w:tcPr>
            <w:tcW w:w="4530" w:type="dxa"/>
            <w:noWrap w:val="0"/>
            <w:vAlign w:val="center"/>
          </w:tcPr>
          <w:p>
            <w:pPr>
              <w:keepNext w:val="0"/>
              <w:keepLines w:val="0"/>
              <w:widowControl/>
              <w:suppressLineNumbers w:val="0"/>
              <w:jc w:val="center"/>
              <w:textAlignment w:val="center"/>
              <w:rPr>
                <w:rFonts w:hint="default" w:ascii="Times New Roman" w:hAnsi="Times New Roman" w:eastAsia="方正仿宋_GBK" w:cs="Times New Roman"/>
                <w:kern w:val="0"/>
                <w:sz w:val="28"/>
                <w:szCs w:val="28"/>
                <w:highlight w:val="none"/>
                <w:lang w:val="en-US" w:eastAsia="zh-CN" w:bidi="ar-SA"/>
              </w:rPr>
            </w:pPr>
            <w:r>
              <w:rPr>
                <w:rFonts w:hint="eastAsia" w:ascii="Times New Roman" w:hAnsi="Times New Roman" w:cs="Times New Roman"/>
                <w:kern w:val="0"/>
                <w:sz w:val="28"/>
                <w:szCs w:val="28"/>
                <w:highlight w:val="none"/>
                <w:lang w:val="en-US" w:eastAsia="zh-CN" w:bidi="ar-SA"/>
              </w:rPr>
              <w:t>不予延期</w:t>
            </w:r>
          </w:p>
        </w:tc>
      </w:tr>
    </w:tbl>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ascii="方正黑体_GBK" w:eastAsia="方正黑体_GBK" w:cs="Times New Roman"/>
          <w:szCs w:val="32"/>
          <w:highlight w:val="none"/>
          <w:lang w:val="en-US" w:eastAsia="zh-CN"/>
        </w:rPr>
      </w:pPr>
      <w:r>
        <w:rPr>
          <w:rFonts w:hint="eastAsia" w:ascii="方正黑体_GBK" w:eastAsia="方正黑体_GBK" w:cs="Times New Roman"/>
          <w:szCs w:val="32"/>
          <w:highlight w:val="none"/>
          <w:lang w:val="en-US" w:eastAsia="zh-CN"/>
        </w:rPr>
        <w:t>六</w:t>
      </w:r>
      <w:r>
        <w:rPr>
          <w:rFonts w:hint="default" w:ascii="方正黑体_GBK" w:eastAsia="方正黑体_GBK" w:cs="Times New Roman"/>
          <w:szCs w:val="32"/>
          <w:highlight w:val="none"/>
          <w:lang w:val="en-US" w:eastAsia="zh-CN"/>
        </w:rPr>
        <w:t>、补充说明与未尽事项处理建议</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cs="Times New Roman"/>
          <w:szCs w:val="32"/>
          <w:highlight w:val="none"/>
          <w:lang w:val="en-US" w:eastAsia="zh-CN"/>
        </w:rPr>
      </w:pPr>
      <w:r>
        <w:rPr>
          <w:rFonts w:hint="eastAsia" w:cs="Times New Roman"/>
          <w:szCs w:val="32"/>
          <w:highlight w:val="none"/>
          <w:lang w:val="en-US" w:eastAsia="zh-CN"/>
        </w:rPr>
        <w:t>1.</w:t>
      </w:r>
      <w:r>
        <w:rPr>
          <w:rFonts w:hint="default" w:cs="Times New Roman"/>
          <w:szCs w:val="32"/>
          <w:highlight w:val="none"/>
          <w:lang w:val="en-US" w:eastAsia="zh-CN"/>
        </w:rPr>
        <w:t>多修正项叠加：如同时适用多项修正，各项修正系数连乘计算。若某项修正不适用，则该系数取1.0。</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cs="Times New Roman"/>
          <w:szCs w:val="32"/>
          <w:highlight w:val="none"/>
          <w:lang w:val="en-US" w:eastAsia="zh-CN"/>
        </w:rPr>
      </w:pPr>
      <w:r>
        <w:rPr>
          <w:rFonts w:hint="eastAsia" w:cs="Times New Roman"/>
          <w:szCs w:val="32"/>
          <w:highlight w:val="none"/>
          <w:lang w:val="en-US" w:eastAsia="zh-CN"/>
        </w:rPr>
        <w:t>2.</w:t>
      </w:r>
      <w:r>
        <w:rPr>
          <w:rFonts w:hint="default" w:cs="Times New Roman"/>
          <w:szCs w:val="32"/>
          <w:highlight w:val="none"/>
          <w:lang w:val="en-US" w:eastAsia="zh-CN"/>
        </w:rPr>
        <w:t>数据来源与时效：所有地价指数、基准地价</w:t>
      </w:r>
      <w:r>
        <w:rPr>
          <w:rFonts w:hint="eastAsia" w:cs="Times New Roman"/>
          <w:szCs w:val="32"/>
          <w:highlight w:val="none"/>
          <w:lang w:val="en-US" w:eastAsia="zh-CN"/>
        </w:rPr>
        <w:t>、企业绩效评价等级</w:t>
      </w:r>
      <w:r>
        <w:rPr>
          <w:rFonts w:hint="default" w:cs="Times New Roman"/>
          <w:szCs w:val="32"/>
          <w:highlight w:val="none"/>
          <w:lang w:val="en-US" w:eastAsia="zh-CN"/>
        </w:rPr>
        <w:t>等数据应以最新官方发布为准，过期数据不得使用。</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cs="Times New Roman"/>
          <w:szCs w:val="32"/>
          <w:highlight w:val="none"/>
          <w:lang w:val="en-US" w:eastAsia="zh-CN"/>
        </w:rPr>
      </w:pPr>
      <w:r>
        <w:rPr>
          <w:rFonts w:hint="eastAsia" w:cs="Times New Roman"/>
          <w:szCs w:val="32"/>
          <w:highlight w:val="none"/>
          <w:lang w:val="en-US" w:eastAsia="zh-CN"/>
        </w:rPr>
        <w:t>3.</w:t>
      </w:r>
      <w:r>
        <w:rPr>
          <w:rFonts w:hint="default" w:cs="Times New Roman"/>
          <w:szCs w:val="32"/>
          <w:highlight w:val="none"/>
          <w:lang w:val="en-US" w:eastAsia="zh-CN"/>
        </w:rPr>
        <w:t>未列明情形：本修正体系未涵盖的宗地情形，应参照相近用途或类似条件执行，或由专业评估机构出具评估报告，并经土地管理部门审核确认。</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cs="Times New Roman"/>
          <w:szCs w:val="32"/>
          <w:highlight w:val="none"/>
          <w:lang w:val="en-US" w:eastAsia="zh-CN"/>
        </w:rPr>
      </w:pPr>
      <w:r>
        <w:rPr>
          <w:rFonts w:hint="eastAsia" w:cs="Times New Roman"/>
          <w:szCs w:val="32"/>
          <w:highlight w:val="none"/>
          <w:lang w:val="en-US" w:eastAsia="zh-CN"/>
        </w:rPr>
        <w:t>4.</w:t>
      </w:r>
      <w:r>
        <w:rPr>
          <w:rFonts w:hint="default" w:cs="Times New Roman"/>
          <w:szCs w:val="32"/>
          <w:highlight w:val="none"/>
          <w:lang w:val="en-US" w:eastAsia="zh-CN"/>
        </w:rPr>
        <w:t>动态调整机制：本修正体系可根据市场变化和政策要求适时调整，具体以自然资源主管部门通知为准。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 w:hAnsi="仿宋" w:eastAsia="仿宋" w:cs="仿宋"/>
          <w:sz w:val="28"/>
          <w:szCs w:val="28"/>
          <w:lang w:val="en-US"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7740" w:firstLineChars="4300"/>
      <w:rPr>
        <w:rFonts w:hint="eastAsia" w:eastAsiaTheme="minorEastAsia"/>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fldChar w:fldCharType="begin"/>
                          </w:r>
                          <w:r>
                            <w:instrText xml:space="preserve"> PAGE  \* MERGEFORMAT </w:instrText>
                          </w:r>
                          <w:r>
                            <w:fldChar w:fldCharType="separate"/>
                          </w:r>
                          <w:r>
                            <w:t>1</w:t>
                          </w:r>
                          <w:r>
                            <w:fldChar w:fldCharType="end"/>
                          </w:r>
                          <w:r>
                            <w:rPr>
                              <w:rFonts w:hint="eastAsia"/>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4"/>
                      <w:rPr>
                        <w:rFonts w:hint="eastAsia" w:eastAsiaTheme="minorEastAsia"/>
                        <w:lang w:eastAsia="zh-CN"/>
                      </w:rPr>
                    </w:pPr>
                    <w:r>
                      <w:fldChar w:fldCharType="begin"/>
                    </w:r>
                    <w:r>
                      <w:instrText xml:space="preserve"> PAGE  \* MERGEFORMAT </w:instrText>
                    </w:r>
                    <w:r>
                      <w:fldChar w:fldCharType="separate"/>
                    </w:r>
                    <w:r>
                      <w:t>1</w:t>
                    </w:r>
                    <w:r>
                      <w:fldChar w:fldCharType="end"/>
                    </w:r>
                    <w:r>
                      <w:rPr>
                        <w:rFonts w:hint="eastAsia"/>
                        <w:lang w:eastAsia="zh-CN"/>
                      </w:rPr>
                      <w:t>—</w:t>
                    </w:r>
                  </w:p>
                </w:txbxContent>
              </v:textbox>
            </v:shape>
          </w:pict>
        </mc:Fallback>
      </mc:AlternateContent>
    </w:r>
    <w:r>
      <w:rPr>
        <w:rFonts w:hint="eastAsia"/>
        <w:lang w:eastAsia="zh-CN"/>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D418F0"/>
    <w:rsid w:val="042E6892"/>
    <w:rsid w:val="04806B11"/>
    <w:rsid w:val="064B64C8"/>
    <w:rsid w:val="06B57D92"/>
    <w:rsid w:val="076D7821"/>
    <w:rsid w:val="080847EF"/>
    <w:rsid w:val="08B077B6"/>
    <w:rsid w:val="08E65ADD"/>
    <w:rsid w:val="09D26F1E"/>
    <w:rsid w:val="0D7F205C"/>
    <w:rsid w:val="10CD7582"/>
    <w:rsid w:val="10EC7A09"/>
    <w:rsid w:val="17EF7E0B"/>
    <w:rsid w:val="180A70A6"/>
    <w:rsid w:val="18550589"/>
    <w:rsid w:val="1C5D1817"/>
    <w:rsid w:val="1CCC27D8"/>
    <w:rsid w:val="1DCD6EC9"/>
    <w:rsid w:val="1DF35D7D"/>
    <w:rsid w:val="209E3F78"/>
    <w:rsid w:val="21B64656"/>
    <w:rsid w:val="229879F0"/>
    <w:rsid w:val="27742F68"/>
    <w:rsid w:val="287205BC"/>
    <w:rsid w:val="28EF7F32"/>
    <w:rsid w:val="29CB173E"/>
    <w:rsid w:val="29D4102F"/>
    <w:rsid w:val="2AD45DDE"/>
    <w:rsid w:val="2E07460E"/>
    <w:rsid w:val="30D63489"/>
    <w:rsid w:val="314125EF"/>
    <w:rsid w:val="338213DC"/>
    <w:rsid w:val="33E13858"/>
    <w:rsid w:val="36AD5147"/>
    <w:rsid w:val="372533FC"/>
    <w:rsid w:val="39B87060"/>
    <w:rsid w:val="3DCB1B89"/>
    <w:rsid w:val="3EF9754B"/>
    <w:rsid w:val="404677BB"/>
    <w:rsid w:val="40B445FE"/>
    <w:rsid w:val="40BB4A3E"/>
    <w:rsid w:val="42462B98"/>
    <w:rsid w:val="49AB59AC"/>
    <w:rsid w:val="4A3E68EF"/>
    <w:rsid w:val="4B4956FD"/>
    <w:rsid w:val="4D0C69C4"/>
    <w:rsid w:val="4D165F33"/>
    <w:rsid w:val="4EAA7FE0"/>
    <w:rsid w:val="4EBD176B"/>
    <w:rsid w:val="4FCA0B4D"/>
    <w:rsid w:val="4FF76D6C"/>
    <w:rsid w:val="508C1004"/>
    <w:rsid w:val="51013D9E"/>
    <w:rsid w:val="51BF5ACB"/>
    <w:rsid w:val="559B44B1"/>
    <w:rsid w:val="55EC7C86"/>
    <w:rsid w:val="57FD5624"/>
    <w:rsid w:val="585C2915"/>
    <w:rsid w:val="5C2834B9"/>
    <w:rsid w:val="602B6D25"/>
    <w:rsid w:val="60B60CAD"/>
    <w:rsid w:val="623F5419"/>
    <w:rsid w:val="62BD2580"/>
    <w:rsid w:val="64B22BDE"/>
    <w:rsid w:val="653C7827"/>
    <w:rsid w:val="690B012A"/>
    <w:rsid w:val="69833515"/>
    <w:rsid w:val="69BA3375"/>
    <w:rsid w:val="6B0619D0"/>
    <w:rsid w:val="6D2F0B61"/>
    <w:rsid w:val="713F03F8"/>
    <w:rsid w:val="726E11A1"/>
    <w:rsid w:val="76477857"/>
    <w:rsid w:val="7A1033D3"/>
    <w:rsid w:val="7BDB4440"/>
    <w:rsid w:val="7C5E22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next w:val="1"/>
    <w:unhideWhenUsed/>
    <w:qFormat/>
    <w:uiPriority w:val="9"/>
    <w:pPr>
      <w:spacing w:before="300" w:after="120" w:line="288" w:lineRule="auto"/>
      <w:outlineLvl w:val="2"/>
    </w:pPr>
    <w:rPr>
      <w:rFonts w:ascii="Arial" w:hAnsi="Arial" w:eastAsia="等线" w:cs="Arial"/>
      <w:b/>
      <w:bCs/>
      <w:sz w:val="30"/>
      <w:szCs w:val="30"/>
      <w:lang w:val="en-US" w:eastAsia="zh-CN" w:bidi="ar-SA"/>
    </w:rPr>
  </w:style>
  <w:style w:type="paragraph" w:styleId="3">
    <w:name w:val="heading 4"/>
    <w:next w:val="1"/>
    <w:unhideWhenUsed/>
    <w:qFormat/>
    <w:uiPriority w:val="9"/>
    <w:pPr>
      <w:spacing w:before="260" w:after="120" w:line="288" w:lineRule="auto"/>
      <w:outlineLvl w:val="3"/>
    </w:pPr>
    <w:rPr>
      <w:rFonts w:ascii="Arial" w:hAnsi="Arial" w:eastAsia="等线" w:cs="Arial"/>
      <w:b/>
      <w:bCs/>
      <w:sz w:val="28"/>
      <w:szCs w:val="28"/>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page number"/>
    <w:qFormat/>
    <w:uiPriority w:val="0"/>
  </w:style>
  <w:style w:type="paragraph" w:customStyle="1" w:styleId="13">
    <w:name w:val="2"/>
    <w:qFormat/>
    <w:uiPriority w:val="0"/>
    <w:pPr>
      <w:spacing w:before="120" w:after="120" w:line="288" w:lineRule="auto"/>
    </w:pPr>
    <w:rPr>
      <w:rFonts w:ascii="Arial" w:hAnsi="Arial" w:eastAsia="等线" w:cs="Arial"/>
      <w:sz w:val="22"/>
      <w:szCs w:val="22"/>
      <w:lang w:val="en-US" w:eastAsia="zh-CN" w:bidi="ar-SA"/>
    </w:rPr>
  </w:style>
  <w:style w:type="paragraph" w:customStyle="1" w:styleId="14">
    <w:name w:val="文头"/>
    <w:basedOn w:val="1"/>
    <w:qFormat/>
    <w:uiPriority w:val="0"/>
    <w:pPr>
      <w:jc w:val="center"/>
    </w:pPr>
    <w:rPr>
      <w:rFonts w:eastAsia="仿宋"/>
      <w:b/>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3363</Words>
  <Characters>3389</Characters>
  <Lines>0</Lines>
  <Paragraphs>0</Paragraphs>
  <TotalTime>14</TotalTime>
  <ScaleCrop>false</ScaleCrop>
  <LinksUpToDate>false</LinksUpToDate>
  <CharactersWithSpaces>3515</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2026-01-09T02:16:00Z</dcterms:created>
  <dc:creator>hc</dc:creator>
  <cp:lastModifiedBy>朝朝年华。</cp:lastModifiedBy>
  <dcterms:modified xsi:type="dcterms:W3CDTF">2026-07-06T01:23:02Z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KSOTemplateDocerSaveRecord">
    <vt:lpwstr>eyJoZGlkIjoiNTc3NTdjM2Y3NmE0YzE5MWFlMzM1NjY4MTJkNTYyYWQiLCJ1c2VySWQiOiIxMzI3OTk4OTYyIn0=</vt:lpwstr>
  </property>
  <property fmtid="{D5CDD505-2E9C-101B-9397-08002B2CF9AE}" pid="4" name="ICV">
    <vt:lpwstr>5B167ED151ED4C8DB80B92CDAB81A81B_13</vt:lpwstr>
  </property>
</Properties>
</file>