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heme="minorEastAsia" w:hAnsiTheme="minorEastAsia" w:eastAsiaTheme="minorEastAsia" w:cstheme="minorEastAsia"/>
          <w:b/>
          <w:bCs/>
          <w:color w:val="000000" w:themeColor="text1"/>
          <w:sz w:val="44"/>
          <w:szCs w:val="44"/>
          <w:lang w:val="en-US" w:eastAsia="zh-CN"/>
          <w14:textFill>
            <w14:solidFill>
              <w14:schemeClr w14:val="tx1"/>
            </w14:solidFill>
          </w14:textFill>
        </w:rPr>
      </w:pPr>
      <w:bookmarkStart w:id="0" w:name="_Toc187568773"/>
      <w:r>
        <w:rPr>
          <w:rFonts w:hint="eastAsia" w:asciiTheme="minorEastAsia" w:hAnsiTheme="minorEastAsia" w:eastAsiaTheme="minorEastAsia" w:cstheme="minorEastAsia"/>
          <w:b/>
          <w:bCs/>
          <w:color w:val="000000" w:themeColor="text1"/>
          <w:sz w:val="44"/>
          <w:szCs w:val="44"/>
          <w:lang w:eastAsia="zh-CN"/>
          <w14:textFill>
            <w14:solidFill>
              <w14:schemeClr w14:val="tx1"/>
            </w14:solidFill>
          </w14:textFill>
        </w:rPr>
        <w:t>綦江区2022年丘陵山区高标准农田改造提升示范项目商品有机肥（袋装）采购项目</w:t>
      </w:r>
    </w:p>
    <w:p>
      <w:pPr>
        <w:spacing w:line="0" w:lineRule="atLeast"/>
        <w:jc w:val="center"/>
        <w:rPr>
          <w:rFonts w:asciiTheme="minorEastAsia" w:hAnsiTheme="minorEastAsia" w:eastAsiaTheme="minorEastAsia" w:cstheme="minorEastAsia"/>
          <w:b/>
          <w:bCs/>
          <w:color w:val="000000" w:themeColor="text1"/>
          <w:sz w:val="48"/>
          <w:szCs w:val="44"/>
          <w14:textFill>
            <w14:solidFill>
              <w14:schemeClr w14:val="tx1"/>
            </w14:solidFill>
          </w14:textFill>
        </w:rPr>
      </w:pPr>
    </w:p>
    <w:p>
      <w:pPr>
        <w:pStyle w:val="2"/>
      </w:pPr>
    </w:p>
    <w:p>
      <w:pPr>
        <w:pStyle w:val="18"/>
        <w:ind w:firstLine="280"/>
        <w:rPr>
          <w:rFonts w:asciiTheme="minorEastAsia" w:hAnsiTheme="minorEastAsia" w:eastAsiaTheme="minorEastAsia" w:cstheme="minorEastAsia"/>
          <w:color w:val="000000" w:themeColor="text1"/>
          <w14:textFill>
            <w14:solidFill>
              <w14:schemeClr w14:val="tx1"/>
            </w14:solidFill>
          </w14:textFill>
        </w:rPr>
      </w:pPr>
    </w:p>
    <w:p>
      <w:pPr>
        <w:jc w:val="center"/>
        <w:rPr>
          <w:rFonts w:asciiTheme="minorEastAsia" w:hAnsiTheme="minorEastAsia" w:eastAsiaTheme="minorEastAsia" w:cstheme="minorEastAsia"/>
          <w:b/>
          <w:color w:val="000000" w:themeColor="text1"/>
          <w:kern w:val="0"/>
          <w:sz w:val="48"/>
          <w:szCs w:val="48"/>
          <w14:textFill>
            <w14:solidFill>
              <w14:schemeClr w14:val="tx1"/>
            </w14:solidFill>
          </w14:textFill>
        </w:rPr>
      </w:pPr>
      <w:r>
        <w:rPr>
          <w:rFonts w:hint="eastAsia" w:asciiTheme="minorEastAsia" w:hAnsiTheme="minorEastAsia" w:eastAsiaTheme="minorEastAsia" w:cstheme="minorEastAsia"/>
          <w:b/>
          <w:color w:val="000000" w:themeColor="text1"/>
          <w:kern w:val="0"/>
          <w:sz w:val="48"/>
          <w:szCs w:val="48"/>
          <w14:textFill>
            <w14:solidFill>
              <w14:schemeClr w14:val="tx1"/>
            </w14:solidFill>
          </w14:textFill>
        </w:rPr>
        <w:t>采</w:t>
      </w:r>
    </w:p>
    <w:p>
      <w:pPr>
        <w:pStyle w:val="18"/>
        <w:ind w:firstLine="280"/>
        <w:rPr>
          <w:rFonts w:asciiTheme="minorEastAsia" w:hAnsiTheme="minorEastAsia" w:eastAsiaTheme="minorEastAsia" w:cstheme="minorEastAsia"/>
          <w:color w:val="000000" w:themeColor="text1"/>
          <w14:textFill>
            <w14:solidFill>
              <w14:schemeClr w14:val="tx1"/>
            </w14:solidFill>
          </w14:textFill>
        </w:rPr>
      </w:pPr>
    </w:p>
    <w:p>
      <w:pPr>
        <w:jc w:val="center"/>
        <w:rPr>
          <w:rFonts w:asciiTheme="minorEastAsia" w:hAnsiTheme="minorEastAsia" w:eastAsiaTheme="minorEastAsia" w:cstheme="minorEastAsia"/>
          <w:b/>
          <w:color w:val="000000" w:themeColor="text1"/>
          <w:kern w:val="0"/>
          <w:sz w:val="48"/>
          <w:szCs w:val="48"/>
          <w14:textFill>
            <w14:solidFill>
              <w14:schemeClr w14:val="tx1"/>
            </w14:solidFill>
          </w14:textFill>
        </w:rPr>
      </w:pPr>
      <w:r>
        <w:rPr>
          <w:rFonts w:hint="eastAsia" w:asciiTheme="minorEastAsia" w:hAnsiTheme="minorEastAsia" w:eastAsiaTheme="minorEastAsia" w:cstheme="minorEastAsia"/>
          <w:b/>
          <w:color w:val="000000" w:themeColor="text1"/>
          <w:kern w:val="0"/>
          <w:sz w:val="48"/>
          <w:szCs w:val="48"/>
          <w14:textFill>
            <w14:solidFill>
              <w14:schemeClr w14:val="tx1"/>
            </w14:solidFill>
          </w14:textFill>
        </w:rPr>
        <w:t>购</w:t>
      </w:r>
    </w:p>
    <w:p>
      <w:pPr>
        <w:pStyle w:val="18"/>
        <w:ind w:firstLine="280"/>
        <w:rPr>
          <w:rFonts w:asciiTheme="minorEastAsia" w:hAnsiTheme="minorEastAsia" w:eastAsiaTheme="minorEastAsia" w:cstheme="minorEastAsia"/>
          <w:color w:val="000000" w:themeColor="text1"/>
          <w14:textFill>
            <w14:solidFill>
              <w14:schemeClr w14:val="tx1"/>
            </w14:solidFill>
          </w14:textFill>
        </w:rPr>
      </w:pPr>
    </w:p>
    <w:p>
      <w:pPr>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kern w:val="0"/>
          <w:sz w:val="48"/>
          <w:szCs w:val="48"/>
          <w14:textFill>
            <w14:solidFill>
              <w14:schemeClr w14:val="tx1"/>
            </w14:solidFill>
          </w14:textFill>
        </w:rPr>
        <w:t>招</w:t>
      </w:r>
    </w:p>
    <w:p>
      <w:pPr>
        <w:pStyle w:val="18"/>
        <w:ind w:firstLine="280"/>
        <w:rPr>
          <w:rFonts w:asciiTheme="minorEastAsia" w:hAnsiTheme="minorEastAsia" w:eastAsiaTheme="minorEastAsia" w:cstheme="minorEastAsia"/>
          <w:color w:val="000000" w:themeColor="text1"/>
          <w14:textFill>
            <w14:solidFill>
              <w14:schemeClr w14:val="tx1"/>
            </w14:solidFill>
          </w14:textFill>
        </w:rPr>
      </w:pPr>
    </w:p>
    <w:p>
      <w:pPr>
        <w:jc w:val="center"/>
        <w:rPr>
          <w:rFonts w:asciiTheme="minorEastAsia" w:hAnsiTheme="minorEastAsia" w:eastAsiaTheme="minorEastAsia" w:cstheme="minorEastAsia"/>
          <w:b/>
          <w:color w:val="000000" w:themeColor="text1"/>
          <w:kern w:val="0"/>
          <w:sz w:val="48"/>
          <w:szCs w:val="48"/>
          <w14:textFill>
            <w14:solidFill>
              <w14:schemeClr w14:val="tx1"/>
            </w14:solidFill>
          </w14:textFill>
        </w:rPr>
      </w:pPr>
      <w:r>
        <w:rPr>
          <w:rFonts w:hint="eastAsia" w:asciiTheme="minorEastAsia" w:hAnsiTheme="minorEastAsia" w:eastAsiaTheme="minorEastAsia" w:cstheme="minorEastAsia"/>
          <w:b/>
          <w:color w:val="000000" w:themeColor="text1"/>
          <w:kern w:val="0"/>
          <w:sz w:val="48"/>
          <w:szCs w:val="48"/>
          <w14:textFill>
            <w14:solidFill>
              <w14:schemeClr w14:val="tx1"/>
            </w14:solidFill>
          </w14:textFill>
        </w:rPr>
        <w:t>标</w:t>
      </w:r>
    </w:p>
    <w:p>
      <w:pPr>
        <w:pStyle w:val="18"/>
        <w:ind w:firstLine="0" w:firstLineChars="0"/>
        <w:rPr>
          <w:rFonts w:asciiTheme="minorEastAsia" w:hAnsiTheme="minorEastAsia" w:eastAsiaTheme="minorEastAsia" w:cstheme="minorEastAsia"/>
          <w:color w:val="000000" w:themeColor="text1"/>
          <w14:textFill>
            <w14:solidFill>
              <w14:schemeClr w14:val="tx1"/>
            </w14:solidFill>
          </w14:textFill>
        </w:rPr>
      </w:pPr>
    </w:p>
    <w:p>
      <w:pPr>
        <w:jc w:val="center"/>
        <w:rPr>
          <w:rFonts w:asciiTheme="minorEastAsia" w:hAnsiTheme="minorEastAsia" w:eastAsiaTheme="minorEastAsia" w:cstheme="minorEastAsia"/>
          <w:b/>
          <w:color w:val="000000" w:themeColor="text1"/>
          <w:kern w:val="0"/>
          <w:sz w:val="48"/>
          <w:szCs w:val="48"/>
          <w14:textFill>
            <w14:solidFill>
              <w14:schemeClr w14:val="tx1"/>
            </w14:solidFill>
          </w14:textFill>
        </w:rPr>
      </w:pPr>
      <w:r>
        <w:rPr>
          <w:rFonts w:hint="eastAsia" w:asciiTheme="minorEastAsia" w:hAnsiTheme="minorEastAsia" w:eastAsiaTheme="minorEastAsia" w:cstheme="minorEastAsia"/>
          <w:b/>
          <w:color w:val="000000" w:themeColor="text1"/>
          <w:kern w:val="0"/>
          <w:sz w:val="48"/>
          <w:szCs w:val="48"/>
          <w14:textFill>
            <w14:solidFill>
              <w14:schemeClr w14:val="tx1"/>
            </w14:solidFill>
          </w14:textFill>
        </w:rPr>
        <w:t>文</w:t>
      </w:r>
    </w:p>
    <w:p>
      <w:pPr>
        <w:pStyle w:val="18"/>
        <w:ind w:firstLine="0" w:firstLineChars="0"/>
        <w:rPr>
          <w:rFonts w:asciiTheme="minorEastAsia" w:hAnsiTheme="minorEastAsia" w:eastAsiaTheme="minorEastAsia" w:cstheme="minorEastAsia"/>
          <w:color w:val="000000" w:themeColor="text1"/>
          <w14:textFill>
            <w14:solidFill>
              <w14:schemeClr w14:val="tx1"/>
            </w14:solidFill>
          </w14:textFill>
        </w:rPr>
      </w:pPr>
    </w:p>
    <w:p>
      <w:pPr>
        <w:jc w:val="center"/>
        <w:rPr>
          <w:rFonts w:asciiTheme="minorEastAsia" w:hAnsiTheme="minorEastAsia" w:eastAsiaTheme="minorEastAsia" w:cstheme="minorEastAsia"/>
          <w:b/>
          <w:color w:val="000000" w:themeColor="text1"/>
          <w:kern w:val="0"/>
          <w:sz w:val="48"/>
          <w:szCs w:val="48"/>
          <w14:textFill>
            <w14:solidFill>
              <w14:schemeClr w14:val="tx1"/>
            </w14:solidFill>
          </w14:textFill>
        </w:rPr>
      </w:pPr>
      <w:r>
        <w:rPr>
          <w:rFonts w:hint="eastAsia" w:asciiTheme="minorEastAsia" w:hAnsiTheme="minorEastAsia" w:eastAsiaTheme="minorEastAsia" w:cstheme="minorEastAsia"/>
          <w:b/>
          <w:color w:val="000000" w:themeColor="text1"/>
          <w:kern w:val="0"/>
          <w:sz w:val="48"/>
          <w:szCs w:val="48"/>
          <w14:textFill>
            <w14:solidFill>
              <w14:schemeClr w14:val="tx1"/>
            </w14:solidFill>
          </w14:textFill>
        </w:rPr>
        <w:t>件</w:t>
      </w:r>
    </w:p>
    <w:p>
      <w:pPr>
        <w:pStyle w:val="2"/>
        <w:rPr>
          <w:rFonts w:asciiTheme="minorEastAsia" w:hAnsiTheme="minorEastAsia" w:eastAsiaTheme="minorEastAsia" w:cstheme="minorEastAsia"/>
          <w:color w:val="000000" w:themeColor="text1"/>
          <w14:textFill>
            <w14:solidFill>
              <w14:schemeClr w14:val="tx1"/>
            </w14:solidFill>
          </w14:textFill>
        </w:rPr>
      </w:pPr>
    </w:p>
    <w:p>
      <w:pPr>
        <w:rPr>
          <w:rFonts w:asciiTheme="minorEastAsia" w:hAnsiTheme="minorEastAsia" w:eastAsiaTheme="minorEastAsia" w:cstheme="minorEastAsia"/>
          <w:color w:val="000000" w:themeColor="text1"/>
          <w14:textFill>
            <w14:solidFill>
              <w14:schemeClr w14:val="tx1"/>
            </w14:solidFill>
          </w14:textFill>
        </w:rPr>
      </w:pPr>
    </w:p>
    <w:p>
      <w:pPr>
        <w:pStyle w:val="2"/>
      </w:pPr>
    </w:p>
    <w:p>
      <w:pPr>
        <w:pStyle w:val="18"/>
        <w:ind w:firstLine="280"/>
        <w:rPr>
          <w:rFonts w:asciiTheme="minorEastAsia" w:hAnsiTheme="minorEastAsia" w:eastAsiaTheme="minorEastAsia" w:cstheme="minorEastAsia"/>
          <w:color w:val="000000" w:themeColor="text1"/>
          <w14:textFill>
            <w14:solidFill>
              <w14:schemeClr w14:val="tx1"/>
            </w14:solidFill>
          </w14:textFill>
        </w:rPr>
      </w:pPr>
    </w:p>
    <w:p>
      <w:pPr>
        <w:pStyle w:val="18"/>
        <w:ind w:firstLine="280"/>
        <w:rPr>
          <w:rFonts w:asciiTheme="minorEastAsia" w:hAnsiTheme="minorEastAsia" w:eastAsiaTheme="minorEastAsia" w:cstheme="minorEastAsia"/>
          <w:color w:val="000000" w:themeColor="text1"/>
          <w14:textFill>
            <w14:solidFill>
              <w14:schemeClr w14:val="tx1"/>
            </w14:solidFill>
          </w14:textFill>
        </w:rPr>
      </w:pPr>
    </w:p>
    <w:p>
      <w:pPr>
        <w:rPr>
          <w:rFonts w:asciiTheme="minorEastAsia" w:hAnsiTheme="minorEastAsia" w:eastAsiaTheme="minorEastAsia" w:cstheme="minorEastAsia"/>
          <w:color w:val="000000" w:themeColor="text1"/>
          <w14:textFill>
            <w14:solidFill>
              <w14:schemeClr w14:val="tx1"/>
            </w14:solidFill>
          </w14:textFill>
        </w:rPr>
      </w:pPr>
    </w:p>
    <w:p>
      <w:pPr>
        <w:jc w:val="center"/>
        <w:rPr>
          <w:rFonts w:asciiTheme="minorEastAsia" w:hAnsiTheme="minorEastAsia" w:eastAsiaTheme="minorEastAsia" w:cstheme="minorEastAsia"/>
          <w:b/>
          <w:color w:val="000000" w:themeColor="text1"/>
          <w:kern w:val="0"/>
          <w:sz w:val="32"/>
          <w:szCs w:val="32"/>
          <w14:textFill>
            <w14:solidFill>
              <w14:schemeClr w14:val="tx1"/>
            </w14:solidFill>
          </w14:textFill>
        </w:rPr>
      </w:pPr>
      <w:r>
        <w:rPr>
          <w:rFonts w:hint="eastAsia" w:asciiTheme="minorEastAsia" w:hAnsiTheme="minorEastAsia" w:eastAsiaTheme="minorEastAsia" w:cstheme="minorEastAsia"/>
          <w:b/>
          <w:color w:val="000000" w:themeColor="text1"/>
          <w:kern w:val="0"/>
          <w:sz w:val="32"/>
          <w:szCs w:val="32"/>
          <w14:textFill>
            <w14:solidFill>
              <w14:schemeClr w14:val="tx1"/>
            </w14:solidFill>
          </w14:textFill>
        </w:rPr>
        <w:t>采购人：重庆卓成建筑工程股份有限公司</w:t>
      </w:r>
    </w:p>
    <w:p>
      <w:pPr>
        <w:pStyle w:val="2"/>
        <w:rPr>
          <w:rFonts w:asciiTheme="minorEastAsia" w:hAnsiTheme="minorEastAsia" w:eastAsiaTheme="minorEastAsia" w:cstheme="minorEastAsia"/>
          <w:b/>
          <w:color w:val="000000" w:themeColor="text1"/>
          <w:kern w:val="0"/>
          <w:sz w:val="32"/>
          <w:szCs w:val="32"/>
          <w14:textFill>
            <w14:solidFill>
              <w14:schemeClr w14:val="tx1"/>
            </w14:solidFill>
          </w14:textFill>
        </w:rPr>
      </w:pPr>
    </w:p>
    <w:p/>
    <w:p>
      <w:pPr>
        <w:jc w:val="center"/>
        <w:rPr>
          <w:rFonts w:asciiTheme="minorEastAsia" w:hAnsiTheme="minorEastAsia" w:eastAsiaTheme="minorEastAsia" w:cstheme="minorEastAsia"/>
          <w:b/>
          <w:color w:val="000000" w:themeColor="text1"/>
          <w:kern w:val="0"/>
          <w:sz w:val="32"/>
          <w:szCs w:val="32"/>
          <w14:textFill>
            <w14:solidFill>
              <w14:schemeClr w14:val="tx1"/>
            </w14:solidFill>
          </w14:textFill>
        </w:rPr>
      </w:pPr>
      <w:r>
        <w:rPr>
          <w:rFonts w:hint="eastAsia" w:asciiTheme="minorEastAsia" w:hAnsiTheme="minorEastAsia" w:eastAsiaTheme="minorEastAsia" w:cstheme="minorEastAsia"/>
          <w:b/>
          <w:color w:val="000000" w:themeColor="text1"/>
          <w:kern w:val="0"/>
          <w:sz w:val="32"/>
          <w:szCs w:val="32"/>
          <w14:textFill>
            <w14:solidFill>
              <w14:schemeClr w14:val="tx1"/>
            </w14:solidFill>
          </w14:textFill>
        </w:rPr>
        <w:t>2023年</w:t>
      </w:r>
      <w:r>
        <w:rPr>
          <w:rFonts w:hint="eastAsia" w:asciiTheme="minorEastAsia" w:hAnsiTheme="minorEastAsia" w:eastAsiaTheme="minorEastAsia" w:cstheme="minorEastAsia"/>
          <w:b/>
          <w:color w:val="000000" w:themeColor="text1"/>
          <w:kern w:val="0"/>
          <w:sz w:val="32"/>
          <w:szCs w:val="32"/>
          <w:lang w:val="en-US" w:eastAsia="zh-CN"/>
          <w14:textFill>
            <w14:solidFill>
              <w14:schemeClr w14:val="tx1"/>
            </w14:solidFill>
          </w14:textFill>
        </w:rPr>
        <w:t>3</w:t>
      </w:r>
      <w:r>
        <w:rPr>
          <w:rFonts w:hint="eastAsia" w:asciiTheme="minorEastAsia" w:hAnsiTheme="minorEastAsia" w:eastAsiaTheme="minorEastAsia" w:cstheme="minorEastAsia"/>
          <w:b/>
          <w:color w:val="000000" w:themeColor="text1"/>
          <w:kern w:val="0"/>
          <w:sz w:val="32"/>
          <w:szCs w:val="32"/>
          <w14:textFill>
            <w14:solidFill>
              <w14:schemeClr w14:val="tx1"/>
            </w14:solidFill>
          </w14:textFill>
        </w:rPr>
        <w:t>月</w:t>
      </w:r>
    </w:p>
    <w:p>
      <w:pPr>
        <w:pStyle w:val="2"/>
        <w:rPr>
          <w:rFonts w:asciiTheme="minorEastAsia" w:hAnsiTheme="minorEastAsia" w:eastAsiaTheme="minorEastAsia" w:cstheme="minorEastAsia"/>
          <w:b/>
          <w:color w:val="000000" w:themeColor="text1"/>
          <w:kern w:val="0"/>
          <w:sz w:val="32"/>
          <w:szCs w:val="32"/>
          <w14:textFill>
            <w14:solidFill>
              <w14:schemeClr w14:val="tx1"/>
            </w14:solidFill>
          </w14:textFill>
        </w:rPr>
      </w:pPr>
    </w:p>
    <w:p>
      <w:pPr>
        <w:rPr>
          <w:rFonts w:hint="eastAsia"/>
        </w:rPr>
      </w:pPr>
    </w:p>
    <w:p>
      <w:pPr>
        <w:spacing w:line="576" w:lineRule="exact"/>
        <w:ind w:firstLine="639" w:firstLineChars="200"/>
        <w:jc w:val="center"/>
        <w:rPr>
          <w:rFonts w:asciiTheme="minorEastAsia" w:hAnsiTheme="minorEastAsia" w:eastAsiaTheme="minorEastAsia" w:cstheme="minorEastAsia"/>
          <w:b/>
          <w:bCs/>
          <w:color w:val="000000" w:themeColor="text1"/>
          <w:spacing w:val="-1"/>
          <w:sz w:val="32"/>
          <w:szCs w:val="32"/>
          <w14:textFill>
            <w14:solidFill>
              <w14:schemeClr w14:val="tx1"/>
            </w14:solidFill>
          </w14:textFill>
        </w:rPr>
      </w:pPr>
      <w:r>
        <w:rPr>
          <w:rFonts w:hint="eastAsia" w:asciiTheme="minorEastAsia" w:hAnsiTheme="minorEastAsia" w:eastAsiaTheme="minorEastAsia" w:cstheme="minorEastAsia"/>
          <w:b/>
          <w:bCs/>
          <w:color w:val="000000" w:themeColor="text1"/>
          <w:spacing w:val="-1"/>
          <w:sz w:val="32"/>
          <w:szCs w:val="32"/>
          <w14:textFill>
            <w14:solidFill>
              <w14:schemeClr w14:val="tx1"/>
            </w14:solidFill>
          </w14:textFill>
        </w:rPr>
        <w:t>第一篇 招标公告</w:t>
      </w:r>
    </w:p>
    <w:p>
      <w:pPr>
        <w:keepNext w:val="0"/>
        <w:keepLines w:val="0"/>
        <w:pageBreakBefore w:val="0"/>
        <w:kinsoku/>
        <w:wordWrap/>
        <w:overflowPunct/>
        <w:topLinePunct w:val="0"/>
        <w:bidi w:val="0"/>
        <w:spacing w:line="500" w:lineRule="exact"/>
        <w:ind w:firstLine="478" w:firstLineChars="200"/>
        <w:textAlignment w:val="auto"/>
        <w:rPr>
          <w:rFonts w:asciiTheme="minorEastAsia" w:hAnsiTheme="minorEastAsia" w:eastAsiaTheme="minorEastAsia" w:cstheme="minorEastAsia"/>
          <w:b/>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b/>
          <w:color w:val="000000" w:themeColor="text1"/>
          <w:spacing w:val="-1"/>
          <w:sz w:val="24"/>
          <w:szCs w:val="24"/>
          <w14:textFill>
            <w14:solidFill>
              <w14:schemeClr w14:val="tx1"/>
            </w14:solidFill>
          </w14:textFill>
        </w:rPr>
        <w:t>一、基本情况</w:t>
      </w:r>
    </w:p>
    <w:p>
      <w:pPr>
        <w:keepNext w:val="0"/>
        <w:keepLines w:val="0"/>
        <w:pageBreakBefore w:val="0"/>
        <w:kinsoku/>
        <w:wordWrap/>
        <w:overflowPunct/>
        <w:topLinePunct w:val="0"/>
        <w:bidi w:val="0"/>
        <w:spacing w:line="500" w:lineRule="exact"/>
        <w:ind w:firstLine="476" w:firstLineChars="200"/>
        <w:textAlignment w:val="auto"/>
        <w:rPr>
          <w:rFonts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1.本项目</w:t>
      </w:r>
      <w:r>
        <w:rPr>
          <w:rFonts w:hint="eastAsia" w:asciiTheme="minorEastAsia" w:hAnsiTheme="minorEastAsia" w:eastAsiaTheme="minorEastAsia" w:cstheme="minorEastAsia"/>
          <w:color w:val="000000" w:themeColor="text1"/>
          <w:spacing w:val="-1"/>
          <w:sz w:val="24"/>
          <w:szCs w:val="24"/>
          <w:u w:val="single"/>
          <w14:textFill>
            <w14:solidFill>
              <w14:schemeClr w14:val="tx1"/>
            </w14:solidFill>
          </w14:textFill>
        </w:rPr>
        <w:t>綦江区2022年丘陵山区高标准农田改造提升示范项目</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已由</w:t>
      </w:r>
      <w:r>
        <w:rPr>
          <w:rFonts w:hint="eastAsia" w:asciiTheme="minorEastAsia" w:hAnsiTheme="minorEastAsia" w:eastAsiaTheme="minorEastAsia" w:cstheme="minorEastAsia"/>
          <w:color w:val="000000" w:themeColor="text1"/>
          <w:spacing w:val="-1"/>
          <w:sz w:val="24"/>
          <w:szCs w:val="24"/>
          <w:u w:val="single"/>
          <w14:textFill>
            <w14:solidFill>
              <w14:schemeClr w14:val="tx1"/>
            </w14:solidFill>
          </w14:textFill>
        </w:rPr>
        <w:t>重庆市农业农村委《关于万州等23个区县（自治县）丘陵山区高标准农田改造提升示范项目的批复》（渝农发〔2022〕67号）</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批准建设，采购人为</w:t>
      </w:r>
      <w:r>
        <w:rPr>
          <w:rFonts w:hint="eastAsia" w:asciiTheme="minorEastAsia" w:hAnsiTheme="minorEastAsia" w:eastAsiaTheme="minorEastAsia" w:cstheme="minorEastAsia"/>
          <w:color w:val="000000" w:themeColor="text1"/>
          <w:spacing w:val="-1"/>
          <w:sz w:val="24"/>
          <w:szCs w:val="24"/>
          <w:u w:val="single"/>
          <w14:textFill>
            <w14:solidFill>
              <w14:schemeClr w14:val="tx1"/>
            </w14:solidFill>
          </w14:textFill>
        </w:rPr>
        <w:t>重庆卓成建筑工程股份有限公司</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，资金来源为</w:t>
      </w:r>
      <w:r>
        <w:rPr>
          <w:rFonts w:hint="eastAsia" w:asciiTheme="minorEastAsia" w:hAnsiTheme="minorEastAsia" w:eastAsiaTheme="minorEastAsia" w:cstheme="minorEastAsia"/>
          <w:color w:val="000000" w:themeColor="text1"/>
          <w:spacing w:val="-1"/>
          <w:sz w:val="24"/>
          <w:szCs w:val="24"/>
          <w:u w:val="single"/>
          <w14:textFill>
            <w14:solidFill>
              <w14:schemeClr w14:val="tx1"/>
            </w14:solidFill>
          </w14:textFill>
        </w:rPr>
        <w:t>市级资金</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，已具备招标条件，现对</w:t>
      </w:r>
      <w:r>
        <w:rPr>
          <w:rFonts w:hint="eastAsia" w:asciiTheme="minorEastAsia" w:hAnsiTheme="minorEastAsia" w:eastAsiaTheme="minorEastAsia" w:cstheme="minorEastAsia"/>
          <w:color w:val="000000" w:themeColor="text1"/>
          <w:spacing w:val="-1"/>
          <w:sz w:val="24"/>
          <w:szCs w:val="24"/>
          <w:u w:val="single"/>
          <w:lang w:eastAsia="zh-CN"/>
          <w14:textFill>
            <w14:solidFill>
              <w14:schemeClr w14:val="tx1"/>
            </w14:solidFill>
          </w14:textFill>
        </w:rPr>
        <w:t>綦江区2022年丘陵山区高标准农田改造提升示范项目商品有机肥（袋装）采购项目</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进行招标。</w:t>
      </w:r>
    </w:p>
    <w:p>
      <w:pPr>
        <w:keepNext w:val="0"/>
        <w:keepLines w:val="0"/>
        <w:pageBreakBefore w:val="0"/>
        <w:kinsoku/>
        <w:wordWrap/>
        <w:overflowPunct/>
        <w:topLinePunct w:val="0"/>
        <w:bidi w:val="0"/>
        <w:spacing w:line="500" w:lineRule="exact"/>
        <w:ind w:firstLine="476" w:firstLineChars="200"/>
        <w:textAlignment w:val="auto"/>
        <w:rPr>
          <w:rFonts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为满足工程建设需要，控制工程成本。现对该项目建设所需</w:t>
      </w:r>
      <w:r>
        <w:rPr>
          <w:rFonts w:hint="eastAsia" w:asciiTheme="minorEastAsia" w:hAnsiTheme="minorEastAsia" w:eastAsiaTheme="minorEastAsia" w:cstheme="minorEastAsia"/>
          <w:color w:val="000000" w:themeColor="text1"/>
          <w:spacing w:val="-1"/>
          <w:sz w:val="24"/>
          <w:szCs w:val="24"/>
          <w:u w:val="single"/>
          <w:lang w:eastAsia="zh-CN"/>
          <w14:textFill>
            <w14:solidFill>
              <w14:schemeClr w14:val="tx1"/>
            </w14:solidFill>
          </w14:textFill>
        </w:rPr>
        <w:t>商品有机肥（袋装）</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进行招标，欢迎有资格的潜在供应商参加投标。</w:t>
      </w:r>
    </w:p>
    <w:p>
      <w:pPr>
        <w:keepNext w:val="0"/>
        <w:keepLines w:val="0"/>
        <w:pageBreakBefore w:val="0"/>
        <w:tabs>
          <w:tab w:val="left" w:pos="9360"/>
        </w:tabs>
        <w:kinsoku/>
        <w:wordWrap/>
        <w:overflowPunct/>
        <w:topLinePunct w:val="0"/>
        <w:autoSpaceDE w:val="0"/>
        <w:autoSpaceDN w:val="0"/>
        <w:bidi w:val="0"/>
        <w:adjustRightInd w:val="0"/>
        <w:snapToGrid w:val="0"/>
        <w:spacing w:line="500" w:lineRule="exact"/>
        <w:ind w:firstLine="476" w:firstLineChars="200"/>
        <w:textAlignment w:val="auto"/>
        <w:rPr>
          <w:rFonts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2.项目地点：綦江区永新镇</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伏牛村、华蓉村、石塔村、垭口村、木瓜村</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、三江街道</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（水口村、双福村、五里村）</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、石角镇</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下湾村、齐雨村、长岗村、农岗村、双堰村、双树村、新民村</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、三角镇</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大湾村、徐家村、塘垭村、彭香村、望石村、永安村、乐升坪村</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、新盛街道</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阳台村、陈家村、四坪村</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w:t>
      </w:r>
    </w:p>
    <w:p>
      <w:pPr>
        <w:keepNext w:val="0"/>
        <w:keepLines w:val="0"/>
        <w:pageBreakBefore w:val="0"/>
        <w:kinsoku/>
        <w:wordWrap/>
        <w:overflowPunct/>
        <w:topLinePunct w:val="0"/>
        <w:bidi w:val="0"/>
        <w:spacing w:line="500" w:lineRule="exact"/>
        <w:ind w:firstLine="476" w:firstLineChars="200"/>
        <w:textAlignment w:val="auto"/>
        <w:rPr>
          <w:rFonts w:hint="default"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3.采购内容：</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商品有机肥（袋装）</w:t>
      </w:r>
    </w:p>
    <w:p>
      <w:pPr>
        <w:keepNext w:val="0"/>
        <w:keepLines w:val="0"/>
        <w:pageBreakBefore w:val="0"/>
        <w:kinsoku/>
        <w:wordWrap/>
        <w:overflowPunct/>
        <w:topLinePunct w:val="0"/>
        <w:bidi w:val="0"/>
        <w:spacing w:line="500" w:lineRule="exact"/>
        <w:ind w:firstLine="476" w:firstLineChars="200"/>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4.服务期：采购人因项目地块分散会分批分次下达订单，采购人下达</w:t>
      </w:r>
      <w:r>
        <w:rPr>
          <w:rFonts w:hint="eastAsia" w:asciiTheme="minorEastAsia" w:hAnsiTheme="minorEastAsia" w:eastAsiaTheme="minorEastAsia" w:cstheme="minorEastAsia"/>
          <w:color w:val="000000" w:themeColor="text1"/>
          <w:spacing w:val="-1"/>
          <w:sz w:val="24"/>
          <w:szCs w:val="24"/>
          <w:highlight w:val="none"/>
          <w:lang w:val="en-US" w:eastAsia="zh-CN"/>
          <w14:textFill>
            <w14:solidFill>
              <w14:schemeClr w14:val="tx1"/>
            </w14:solidFill>
          </w14:textFill>
        </w:rPr>
        <w:t>采购订单后3天内</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送达指定地点；供货方式：供货方负责办理运输和保险，将货物运抵指定地点。有关运输、保险的一切费用由供货方承担；</w:t>
      </w:r>
    </w:p>
    <w:p>
      <w:pPr>
        <w:keepNext w:val="0"/>
        <w:keepLines w:val="0"/>
        <w:pageBreakBefore w:val="0"/>
        <w:kinsoku/>
        <w:wordWrap/>
        <w:overflowPunct/>
        <w:topLinePunct w:val="0"/>
        <w:bidi w:val="0"/>
        <w:spacing w:line="500" w:lineRule="exact"/>
        <w:ind w:firstLine="476" w:firstLineChars="200"/>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5.质保期及伴随服务要求：</w:t>
      </w:r>
      <w:r>
        <w:rPr>
          <w:rFonts w:hint="eastAsia" w:ascii="宋体" w:hAnsi="宋体" w:eastAsia="宋体" w:cs="宋体"/>
          <w:sz w:val="24"/>
          <w:szCs w:val="24"/>
          <w:lang w:val="en-US" w:eastAsia="zh-CN"/>
        </w:rPr>
        <w:t>产品属于国家规定“三包”范围的，其产品质量保证期不得低于“三包”规定。</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附属服务内容：运输、保险、以及售后服务等。</w:t>
      </w:r>
    </w:p>
    <w:p>
      <w:pPr>
        <w:keepNext w:val="0"/>
        <w:keepLines w:val="0"/>
        <w:pageBreakBefore w:val="0"/>
        <w:kinsoku/>
        <w:wordWrap/>
        <w:overflowPunct/>
        <w:topLinePunct w:val="0"/>
        <w:bidi w:val="0"/>
        <w:spacing w:line="500" w:lineRule="exact"/>
        <w:ind w:firstLine="476" w:firstLineChars="200"/>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6.质量要求：须为有合格证的合格产品，并满足《有机肥料NY/T 525-2021》</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规定</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，并提供产品相关手</w:t>
      </w:r>
      <w:r>
        <w:rPr>
          <w:rFonts w:hint="eastAsia" w:asciiTheme="minorEastAsia" w:hAnsiTheme="minorEastAsia" w:eastAsiaTheme="minorEastAsia" w:cstheme="minorEastAsia"/>
          <w:color w:val="auto"/>
          <w:spacing w:val="-1"/>
          <w:sz w:val="24"/>
          <w:szCs w:val="24"/>
          <w:lang w:val="en-US" w:eastAsia="zh-CN"/>
        </w:rPr>
        <w:t>续，</w:t>
      </w:r>
      <w:r>
        <w:rPr>
          <w:rFonts w:hint="eastAsia" w:asciiTheme="minorEastAsia" w:hAnsiTheme="minorEastAsia" w:eastAsiaTheme="minorEastAsia" w:cstheme="minorEastAsia"/>
          <w:color w:val="auto"/>
          <w:spacing w:val="-1"/>
          <w:sz w:val="24"/>
          <w:szCs w:val="24"/>
          <w:highlight w:val="none"/>
          <w:lang w:val="en-US" w:eastAsia="zh-CN"/>
        </w:rPr>
        <w:t>达到采购</w:t>
      </w:r>
      <w:r>
        <w:rPr>
          <w:rFonts w:hint="eastAsia" w:asciiTheme="minorEastAsia" w:hAnsiTheme="minorEastAsia" w:eastAsiaTheme="minorEastAsia" w:cstheme="minorEastAsia"/>
          <w:color w:val="auto"/>
          <w:spacing w:val="-1"/>
          <w:sz w:val="24"/>
          <w:szCs w:val="24"/>
          <w:lang w:val="en-US" w:eastAsia="zh-CN"/>
        </w:rPr>
        <w:t>单位使用标准</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w:t>
      </w:r>
    </w:p>
    <w:p>
      <w:pPr>
        <w:keepNext w:val="0"/>
        <w:keepLines w:val="0"/>
        <w:pageBreakBefore w:val="0"/>
        <w:kinsoku/>
        <w:wordWrap/>
        <w:overflowPunct/>
        <w:topLinePunct w:val="0"/>
        <w:bidi w:val="0"/>
        <w:spacing w:line="500" w:lineRule="exact"/>
        <w:ind w:firstLine="478" w:firstLineChars="200"/>
        <w:textAlignment w:val="auto"/>
        <w:rPr>
          <w:rFonts w:asciiTheme="minorEastAsia" w:hAnsiTheme="minorEastAsia" w:eastAsiaTheme="minorEastAsia" w:cstheme="minorEastAsia"/>
          <w:b/>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b/>
          <w:color w:val="000000" w:themeColor="text1"/>
          <w:spacing w:val="-1"/>
          <w:sz w:val="24"/>
          <w:szCs w:val="24"/>
          <w14:textFill>
            <w14:solidFill>
              <w14:schemeClr w14:val="tx1"/>
            </w14:solidFill>
          </w14:textFill>
        </w:rPr>
        <w:t>二、供应商资格要求</w:t>
      </w:r>
    </w:p>
    <w:p>
      <w:pPr>
        <w:keepNext w:val="0"/>
        <w:keepLines w:val="0"/>
        <w:pageBreakBefore w:val="0"/>
        <w:kinsoku/>
        <w:wordWrap/>
        <w:overflowPunct/>
        <w:topLinePunct w:val="0"/>
        <w:bidi w:val="0"/>
        <w:spacing w:line="500" w:lineRule="exact"/>
        <w:ind w:firstLine="476" w:firstLineChars="200"/>
        <w:textAlignment w:val="auto"/>
        <w:rPr>
          <w:rFonts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1.</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资质条件</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w:t>
      </w:r>
    </w:p>
    <w:p>
      <w:pPr>
        <w:keepNext w:val="0"/>
        <w:keepLines w:val="0"/>
        <w:pageBreakBefore w:val="0"/>
        <w:tabs>
          <w:tab w:val="left" w:pos="9360"/>
        </w:tabs>
        <w:kinsoku/>
        <w:wordWrap/>
        <w:overflowPunct/>
        <w:topLinePunct w:val="0"/>
        <w:autoSpaceDE w:val="0"/>
        <w:autoSpaceDN w:val="0"/>
        <w:bidi w:val="0"/>
        <w:adjustRightInd w:val="0"/>
        <w:snapToGrid w:val="0"/>
        <w:spacing w:line="500" w:lineRule="exact"/>
        <w:ind w:firstLine="476" w:firstLineChars="200"/>
        <w:textAlignment w:val="auto"/>
        <w:rPr>
          <w:rFonts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（1）</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投标人须是具有独立法人资格的生产厂商或销售代理商，</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投标人为销售代理商则需具有厂家有效授权书，并在人员、设备、资金等方面具有相应的能力。</w:t>
      </w:r>
    </w:p>
    <w:p>
      <w:pPr>
        <w:keepNext w:val="0"/>
        <w:keepLines w:val="0"/>
        <w:pageBreakBefore w:val="0"/>
        <w:kinsoku/>
        <w:wordWrap/>
        <w:overflowPunct/>
        <w:topLinePunct w:val="0"/>
        <w:bidi w:val="0"/>
        <w:spacing w:line="500" w:lineRule="exact"/>
        <w:ind w:firstLine="476" w:firstLineChars="200"/>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（2）</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具备商品有机肥（袋装）生产能力和供应能力，有效期的商品有机肥（袋装）</w:t>
      </w:r>
      <w:r>
        <w:rPr>
          <w:rFonts w:hint="eastAsia" w:asciiTheme="minorEastAsia" w:hAnsiTheme="minorEastAsia" w:eastAsiaTheme="minorEastAsia" w:cstheme="minorEastAsia"/>
          <w:color w:val="auto"/>
          <w:spacing w:val="-1"/>
          <w:sz w:val="24"/>
          <w:szCs w:val="24"/>
          <w:lang w:val="en-US" w:eastAsia="zh-CN"/>
        </w:rPr>
        <w:t>登记证</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w:t>
      </w:r>
    </w:p>
    <w:p>
      <w:pPr>
        <w:pStyle w:val="7"/>
        <w:numPr>
          <w:ilvl w:val="0"/>
          <w:numId w:val="2"/>
        </w:numPr>
        <w:rPr>
          <w:rFonts w:hint="eastAsia" w:asciiTheme="minorEastAsia" w:hAnsiTheme="minorEastAsia" w:eastAsiaTheme="minorEastAsia" w:cstheme="minorEastAsia"/>
          <w:color w:val="000000" w:themeColor="text1"/>
          <w:spacing w:val="-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pacing w:val="-1"/>
          <w:kern w:val="2"/>
          <w:sz w:val="24"/>
          <w:szCs w:val="24"/>
          <w:lang w:val="en-US" w:eastAsia="zh-CN" w:bidi="ar-SA"/>
          <w14:textFill>
            <w14:solidFill>
              <w14:schemeClr w14:val="tx1"/>
            </w14:solidFill>
          </w14:textFill>
        </w:rPr>
        <w:t>投标产品具有2020年3月1日及以后第三方质检部门出具的产品检验报告。</w:t>
      </w:r>
    </w:p>
    <w:p>
      <w:pPr>
        <w:keepNext w:val="0"/>
        <w:keepLines w:val="0"/>
        <w:pageBreakBefore w:val="0"/>
        <w:kinsoku/>
        <w:wordWrap/>
        <w:overflowPunct/>
        <w:topLinePunct w:val="0"/>
        <w:bidi w:val="0"/>
        <w:spacing w:line="500" w:lineRule="exact"/>
        <w:ind w:firstLine="476" w:firstLineChars="200"/>
        <w:textAlignment w:val="auto"/>
        <w:rPr>
          <w:rFonts w:hint="eastAsia" w:asciiTheme="minorEastAsia" w:hAnsiTheme="minorEastAsia" w:eastAsiaTheme="minorEastAsia" w:cstheme="minorEastAsia"/>
          <w:color w:val="000000" w:themeColor="text1"/>
          <w:spacing w:val="-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pacing w:val="-1"/>
          <w:kern w:val="2"/>
          <w:sz w:val="24"/>
          <w:szCs w:val="24"/>
          <w:lang w:val="en-US" w:eastAsia="zh-CN" w:bidi="ar-SA"/>
          <w14:textFill>
            <w14:solidFill>
              <w14:schemeClr w14:val="tx1"/>
            </w14:solidFill>
          </w14:textFill>
        </w:rPr>
        <w:t>2.本项目不接受联合体投标。</w:t>
      </w:r>
    </w:p>
    <w:p>
      <w:pPr>
        <w:pStyle w:val="2"/>
        <w:keepNext w:val="0"/>
        <w:keepLines w:val="0"/>
        <w:pageBreakBefore w:val="0"/>
        <w:kinsoku/>
        <w:wordWrap/>
        <w:overflowPunct/>
        <w:topLinePunct w:val="0"/>
        <w:bidi w:val="0"/>
        <w:spacing w:line="500" w:lineRule="exact"/>
        <w:ind w:firstLine="478" w:firstLineChars="200"/>
        <w:textAlignment w:val="auto"/>
        <w:rPr>
          <w:rFonts w:asciiTheme="minorEastAsia" w:hAnsiTheme="minorEastAsia" w:eastAsiaTheme="minorEastAsia" w:cstheme="minorEastAsia"/>
          <w:b/>
          <w:bCs/>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pacing w:val="-1"/>
          <w:sz w:val="24"/>
          <w:szCs w:val="24"/>
          <w14:textFill>
            <w14:solidFill>
              <w14:schemeClr w14:val="tx1"/>
            </w14:solidFill>
          </w14:textFill>
        </w:rPr>
        <w:t>三、投标开标有关说明</w:t>
      </w:r>
    </w:p>
    <w:p>
      <w:pPr>
        <w:keepNext w:val="0"/>
        <w:keepLines w:val="0"/>
        <w:pageBreakBefore w:val="0"/>
        <w:kinsoku/>
        <w:wordWrap/>
        <w:overflowPunct/>
        <w:topLinePunct w:val="0"/>
        <w:bidi w:val="0"/>
        <w:spacing w:line="500" w:lineRule="exact"/>
        <w:ind w:firstLine="476" w:firstLineChars="200"/>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kern w:val="2"/>
          <w:sz w:val="24"/>
          <w:szCs w:val="24"/>
          <w:lang w:val="en-US" w:eastAsia="zh-CN" w:bidi="ar-SA"/>
          <w14:textFill>
            <w14:solidFill>
              <w14:schemeClr w14:val="tx1"/>
            </w14:solidFill>
          </w14:textFill>
        </w:rPr>
        <w:t>（1）招</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标文件的获取：凡有意参加竞标者，请于2023年 3  月 3 日起在重庆市綦江旅游度假区建设管理委员会官网（网址：http://www.cqqj.gov.cn/bm/lydjqgwh/）下载相关资料。</w:t>
      </w:r>
    </w:p>
    <w:p>
      <w:pPr>
        <w:keepNext w:val="0"/>
        <w:keepLines w:val="0"/>
        <w:pageBreakBefore w:val="0"/>
        <w:kinsoku/>
        <w:wordWrap/>
        <w:overflowPunct/>
        <w:topLinePunct w:val="0"/>
        <w:bidi w:val="0"/>
        <w:spacing w:line="500" w:lineRule="exact"/>
        <w:ind w:firstLine="476" w:firstLineChars="200"/>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（2）开标地点：綦江区红星广场9栋19楼会议室</w:t>
      </w:r>
    </w:p>
    <w:p>
      <w:pPr>
        <w:keepNext w:val="0"/>
        <w:keepLines w:val="0"/>
        <w:pageBreakBefore w:val="0"/>
        <w:kinsoku/>
        <w:wordWrap/>
        <w:overflowPunct/>
        <w:topLinePunct w:val="0"/>
        <w:bidi w:val="0"/>
        <w:spacing w:line="500" w:lineRule="exact"/>
        <w:ind w:firstLine="476" w:firstLineChars="200"/>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（3）开标时间：2023年 3 月 9 日 9 时 30 分。</w:t>
      </w:r>
    </w:p>
    <w:p>
      <w:pPr>
        <w:keepNext w:val="0"/>
        <w:keepLines w:val="0"/>
        <w:pageBreakBefore w:val="0"/>
        <w:kinsoku/>
        <w:wordWrap/>
        <w:overflowPunct/>
        <w:topLinePunct w:val="0"/>
        <w:bidi w:val="0"/>
        <w:spacing w:line="500" w:lineRule="exact"/>
        <w:ind w:firstLine="476" w:firstLineChars="200"/>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递交截止时间为2023年  3 月  9 日9:30投标人应将密封好的投标文件在投标截止时间前送达，逾期送达的或者未送达指定地点的投标文件，发包人不予受理。</w:t>
      </w:r>
    </w:p>
    <w:p>
      <w:pPr>
        <w:keepNext w:val="0"/>
        <w:keepLines w:val="0"/>
        <w:pageBreakBefore w:val="0"/>
        <w:kinsoku/>
        <w:wordWrap/>
        <w:overflowPunct/>
        <w:topLinePunct w:val="0"/>
        <w:bidi w:val="0"/>
        <w:spacing w:line="500" w:lineRule="exact"/>
        <w:ind w:firstLine="476" w:firstLineChars="200"/>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（4）提出质疑时间及方式：供应商在下载招标文件后，应仔细检查文件的所有内容，如有残缺或文字表述不清以及存在错、碰、漏、缺、概念模糊和有可能出现歧义或理解上的偏差的内容等应在 2023 年  3 月  6  日12时前书面通知发包人。</w:t>
      </w:r>
    </w:p>
    <w:p>
      <w:pPr>
        <w:keepNext w:val="0"/>
        <w:keepLines w:val="0"/>
        <w:pageBreakBefore w:val="0"/>
        <w:kinsoku/>
        <w:wordWrap/>
        <w:overflowPunct/>
        <w:topLinePunct w:val="0"/>
        <w:bidi w:val="0"/>
        <w:spacing w:line="500" w:lineRule="exact"/>
        <w:ind w:firstLine="476" w:firstLineChars="200"/>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（5）答疑、补遗发布时间及方式： 2023 年  3  月  6  日 18时前，在重庆市綦江旅游度假区建设管理委员会官网（网址：http://www.cqqj.gov.cn/bm/lydjqgwh/）上公开发布答疑、补遗。不管下载与否都视为潜在供应商全部知晓有关招标过程和全部内容。</w:t>
      </w:r>
    </w:p>
    <w:p>
      <w:pPr>
        <w:pStyle w:val="2"/>
        <w:keepNext w:val="0"/>
        <w:keepLines w:val="0"/>
        <w:pageBreakBefore w:val="0"/>
        <w:kinsoku/>
        <w:wordWrap/>
        <w:overflowPunct/>
        <w:topLinePunct w:val="0"/>
        <w:bidi w:val="0"/>
        <w:spacing w:line="500" w:lineRule="exact"/>
        <w:ind w:firstLine="478" w:firstLineChars="200"/>
        <w:textAlignment w:val="auto"/>
        <w:rPr>
          <w:rFonts w:hint="eastAsia" w:asciiTheme="minorEastAsia" w:hAnsiTheme="minorEastAsia" w:eastAsiaTheme="minorEastAsia" w:cstheme="minorEastAsia"/>
          <w:b/>
          <w:bCs/>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pacing w:val="-1"/>
          <w:sz w:val="24"/>
          <w:szCs w:val="24"/>
          <w:lang w:val="en-US" w:eastAsia="zh-CN"/>
          <w14:textFill>
            <w14:solidFill>
              <w14:schemeClr w14:val="tx1"/>
            </w14:solidFill>
          </w14:textFill>
        </w:rPr>
        <w:t>四</w:t>
      </w:r>
      <w:r>
        <w:rPr>
          <w:rFonts w:hint="eastAsia" w:asciiTheme="minorEastAsia" w:hAnsiTheme="minorEastAsia" w:eastAsiaTheme="minorEastAsia" w:cstheme="minorEastAsia"/>
          <w:b/>
          <w:bCs/>
          <w:color w:val="000000" w:themeColor="text1"/>
          <w:spacing w:val="-1"/>
          <w:sz w:val="24"/>
          <w:szCs w:val="24"/>
          <w14:textFill>
            <w14:solidFill>
              <w14:schemeClr w14:val="tx1"/>
            </w14:solidFill>
          </w14:textFill>
        </w:rPr>
        <w:t>、联系方式</w:t>
      </w:r>
    </w:p>
    <w:p>
      <w:pPr>
        <w:keepNext w:val="0"/>
        <w:keepLines w:val="0"/>
        <w:pageBreakBefore w:val="0"/>
        <w:kinsoku/>
        <w:wordWrap/>
        <w:overflowPunct/>
        <w:topLinePunct w:val="0"/>
        <w:bidi w:val="0"/>
        <w:spacing w:line="500" w:lineRule="exact"/>
        <w:ind w:firstLine="476" w:firstLineChars="200"/>
        <w:textAlignment w:val="auto"/>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招 标 人</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：重庆卓成建筑工程股份有限公司</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 xml:space="preserve">      </w:t>
      </w:r>
    </w:p>
    <w:p>
      <w:pPr>
        <w:keepNext w:val="0"/>
        <w:keepLines w:val="0"/>
        <w:pageBreakBefore w:val="0"/>
        <w:kinsoku/>
        <w:wordWrap/>
        <w:overflowPunct/>
        <w:topLinePunct w:val="0"/>
        <w:bidi w:val="0"/>
        <w:spacing w:line="500" w:lineRule="exact"/>
        <w:ind w:firstLine="476" w:firstLineChars="200"/>
        <w:textAlignment w:val="auto"/>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地    址：重庆市綦江区</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红星广场</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 xml:space="preserve">10栋11楼    </w:t>
      </w:r>
    </w:p>
    <w:p>
      <w:pPr>
        <w:keepNext w:val="0"/>
        <w:keepLines w:val="0"/>
        <w:pageBreakBefore w:val="0"/>
        <w:kinsoku/>
        <w:wordWrap/>
        <w:overflowPunct/>
        <w:topLinePunct w:val="0"/>
        <w:bidi w:val="0"/>
        <w:spacing w:line="500" w:lineRule="exact"/>
        <w:ind w:firstLine="476" w:firstLineChars="200"/>
        <w:textAlignment w:val="auto"/>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联 系 人：</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黎</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 xml:space="preserve">老师                         </w:t>
      </w:r>
    </w:p>
    <w:p>
      <w:pPr>
        <w:keepNext w:val="0"/>
        <w:keepLines w:val="0"/>
        <w:pageBreakBefore w:val="0"/>
        <w:kinsoku/>
        <w:wordWrap/>
        <w:overflowPunct/>
        <w:topLinePunct w:val="0"/>
        <w:bidi w:val="0"/>
        <w:spacing w:line="500" w:lineRule="exact"/>
        <w:ind w:firstLine="476"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电    话</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 xml:space="preserve">： 023-87263319    </w:t>
      </w:r>
    </w:p>
    <w:p>
      <w:pPr>
        <w:keepNext w:val="0"/>
        <w:keepLines w:val="0"/>
        <w:pageBreakBefore w:val="0"/>
        <w:kinsoku/>
        <w:wordWrap/>
        <w:overflowPunct/>
        <w:topLinePunct w:val="0"/>
        <w:bidi w:val="0"/>
        <w:spacing w:line="500" w:lineRule="exact"/>
        <w:ind w:firstLine="4895" w:firstLineChars="2057"/>
        <w:textAlignment w:val="auto"/>
        <w:rPr>
          <w:rFonts w:hint="eastAsia" w:asciiTheme="minorEastAsia" w:hAnsiTheme="minorEastAsia" w:eastAsiaTheme="minorEastAsia" w:cstheme="minorEastAsia"/>
          <w:b/>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202</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 xml:space="preserve">年 </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 xml:space="preserve"> 3</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 xml:space="preserve">  月</w:t>
      </w: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rPr>
          <w:rFonts w:hint="eastAsia"/>
        </w:rPr>
      </w:pPr>
    </w:p>
    <w:p>
      <w:pPr>
        <w:rPr>
          <w:rFonts w:hint="eastAsia"/>
        </w:rPr>
      </w:pPr>
    </w:p>
    <w:p>
      <w:pPr>
        <w:spacing w:line="576" w:lineRule="exact"/>
        <w:ind w:firstLine="643" w:firstLineChars="200"/>
        <w:jc w:val="center"/>
      </w:pPr>
      <w:r>
        <w:rPr>
          <w:rFonts w:hint="eastAsia" w:asciiTheme="minorEastAsia" w:hAnsiTheme="minorEastAsia" w:eastAsiaTheme="minorEastAsia" w:cstheme="minorEastAsia"/>
          <w:b/>
          <w:color w:val="000000" w:themeColor="text1"/>
          <w:kern w:val="0"/>
          <w:sz w:val="32"/>
          <w:szCs w:val="32"/>
          <w14:textFill>
            <w14:solidFill>
              <w14:schemeClr w14:val="tx1"/>
            </w14:solidFill>
          </w14:textFill>
        </w:rPr>
        <w:t>第二篇</w:t>
      </w:r>
      <w:r>
        <w:rPr>
          <w:rFonts w:hint="eastAsia" w:asciiTheme="minorEastAsia" w:hAnsiTheme="minorEastAsia" w:eastAsiaTheme="minorEastAsia" w:cstheme="minorEastAsia"/>
          <w:b/>
          <w:color w:val="000000" w:themeColor="text1"/>
          <w:kern w:val="0"/>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b/>
          <w:color w:val="000000" w:themeColor="text1"/>
          <w:kern w:val="0"/>
          <w:sz w:val="32"/>
          <w:szCs w:val="32"/>
          <w14:textFill>
            <w14:solidFill>
              <w14:schemeClr w14:val="tx1"/>
            </w14:solidFill>
          </w14:textFill>
        </w:rPr>
        <w:t>采购货物质量技术要求</w:t>
      </w:r>
    </w:p>
    <w:p>
      <w:pPr>
        <w:keepNext w:val="0"/>
        <w:keepLines w:val="0"/>
        <w:pageBreakBefore w:val="0"/>
        <w:widowControl w:val="0"/>
        <w:kinsoku/>
        <w:wordWrap/>
        <w:overflowPunct/>
        <w:topLinePunct w:val="0"/>
        <w:autoSpaceDE/>
        <w:autoSpaceDN/>
        <w:bidi w:val="0"/>
        <w:adjustRightInd/>
        <w:snapToGrid/>
        <w:spacing w:line="400" w:lineRule="exact"/>
        <w:ind w:firstLine="476" w:firstLineChars="200"/>
        <w:textAlignment w:val="auto"/>
        <w:rPr>
          <w:rFonts w:hint="eastAsia" w:asciiTheme="minorEastAsia" w:hAnsiTheme="minorEastAsia" w:eastAsiaTheme="minorEastAsia" w:cstheme="minorEastAsia"/>
          <w:color w:val="auto"/>
          <w:spacing w:val="-1"/>
          <w:sz w:val="24"/>
          <w:szCs w:val="24"/>
          <w:lang w:val="en-US" w:eastAsia="zh-CN"/>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1.主要技术指标</w:t>
      </w:r>
      <w:r>
        <w:rPr>
          <w:rFonts w:hint="eastAsia" w:asciiTheme="minorEastAsia" w:hAnsiTheme="minorEastAsia" w:eastAsiaTheme="minorEastAsia" w:cstheme="minorEastAsia"/>
          <w:color w:val="auto"/>
          <w:spacing w:val="-1"/>
          <w:sz w:val="24"/>
          <w:szCs w:val="24"/>
          <w:lang w:val="en-US" w:eastAsia="zh-CN"/>
        </w:rPr>
        <w:t>：参照（GB18382-2001及有机肥料NY/T 525-2021标准），总养分（N+P2O5+K2O)≥4%，有机质≥30%，粉剂、其他指标符合NY525-2021检测标准）。</w:t>
      </w:r>
    </w:p>
    <w:p>
      <w:pPr>
        <w:keepNext w:val="0"/>
        <w:keepLines w:val="0"/>
        <w:pageBreakBefore w:val="0"/>
        <w:widowControl w:val="0"/>
        <w:kinsoku/>
        <w:wordWrap/>
        <w:overflowPunct/>
        <w:topLinePunct w:val="0"/>
        <w:autoSpaceDE/>
        <w:autoSpaceDN/>
        <w:bidi w:val="0"/>
        <w:adjustRightInd/>
        <w:snapToGrid/>
        <w:spacing w:line="400" w:lineRule="exact"/>
        <w:ind w:firstLine="476" w:firstLineChars="200"/>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2.商品有机肥源须以养殖畜禽粪便（但城市、生活垃圾、鸡、猪粪便除外）、农作物秸杆等为主要原料。</w:t>
      </w:r>
    </w:p>
    <w:p>
      <w:pPr>
        <w:keepNext w:val="0"/>
        <w:keepLines w:val="0"/>
        <w:pageBreakBefore w:val="0"/>
        <w:widowControl w:val="0"/>
        <w:kinsoku/>
        <w:wordWrap/>
        <w:overflowPunct/>
        <w:topLinePunct w:val="0"/>
        <w:autoSpaceDE/>
        <w:autoSpaceDN/>
        <w:bidi w:val="0"/>
        <w:adjustRightInd/>
        <w:snapToGrid/>
        <w:spacing w:line="400" w:lineRule="exact"/>
        <w:ind w:firstLine="476" w:firstLineChars="200"/>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3.采购的有机肥须满足中华人民共和国农业行业标准《有机肥料NY/T 525-2021》，数量2370吨，包装规格为每袋50斤，包装袋为内塑料薄膜、外编织袋；包装标准执行“GB 18382—2021”标准。具体质量和限量指标见下表：</w:t>
      </w:r>
    </w:p>
    <w:tbl>
      <w:tblPr>
        <w:tblStyle w:val="19"/>
        <w:tblW w:w="10358" w:type="dxa"/>
        <w:jc w:val="center"/>
        <w:tblLayout w:type="fixed"/>
        <w:tblCellMar>
          <w:top w:w="0" w:type="dxa"/>
          <w:left w:w="0" w:type="dxa"/>
          <w:bottom w:w="0" w:type="dxa"/>
          <w:right w:w="0" w:type="dxa"/>
        </w:tblCellMar>
      </w:tblPr>
      <w:tblGrid>
        <w:gridCol w:w="4723"/>
        <w:gridCol w:w="1325"/>
        <w:gridCol w:w="4310"/>
      </w:tblGrid>
      <w:tr>
        <w:tblPrEx>
          <w:tblCellMar>
            <w:top w:w="0" w:type="dxa"/>
            <w:left w:w="0" w:type="dxa"/>
            <w:bottom w:w="0" w:type="dxa"/>
            <w:right w:w="0" w:type="dxa"/>
          </w:tblCellMar>
        </w:tblPrEx>
        <w:trPr>
          <w:trHeight w:val="435" w:hRule="atLeast"/>
          <w:jc w:val="center"/>
        </w:trPr>
        <w:tc>
          <w:tcPr>
            <w:tcW w:w="10358" w:type="dxa"/>
            <w:gridSpan w:val="3"/>
            <w:tcBorders>
              <w:top w:val="nil"/>
              <w:left w:val="nil"/>
              <w:bottom w:val="nil"/>
              <w:right w:val="nil"/>
            </w:tcBorders>
            <w:noWrap/>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400" w:lineRule="exact"/>
              <w:ind w:firstLine="476" w:firstLineChars="200"/>
              <w:jc w:val="center"/>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有机肥料技术指标要求及检测方法</w:t>
            </w:r>
          </w:p>
        </w:tc>
      </w:tr>
      <w:tr>
        <w:tblPrEx>
          <w:tblCellMar>
            <w:top w:w="0" w:type="dxa"/>
            <w:left w:w="0" w:type="dxa"/>
            <w:bottom w:w="0" w:type="dxa"/>
            <w:right w:w="0" w:type="dxa"/>
          </w:tblCellMar>
        </w:tblPrEx>
        <w:trPr>
          <w:trHeight w:val="596" w:hRule="atLeast"/>
          <w:jc w:val="center"/>
        </w:trPr>
        <w:tc>
          <w:tcPr>
            <w:tcW w:w="4723"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spacing w:line="240" w:lineRule="exact"/>
              <w:ind w:firstLine="476" w:firstLineChars="200"/>
              <w:jc w:val="center"/>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项目</w:t>
            </w:r>
          </w:p>
        </w:tc>
        <w:tc>
          <w:tcPr>
            <w:tcW w:w="1325" w:type="dxa"/>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spacing w:line="240" w:lineRule="exact"/>
              <w:ind w:firstLine="476" w:firstLineChars="200"/>
              <w:jc w:val="center"/>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指标</w:t>
            </w:r>
          </w:p>
        </w:tc>
        <w:tc>
          <w:tcPr>
            <w:tcW w:w="4310"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spacing w:line="240" w:lineRule="exact"/>
              <w:ind w:firstLine="476" w:firstLineChars="200"/>
              <w:jc w:val="center"/>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检测方法按照“NY 525—2021标准”规定的方法执行</w:t>
            </w:r>
          </w:p>
        </w:tc>
      </w:tr>
      <w:tr>
        <w:tblPrEx>
          <w:tblCellMar>
            <w:top w:w="0" w:type="dxa"/>
            <w:left w:w="0" w:type="dxa"/>
            <w:bottom w:w="0" w:type="dxa"/>
            <w:right w:w="0" w:type="dxa"/>
          </w:tblCellMar>
        </w:tblPrEx>
        <w:trPr>
          <w:trHeight w:val="438" w:hRule="atLeast"/>
          <w:jc w:val="center"/>
        </w:trPr>
        <w:tc>
          <w:tcPr>
            <w:tcW w:w="4723" w:type="dxa"/>
            <w:tcBorders>
              <w:top w:val="nil"/>
              <w:left w:val="single" w:color="000000" w:sz="8" w:space="0"/>
              <w:bottom w:val="single" w:color="000000" w:sz="8" w:space="0"/>
              <w:right w:val="single" w:color="000000" w:sz="8" w:space="0"/>
            </w:tcBorders>
            <w:noWrap/>
            <w:tcMar>
              <w:top w:w="15" w:type="dxa"/>
              <w:left w:w="15" w:type="dxa"/>
              <w:right w:w="15" w:type="dxa"/>
            </w:tcMar>
            <w:vAlign w:val="top"/>
          </w:tcPr>
          <w:p>
            <w:pPr>
              <w:keepNext w:val="0"/>
              <w:keepLines w:val="0"/>
              <w:pageBreakBefore w:val="0"/>
              <w:widowControl w:val="0"/>
              <w:kinsoku/>
              <w:wordWrap/>
              <w:overflowPunct/>
              <w:topLinePunct w:val="0"/>
              <w:autoSpaceDE/>
              <w:autoSpaceDN/>
              <w:bidi w:val="0"/>
              <w:spacing w:line="240" w:lineRule="exact"/>
              <w:ind w:firstLine="476" w:firstLineChars="200"/>
              <w:jc w:val="center"/>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有机质质量分数（以烘干基计），％</w:t>
            </w:r>
          </w:p>
        </w:tc>
        <w:tc>
          <w:tcPr>
            <w:tcW w:w="1325" w:type="dxa"/>
            <w:tcBorders>
              <w:top w:val="nil"/>
              <w:left w:val="nil"/>
              <w:bottom w:val="single" w:color="000000" w:sz="8" w:space="0"/>
              <w:right w:val="single" w:color="000000" w:sz="8" w:space="0"/>
            </w:tcBorders>
            <w:noWrap/>
            <w:tcMar>
              <w:top w:w="15" w:type="dxa"/>
              <w:left w:w="15" w:type="dxa"/>
              <w:right w:w="15" w:type="dxa"/>
            </w:tcMar>
            <w:vAlign w:val="top"/>
          </w:tcPr>
          <w:p>
            <w:pPr>
              <w:keepNext w:val="0"/>
              <w:keepLines w:val="0"/>
              <w:pageBreakBefore w:val="0"/>
              <w:widowControl w:val="0"/>
              <w:kinsoku/>
              <w:wordWrap/>
              <w:overflowPunct/>
              <w:topLinePunct w:val="0"/>
              <w:autoSpaceDE/>
              <w:autoSpaceDN/>
              <w:bidi w:val="0"/>
              <w:spacing w:line="240" w:lineRule="exact"/>
              <w:ind w:firstLine="476" w:firstLineChars="200"/>
              <w:jc w:val="center"/>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≧30</w:t>
            </w:r>
          </w:p>
        </w:tc>
        <w:tc>
          <w:tcPr>
            <w:tcW w:w="4310" w:type="dxa"/>
            <w:vMerge w:val="continue"/>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spacing w:line="240" w:lineRule="exact"/>
              <w:ind w:firstLine="476" w:firstLineChars="200"/>
              <w:jc w:val="center"/>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p>
        </w:tc>
      </w:tr>
      <w:tr>
        <w:tblPrEx>
          <w:tblCellMar>
            <w:top w:w="0" w:type="dxa"/>
            <w:left w:w="0" w:type="dxa"/>
            <w:bottom w:w="0" w:type="dxa"/>
            <w:right w:w="0" w:type="dxa"/>
          </w:tblCellMar>
        </w:tblPrEx>
        <w:trPr>
          <w:trHeight w:val="465" w:hRule="atLeast"/>
          <w:jc w:val="center"/>
        </w:trPr>
        <w:tc>
          <w:tcPr>
            <w:tcW w:w="4723" w:type="dxa"/>
            <w:tcBorders>
              <w:top w:val="nil"/>
              <w:left w:val="single" w:color="000000" w:sz="8" w:space="0"/>
              <w:bottom w:val="single" w:color="000000" w:sz="8" w:space="0"/>
              <w:right w:val="single" w:color="000000" w:sz="8" w:space="0"/>
            </w:tcBorders>
            <w:noWrap/>
            <w:tcMar>
              <w:top w:w="15" w:type="dxa"/>
              <w:left w:w="15" w:type="dxa"/>
              <w:right w:w="15" w:type="dxa"/>
            </w:tcMar>
            <w:vAlign w:val="top"/>
          </w:tcPr>
          <w:p>
            <w:pPr>
              <w:keepNext w:val="0"/>
              <w:keepLines w:val="0"/>
              <w:pageBreakBefore w:val="0"/>
              <w:widowControl w:val="0"/>
              <w:kinsoku/>
              <w:wordWrap/>
              <w:overflowPunct/>
              <w:topLinePunct w:val="0"/>
              <w:autoSpaceDE/>
              <w:autoSpaceDN/>
              <w:bidi w:val="0"/>
              <w:spacing w:line="240" w:lineRule="exact"/>
              <w:ind w:firstLine="476" w:firstLineChars="200"/>
              <w:jc w:val="center"/>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总养分（N—P2O5—K2O）的质量分数（以烘干基计），％</w:t>
            </w:r>
          </w:p>
        </w:tc>
        <w:tc>
          <w:tcPr>
            <w:tcW w:w="1325" w:type="dxa"/>
            <w:tcBorders>
              <w:top w:val="nil"/>
              <w:left w:val="nil"/>
              <w:bottom w:val="single" w:color="000000" w:sz="8" w:space="0"/>
              <w:right w:val="single" w:color="000000" w:sz="8" w:space="0"/>
            </w:tcBorders>
            <w:noWrap/>
            <w:tcMar>
              <w:top w:w="15" w:type="dxa"/>
              <w:left w:w="15" w:type="dxa"/>
              <w:right w:w="15" w:type="dxa"/>
            </w:tcMar>
            <w:vAlign w:val="top"/>
          </w:tcPr>
          <w:p>
            <w:pPr>
              <w:keepNext w:val="0"/>
              <w:keepLines w:val="0"/>
              <w:pageBreakBefore w:val="0"/>
              <w:widowControl w:val="0"/>
              <w:kinsoku/>
              <w:wordWrap/>
              <w:overflowPunct/>
              <w:topLinePunct w:val="0"/>
              <w:autoSpaceDE/>
              <w:autoSpaceDN/>
              <w:bidi w:val="0"/>
              <w:spacing w:line="240" w:lineRule="exact"/>
              <w:ind w:firstLine="476" w:firstLineChars="200"/>
              <w:jc w:val="center"/>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≧4.0</w:t>
            </w:r>
          </w:p>
        </w:tc>
        <w:tc>
          <w:tcPr>
            <w:tcW w:w="4310" w:type="dxa"/>
            <w:vMerge w:val="continue"/>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spacing w:line="240" w:lineRule="exact"/>
              <w:ind w:firstLine="476" w:firstLineChars="200"/>
              <w:jc w:val="center"/>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p>
        </w:tc>
      </w:tr>
      <w:tr>
        <w:tblPrEx>
          <w:tblCellMar>
            <w:top w:w="0" w:type="dxa"/>
            <w:left w:w="0" w:type="dxa"/>
            <w:bottom w:w="0" w:type="dxa"/>
            <w:right w:w="0" w:type="dxa"/>
          </w:tblCellMar>
        </w:tblPrEx>
        <w:trPr>
          <w:trHeight w:val="421" w:hRule="atLeast"/>
          <w:jc w:val="center"/>
        </w:trPr>
        <w:tc>
          <w:tcPr>
            <w:tcW w:w="4723" w:type="dxa"/>
            <w:tcBorders>
              <w:top w:val="nil"/>
              <w:left w:val="single" w:color="000000" w:sz="8" w:space="0"/>
              <w:bottom w:val="single" w:color="000000" w:sz="8" w:space="0"/>
              <w:right w:val="single" w:color="000000" w:sz="8" w:space="0"/>
            </w:tcBorders>
            <w:noWrap/>
            <w:tcMar>
              <w:top w:w="15" w:type="dxa"/>
              <w:left w:w="15" w:type="dxa"/>
              <w:right w:w="15" w:type="dxa"/>
            </w:tcMar>
            <w:vAlign w:val="top"/>
          </w:tcPr>
          <w:p>
            <w:pPr>
              <w:keepNext w:val="0"/>
              <w:keepLines w:val="0"/>
              <w:pageBreakBefore w:val="0"/>
              <w:widowControl w:val="0"/>
              <w:kinsoku/>
              <w:wordWrap/>
              <w:overflowPunct/>
              <w:topLinePunct w:val="0"/>
              <w:autoSpaceDE/>
              <w:autoSpaceDN/>
              <w:bidi w:val="0"/>
              <w:spacing w:line="240" w:lineRule="exact"/>
              <w:ind w:firstLine="476" w:firstLineChars="200"/>
              <w:jc w:val="center"/>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水分（鲜样）的质量分数，％</w:t>
            </w:r>
          </w:p>
        </w:tc>
        <w:tc>
          <w:tcPr>
            <w:tcW w:w="1325" w:type="dxa"/>
            <w:tcBorders>
              <w:top w:val="nil"/>
              <w:left w:val="nil"/>
              <w:bottom w:val="single" w:color="000000" w:sz="8" w:space="0"/>
              <w:right w:val="single" w:color="000000" w:sz="8" w:space="0"/>
            </w:tcBorders>
            <w:noWrap/>
            <w:tcMar>
              <w:top w:w="15" w:type="dxa"/>
              <w:left w:w="15" w:type="dxa"/>
              <w:right w:w="15" w:type="dxa"/>
            </w:tcMar>
            <w:vAlign w:val="top"/>
          </w:tcPr>
          <w:p>
            <w:pPr>
              <w:keepNext w:val="0"/>
              <w:keepLines w:val="0"/>
              <w:pageBreakBefore w:val="0"/>
              <w:widowControl w:val="0"/>
              <w:kinsoku/>
              <w:wordWrap/>
              <w:overflowPunct/>
              <w:topLinePunct w:val="0"/>
              <w:autoSpaceDE/>
              <w:autoSpaceDN/>
              <w:bidi w:val="0"/>
              <w:spacing w:line="240" w:lineRule="exact"/>
              <w:ind w:firstLine="476" w:firstLineChars="200"/>
              <w:jc w:val="center"/>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≦30</w:t>
            </w:r>
          </w:p>
        </w:tc>
        <w:tc>
          <w:tcPr>
            <w:tcW w:w="4310" w:type="dxa"/>
            <w:vMerge w:val="continue"/>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spacing w:line="240" w:lineRule="exact"/>
              <w:ind w:firstLine="476" w:firstLineChars="200"/>
              <w:jc w:val="center"/>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p>
        </w:tc>
      </w:tr>
      <w:tr>
        <w:tblPrEx>
          <w:tblCellMar>
            <w:top w:w="0" w:type="dxa"/>
            <w:left w:w="0" w:type="dxa"/>
            <w:bottom w:w="0" w:type="dxa"/>
            <w:right w:w="0" w:type="dxa"/>
          </w:tblCellMar>
        </w:tblPrEx>
        <w:trPr>
          <w:trHeight w:val="315" w:hRule="atLeast"/>
          <w:jc w:val="center"/>
        </w:trPr>
        <w:tc>
          <w:tcPr>
            <w:tcW w:w="4723" w:type="dxa"/>
            <w:tcBorders>
              <w:top w:val="nil"/>
              <w:left w:val="single" w:color="000000" w:sz="8" w:space="0"/>
              <w:bottom w:val="single" w:color="000000" w:sz="8" w:space="0"/>
              <w:right w:val="single" w:color="000000" w:sz="8" w:space="0"/>
            </w:tcBorders>
            <w:noWrap/>
            <w:tcMar>
              <w:top w:w="15" w:type="dxa"/>
              <w:left w:w="15" w:type="dxa"/>
              <w:right w:w="15" w:type="dxa"/>
            </w:tcMar>
            <w:vAlign w:val="top"/>
          </w:tcPr>
          <w:p>
            <w:pPr>
              <w:keepNext w:val="0"/>
              <w:keepLines w:val="0"/>
              <w:pageBreakBefore w:val="0"/>
              <w:widowControl w:val="0"/>
              <w:kinsoku/>
              <w:wordWrap/>
              <w:overflowPunct/>
              <w:topLinePunct w:val="0"/>
              <w:autoSpaceDE/>
              <w:autoSpaceDN/>
              <w:bidi w:val="0"/>
              <w:spacing w:line="240" w:lineRule="exact"/>
              <w:ind w:firstLine="476" w:firstLineChars="200"/>
              <w:jc w:val="center"/>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酸碱度（pH）</w:t>
            </w:r>
          </w:p>
        </w:tc>
        <w:tc>
          <w:tcPr>
            <w:tcW w:w="1325" w:type="dxa"/>
            <w:tcBorders>
              <w:top w:val="nil"/>
              <w:left w:val="nil"/>
              <w:bottom w:val="single" w:color="000000" w:sz="8" w:space="0"/>
              <w:right w:val="single" w:color="000000" w:sz="8" w:space="0"/>
            </w:tcBorders>
            <w:noWrap/>
            <w:tcMar>
              <w:top w:w="15" w:type="dxa"/>
              <w:left w:w="15" w:type="dxa"/>
              <w:right w:w="15" w:type="dxa"/>
            </w:tcMar>
            <w:vAlign w:val="top"/>
          </w:tcPr>
          <w:p>
            <w:pPr>
              <w:keepNext w:val="0"/>
              <w:keepLines w:val="0"/>
              <w:pageBreakBefore w:val="0"/>
              <w:widowControl w:val="0"/>
              <w:kinsoku/>
              <w:wordWrap/>
              <w:overflowPunct/>
              <w:topLinePunct w:val="0"/>
              <w:autoSpaceDE/>
              <w:autoSpaceDN/>
              <w:bidi w:val="0"/>
              <w:spacing w:line="240" w:lineRule="exact"/>
              <w:ind w:firstLine="476" w:firstLineChars="200"/>
              <w:jc w:val="center"/>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5. 5〜8.5</w:t>
            </w:r>
          </w:p>
        </w:tc>
        <w:tc>
          <w:tcPr>
            <w:tcW w:w="4310" w:type="dxa"/>
            <w:vMerge w:val="continue"/>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spacing w:line="240" w:lineRule="exact"/>
              <w:ind w:firstLine="476" w:firstLineChars="200"/>
              <w:jc w:val="center"/>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p>
        </w:tc>
      </w:tr>
      <w:tr>
        <w:tblPrEx>
          <w:tblCellMar>
            <w:top w:w="0" w:type="dxa"/>
            <w:left w:w="0" w:type="dxa"/>
            <w:bottom w:w="0" w:type="dxa"/>
            <w:right w:w="0" w:type="dxa"/>
          </w:tblCellMar>
        </w:tblPrEx>
        <w:trPr>
          <w:trHeight w:val="397" w:hRule="atLeast"/>
          <w:jc w:val="center"/>
        </w:trPr>
        <w:tc>
          <w:tcPr>
            <w:tcW w:w="4723" w:type="dxa"/>
            <w:tcBorders>
              <w:top w:val="nil"/>
              <w:left w:val="single" w:color="000000" w:sz="8" w:space="0"/>
              <w:bottom w:val="single" w:color="000000" w:sz="8" w:space="0"/>
              <w:right w:val="single" w:color="000000" w:sz="8" w:space="0"/>
            </w:tcBorders>
            <w:noWrap/>
            <w:tcMar>
              <w:top w:w="15" w:type="dxa"/>
              <w:left w:w="15" w:type="dxa"/>
              <w:right w:w="15" w:type="dxa"/>
            </w:tcMar>
            <w:vAlign w:val="top"/>
          </w:tcPr>
          <w:p>
            <w:pPr>
              <w:keepNext w:val="0"/>
              <w:keepLines w:val="0"/>
              <w:pageBreakBefore w:val="0"/>
              <w:widowControl w:val="0"/>
              <w:kinsoku/>
              <w:wordWrap/>
              <w:overflowPunct/>
              <w:topLinePunct w:val="0"/>
              <w:autoSpaceDE/>
              <w:autoSpaceDN/>
              <w:bidi w:val="0"/>
              <w:spacing w:line="240" w:lineRule="exact"/>
              <w:ind w:firstLine="476" w:firstLineChars="200"/>
              <w:jc w:val="center"/>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种子发芽指数（GI），％</w:t>
            </w:r>
          </w:p>
        </w:tc>
        <w:tc>
          <w:tcPr>
            <w:tcW w:w="1325" w:type="dxa"/>
            <w:tcBorders>
              <w:top w:val="nil"/>
              <w:left w:val="nil"/>
              <w:bottom w:val="single" w:color="000000" w:sz="8" w:space="0"/>
              <w:right w:val="single" w:color="000000" w:sz="8" w:space="0"/>
            </w:tcBorders>
            <w:noWrap/>
            <w:tcMar>
              <w:top w:w="15" w:type="dxa"/>
              <w:left w:w="15" w:type="dxa"/>
              <w:right w:w="15" w:type="dxa"/>
            </w:tcMar>
            <w:vAlign w:val="top"/>
          </w:tcPr>
          <w:p>
            <w:pPr>
              <w:keepNext w:val="0"/>
              <w:keepLines w:val="0"/>
              <w:pageBreakBefore w:val="0"/>
              <w:widowControl w:val="0"/>
              <w:kinsoku/>
              <w:wordWrap/>
              <w:overflowPunct/>
              <w:topLinePunct w:val="0"/>
              <w:autoSpaceDE/>
              <w:autoSpaceDN/>
              <w:bidi w:val="0"/>
              <w:spacing w:line="240" w:lineRule="exact"/>
              <w:ind w:firstLine="476" w:firstLineChars="200"/>
              <w:jc w:val="center"/>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≧70</w:t>
            </w:r>
          </w:p>
        </w:tc>
        <w:tc>
          <w:tcPr>
            <w:tcW w:w="4310" w:type="dxa"/>
            <w:vMerge w:val="continue"/>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spacing w:line="240" w:lineRule="exact"/>
              <w:ind w:firstLine="476" w:firstLineChars="200"/>
              <w:jc w:val="center"/>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p>
        </w:tc>
      </w:tr>
      <w:tr>
        <w:tblPrEx>
          <w:tblCellMar>
            <w:top w:w="0" w:type="dxa"/>
            <w:left w:w="0" w:type="dxa"/>
            <w:bottom w:w="0" w:type="dxa"/>
            <w:right w:w="0" w:type="dxa"/>
          </w:tblCellMar>
        </w:tblPrEx>
        <w:trPr>
          <w:trHeight w:val="424" w:hRule="atLeast"/>
          <w:jc w:val="center"/>
        </w:trPr>
        <w:tc>
          <w:tcPr>
            <w:tcW w:w="4723" w:type="dxa"/>
            <w:tcBorders>
              <w:top w:val="nil"/>
              <w:left w:val="single" w:color="000000" w:sz="8" w:space="0"/>
              <w:bottom w:val="single" w:color="000000" w:sz="8" w:space="0"/>
              <w:right w:val="single" w:color="000000" w:sz="8" w:space="0"/>
            </w:tcBorders>
            <w:noWrap/>
            <w:tcMar>
              <w:top w:w="15" w:type="dxa"/>
              <w:left w:w="15" w:type="dxa"/>
              <w:right w:w="15" w:type="dxa"/>
            </w:tcMar>
            <w:vAlign w:val="top"/>
          </w:tcPr>
          <w:p>
            <w:pPr>
              <w:keepNext w:val="0"/>
              <w:keepLines w:val="0"/>
              <w:pageBreakBefore w:val="0"/>
              <w:widowControl w:val="0"/>
              <w:kinsoku/>
              <w:wordWrap/>
              <w:overflowPunct/>
              <w:topLinePunct w:val="0"/>
              <w:autoSpaceDE/>
              <w:autoSpaceDN/>
              <w:bidi w:val="0"/>
              <w:spacing w:line="240" w:lineRule="exact"/>
              <w:ind w:firstLine="476" w:firstLineChars="200"/>
              <w:jc w:val="center"/>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机械杂质的质量分数.％</w:t>
            </w:r>
          </w:p>
        </w:tc>
        <w:tc>
          <w:tcPr>
            <w:tcW w:w="1325" w:type="dxa"/>
            <w:tcBorders>
              <w:top w:val="nil"/>
              <w:left w:val="nil"/>
              <w:bottom w:val="single" w:color="000000" w:sz="8" w:space="0"/>
              <w:right w:val="single" w:color="000000" w:sz="8" w:space="0"/>
            </w:tcBorders>
            <w:noWrap/>
            <w:tcMar>
              <w:top w:w="15" w:type="dxa"/>
              <w:left w:w="15" w:type="dxa"/>
              <w:right w:w="15" w:type="dxa"/>
            </w:tcMar>
            <w:vAlign w:val="top"/>
          </w:tcPr>
          <w:p>
            <w:pPr>
              <w:keepNext w:val="0"/>
              <w:keepLines w:val="0"/>
              <w:pageBreakBefore w:val="0"/>
              <w:widowControl w:val="0"/>
              <w:kinsoku/>
              <w:wordWrap/>
              <w:overflowPunct/>
              <w:topLinePunct w:val="0"/>
              <w:autoSpaceDE/>
              <w:autoSpaceDN/>
              <w:bidi w:val="0"/>
              <w:spacing w:line="240" w:lineRule="exact"/>
              <w:ind w:firstLine="476" w:firstLineChars="200"/>
              <w:jc w:val="center"/>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≦0. 5</w:t>
            </w:r>
          </w:p>
        </w:tc>
        <w:tc>
          <w:tcPr>
            <w:tcW w:w="4310" w:type="dxa"/>
            <w:vMerge w:val="continue"/>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spacing w:line="240" w:lineRule="exact"/>
              <w:ind w:firstLine="476" w:firstLineChars="200"/>
              <w:jc w:val="center"/>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p>
        </w:tc>
      </w:tr>
      <w:tr>
        <w:tblPrEx>
          <w:tblCellMar>
            <w:top w:w="0" w:type="dxa"/>
            <w:left w:w="0" w:type="dxa"/>
            <w:bottom w:w="0" w:type="dxa"/>
            <w:right w:w="0" w:type="dxa"/>
          </w:tblCellMar>
        </w:tblPrEx>
        <w:trPr>
          <w:trHeight w:val="285" w:hRule="atLeast"/>
          <w:jc w:val="center"/>
        </w:trPr>
        <w:tc>
          <w:tcPr>
            <w:tcW w:w="472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spacing w:line="240" w:lineRule="exact"/>
              <w:ind w:firstLine="476" w:firstLineChars="200"/>
              <w:jc w:val="center"/>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p>
        </w:tc>
        <w:tc>
          <w:tcPr>
            <w:tcW w:w="1325"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spacing w:line="240" w:lineRule="exact"/>
              <w:ind w:firstLine="476" w:firstLineChars="200"/>
              <w:jc w:val="center"/>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p>
        </w:tc>
        <w:tc>
          <w:tcPr>
            <w:tcW w:w="4310"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spacing w:line="240" w:lineRule="exact"/>
              <w:ind w:firstLine="476" w:firstLineChars="200"/>
              <w:jc w:val="center"/>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p>
        </w:tc>
      </w:tr>
      <w:tr>
        <w:tblPrEx>
          <w:tblCellMar>
            <w:top w:w="0" w:type="dxa"/>
            <w:left w:w="0" w:type="dxa"/>
            <w:bottom w:w="0" w:type="dxa"/>
            <w:right w:w="0" w:type="dxa"/>
          </w:tblCellMar>
        </w:tblPrEx>
        <w:trPr>
          <w:trHeight w:val="435" w:hRule="atLeast"/>
          <w:jc w:val="center"/>
        </w:trPr>
        <w:tc>
          <w:tcPr>
            <w:tcW w:w="10358" w:type="dxa"/>
            <w:gridSpan w:val="3"/>
            <w:tcBorders>
              <w:top w:val="nil"/>
              <w:left w:val="nil"/>
              <w:bottom w:val="nil"/>
              <w:right w:val="nil"/>
            </w:tcBorders>
            <w:noWrap/>
            <w:tcMar>
              <w:top w:w="15" w:type="dxa"/>
              <w:left w:w="15" w:type="dxa"/>
              <w:right w:w="15" w:type="dxa"/>
            </w:tcMar>
            <w:vAlign w:val="top"/>
          </w:tcPr>
          <w:p>
            <w:pPr>
              <w:keepNext w:val="0"/>
              <w:keepLines w:val="0"/>
              <w:pageBreakBefore w:val="0"/>
              <w:widowControl w:val="0"/>
              <w:kinsoku/>
              <w:wordWrap/>
              <w:overflowPunct/>
              <w:topLinePunct w:val="0"/>
              <w:autoSpaceDE/>
              <w:autoSpaceDN/>
              <w:bidi w:val="0"/>
              <w:spacing w:line="240" w:lineRule="exact"/>
              <w:ind w:firstLine="476" w:firstLineChars="200"/>
              <w:jc w:val="center"/>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有机肥料限量指标要求及检测方法</w:t>
            </w:r>
          </w:p>
        </w:tc>
      </w:tr>
      <w:tr>
        <w:tblPrEx>
          <w:tblCellMar>
            <w:top w:w="0" w:type="dxa"/>
            <w:left w:w="0" w:type="dxa"/>
            <w:bottom w:w="0" w:type="dxa"/>
            <w:right w:w="0" w:type="dxa"/>
          </w:tblCellMar>
        </w:tblPrEx>
        <w:trPr>
          <w:trHeight w:val="195" w:hRule="atLeast"/>
          <w:jc w:val="center"/>
        </w:trPr>
        <w:tc>
          <w:tcPr>
            <w:tcW w:w="4723"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spacing w:line="240" w:lineRule="exact"/>
              <w:ind w:firstLine="476" w:firstLineChars="200"/>
              <w:jc w:val="center"/>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项目</w:t>
            </w:r>
          </w:p>
        </w:tc>
        <w:tc>
          <w:tcPr>
            <w:tcW w:w="1325" w:type="dxa"/>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spacing w:line="240" w:lineRule="exact"/>
              <w:ind w:firstLine="476" w:firstLineChars="200"/>
              <w:jc w:val="center"/>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指标</w:t>
            </w:r>
          </w:p>
        </w:tc>
        <w:tc>
          <w:tcPr>
            <w:tcW w:w="4310"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spacing w:line="240" w:lineRule="exact"/>
              <w:ind w:firstLine="476" w:firstLineChars="200"/>
              <w:jc w:val="center"/>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检测方法按照“NY 525—2021标准”规定的方法执行</w:t>
            </w:r>
          </w:p>
        </w:tc>
      </w:tr>
      <w:tr>
        <w:tblPrEx>
          <w:tblCellMar>
            <w:top w:w="0" w:type="dxa"/>
            <w:left w:w="0" w:type="dxa"/>
            <w:bottom w:w="0" w:type="dxa"/>
            <w:right w:w="0" w:type="dxa"/>
          </w:tblCellMar>
        </w:tblPrEx>
        <w:trPr>
          <w:trHeight w:val="300" w:hRule="atLeast"/>
          <w:jc w:val="center"/>
        </w:trPr>
        <w:tc>
          <w:tcPr>
            <w:tcW w:w="4723" w:type="dxa"/>
            <w:tcBorders>
              <w:top w:val="nil"/>
              <w:left w:val="single" w:color="000000" w:sz="8" w:space="0"/>
              <w:bottom w:val="single" w:color="000000" w:sz="8" w:space="0"/>
              <w:right w:val="single" w:color="000000" w:sz="8" w:space="0"/>
            </w:tcBorders>
            <w:noWrap/>
            <w:tcMar>
              <w:top w:w="15" w:type="dxa"/>
              <w:left w:w="15" w:type="dxa"/>
              <w:right w:w="15" w:type="dxa"/>
            </w:tcMar>
            <w:vAlign w:val="bottom"/>
          </w:tcPr>
          <w:p>
            <w:pPr>
              <w:keepNext w:val="0"/>
              <w:keepLines w:val="0"/>
              <w:pageBreakBefore w:val="0"/>
              <w:widowControl w:val="0"/>
              <w:kinsoku/>
              <w:wordWrap/>
              <w:overflowPunct/>
              <w:topLinePunct w:val="0"/>
              <w:autoSpaceDE/>
              <w:autoSpaceDN/>
              <w:bidi w:val="0"/>
              <w:spacing w:line="240" w:lineRule="exact"/>
              <w:ind w:firstLine="476" w:firstLineChars="200"/>
              <w:jc w:val="center"/>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总砷（As），mg/kg</w:t>
            </w:r>
          </w:p>
        </w:tc>
        <w:tc>
          <w:tcPr>
            <w:tcW w:w="1325"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pageBreakBefore w:val="0"/>
              <w:widowControl w:val="0"/>
              <w:kinsoku/>
              <w:wordWrap/>
              <w:overflowPunct/>
              <w:topLinePunct w:val="0"/>
              <w:autoSpaceDE/>
              <w:autoSpaceDN/>
              <w:bidi w:val="0"/>
              <w:spacing w:line="240" w:lineRule="exact"/>
              <w:ind w:firstLine="476" w:firstLineChars="200"/>
              <w:jc w:val="center"/>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≦15</w:t>
            </w:r>
          </w:p>
        </w:tc>
        <w:tc>
          <w:tcPr>
            <w:tcW w:w="4310" w:type="dxa"/>
            <w:vMerge w:val="continue"/>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spacing w:line="240" w:lineRule="exact"/>
              <w:ind w:firstLine="476" w:firstLineChars="200"/>
              <w:jc w:val="center"/>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p>
        </w:tc>
      </w:tr>
      <w:tr>
        <w:tblPrEx>
          <w:tblCellMar>
            <w:top w:w="0" w:type="dxa"/>
            <w:left w:w="0" w:type="dxa"/>
            <w:bottom w:w="0" w:type="dxa"/>
            <w:right w:w="0" w:type="dxa"/>
          </w:tblCellMar>
        </w:tblPrEx>
        <w:trPr>
          <w:trHeight w:val="300" w:hRule="atLeast"/>
          <w:jc w:val="center"/>
        </w:trPr>
        <w:tc>
          <w:tcPr>
            <w:tcW w:w="4723" w:type="dxa"/>
            <w:tcBorders>
              <w:top w:val="nil"/>
              <w:left w:val="single" w:color="000000" w:sz="8" w:space="0"/>
              <w:bottom w:val="single" w:color="000000" w:sz="8" w:space="0"/>
              <w:right w:val="single" w:color="000000" w:sz="8" w:space="0"/>
            </w:tcBorders>
            <w:noWrap/>
            <w:tcMar>
              <w:top w:w="15" w:type="dxa"/>
              <w:left w:w="15" w:type="dxa"/>
              <w:right w:w="15" w:type="dxa"/>
            </w:tcMar>
            <w:vAlign w:val="bottom"/>
          </w:tcPr>
          <w:p>
            <w:pPr>
              <w:keepNext w:val="0"/>
              <w:keepLines w:val="0"/>
              <w:pageBreakBefore w:val="0"/>
              <w:widowControl w:val="0"/>
              <w:kinsoku/>
              <w:wordWrap/>
              <w:overflowPunct/>
              <w:topLinePunct w:val="0"/>
              <w:autoSpaceDE/>
              <w:autoSpaceDN/>
              <w:bidi w:val="0"/>
              <w:spacing w:line="240" w:lineRule="exact"/>
              <w:ind w:firstLine="476" w:firstLineChars="200"/>
              <w:jc w:val="center"/>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总汞（Hg）， mg/kg</w:t>
            </w:r>
          </w:p>
        </w:tc>
        <w:tc>
          <w:tcPr>
            <w:tcW w:w="1325"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pageBreakBefore w:val="0"/>
              <w:widowControl w:val="0"/>
              <w:kinsoku/>
              <w:wordWrap/>
              <w:overflowPunct/>
              <w:topLinePunct w:val="0"/>
              <w:autoSpaceDE/>
              <w:autoSpaceDN/>
              <w:bidi w:val="0"/>
              <w:spacing w:line="240" w:lineRule="exact"/>
              <w:ind w:firstLine="476" w:firstLineChars="200"/>
              <w:jc w:val="center"/>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≦2</w:t>
            </w:r>
          </w:p>
        </w:tc>
        <w:tc>
          <w:tcPr>
            <w:tcW w:w="4310" w:type="dxa"/>
            <w:vMerge w:val="continue"/>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spacing w:line="240" w:lineRule="exact"/>
              <w:ind w:firstLine="476" w:firstLineChars="200"/>
              <w:jc w:val="center"/>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p>
        </w:tc>
      </w:tr>
      <w:tr>
        <w:tblPrEx>
          <w:tblCellMar>
            <w:top w:w="0" w:type="dxa"/>
            <w:left w:w="0" w:type="dxa"/>
            <w:bottom w:w="0" w:type="dxa"/>
            <w:right w:w="0" w:type="dxa"/>
          </w:tblCellMar>
        </w:tblPrEx>
        <w:trPr>
          <w:trHeight w:val="300" w:hRule="atLeast"/>
          <w:jc w:val="center"/>
        </w:trPr>
        <w:tc>
          <w:tcPr>
            <w:tcW w:w="4723" w:type="dxa"/>
            <w:tcBorders>
              <w:top w:val="nil"/>
              <w:left w:val="single" w:color="000000" w:sz="8" w:space="0"/>
              <w:bottom w:val="single" w:color="000000" w:sz="8" w:space="0"/>
              <w:right w:val="single" w:color="000000" w:sz="8" w:space="0"/>
            </w:tcBorders>
            <w:noWrap/>
            <w:tcMar>
              <w:top w:w="15" w:type="dxa"/>
              <w:left w:w="15" w:type="dxa"/>
              <w:right w:w="15" w:type="dxa"/>
            </w:tcMar>
            <w:vAlign w:val="bottom"/>
          </w:tcPr>
          <w:p>
            <w:pPr>
              <w:keepNext w:val="0"/>
              <w:keepLines w:val="0"/>
              <w:pageBreakBefore w:val="0"/>
              <w:widowControl w:val="0"/>
              <w:kinsoku/>
              <w:wordWrap/>
              <w:overflowPunct/>
              <w:topLinePunct w:val="0"/>
              <w:autoSpaceDE/>
              <w:autoSpaceDN/>
              <w:bidi w:val="0"/>
              <w:spacing w:line="240" w:lineRule="exact"/>
              <w:ind w:firstLine="476" w:firstLineChars="200"/>
              <w:jc w:val="center"/>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总铅（Pb），mg/kg</w:t>
            </w:r>
          </w:p>
        </w:tc>
        <w:tc>
          <w:tcPr>
            <w:tcW w:w="1325"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pageBreakBefore w:val="0"/>
              <w:widowControl w:val="0"/>
              <w:kinsoku/>
              <w:wordWrap/>
              <w:overflowPunct/>
              <w:topLinePunct w:val="0"/>
              <w:autoSpaceDE/>
              <w:autoSpaceDN/>
              <w:bidi w:val="0"/>
              <w:spacing w:line="240" w:lineRule="exact"/>
              <w:ind w:firstLine="476" w:firstLineChars="200"/>
              <w:jc w:val="center"/>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≦50</w:t>
            </w:r>
          </w:p>
        </w:tc>
        <w:tc>
          <w:tcPr>
            <w:tcW w:w="4310" w:type="dxa"/>
            <w:vMerge w:val="continue"/>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spacing w:line="240" w:lineRule="exact"/>
              <w:ind w:firstLine="476" w:firstLineChars="200"/>
              <w:jc w:val="center"/>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p>
        </w:tc>
      </w:tr>
      <w:tr>
        <w:tblPrEx>
          <w:tblCellMar>
            <w:top w:w="0" w:type="dxa"/>
            <w:left w:w="0" w:type="dxa"/>
            <w:bottom w:w="0" w:type="dxa"/>
            <w:right w:w="0" w:type="dxa"/>
          </w:tblCellMar>
        </w:tblPrEx>
        <w:trPr>
          <w:trHeight w:val="300" w:hRule="atLeast"/>
          <w:jc w:val="center"/>
        </w:trPr>
        <w:tc>
          <w:tcPr>
            <w:tcW w:w="4723" w:type="dxa"/>
            <w:tcBorders>
              <w:top w:val="nil"/>
              <w:left w:val="single" w:color="000000" w:sz="8" w:space="0"/>
              <w:bottom w:val="single" w:color="000000" w:sz="8" w:space="0"/>
              <w:right w:val="single" w:color="000000" w:sz="8" w:space="0"/>
            </w:tcBorders>
            <w:noWrap/>
            <w:tcMar>
              <w:top w:w="15" w:type="dxa"/>
              <w:left w:w="15" w:type="dxa"/>
              <w:right w:w="15" w:type="dxa"/>
            </w:tcMar>
            <w:vAlign w:val="top"/>
          </w:tcPr>
          <w:p>
            <w:pPr>
              <w:keepNext w:val="0"/>
              <w:keepLines w:val="0"/>
              <w:pageBreakBefore w:val="0"/>
              <w:widowControl w:val="0"/>
              <w:kinsoku/>
              <w:wordWrap/>
              <w:overflowPunct/>
              <w:topLinePunct w:val="0"/>
              <w:autoSpaceDE/>
              <w:autoSpaceDN/>
              <w:bidi w:val="0"/>
              <w:spacing w:line="240" w:lineRule="exact"/>
              <w:ind w:firstLine="476" w:firstLineChars="200"/>
              <w:jc w:val="center"/>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总镉（Cd），mg/kg</w:t>
            </w:r>
          </w:p>
        </w:tc>
        <w:tc>
          <w:tcPr>
            <w:tcW w:w="1325" w:type="dxa"/>
            <w:tcBorders>
              <w:top w:val="nil"/>
              <w:left w:val="nil"/>
              <w:bottom w:val="single" w:color="000000" w:sz="8" w:space="0"/>
              <w:right w:val="single" w:color="000000" w:sz="8" w:space="0"/>
            </w:tcBorders>
            <w:noWrap/>
            <w:tcMar>
              <w:top w:w="15" w:type="dxa"/>
              <w:left w:w="15" w:type="dxa"/>
              <w:right w:w="15" w:type="dxa"/>
            </w:tcMar>
            <w:vAlign w:val="top"/>
          </w:tcPr>
          <w:p>
            <w:pPr>
              <w:keepNext w:val="0"/>
              <w:keepLines w:val="0"/>
              <w:pageBreakBefore w:val="0"/>
              <w:widowControl w:val="0"/>
              <w:kinsoku/>
              <w:wordWrap/>
              <w:overflowPunct/>
              <w:topLinePunct w:val="0"/>
              <w:autoSpaceDE/>
              <w:autoSpaceDN/>
              <w:bidi w:val="0"/>
              <w:spacing w:line="240" w:lineRule="exact"/>
              <w:ind w:firstLine="476" w:firstLineChars="200"/>
              <w:jc w:val="center"/>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≦3</w:t>
            </w:r>
          </w:p>
        </w:tc>
        <w:tc>
          <w:tcPr>
            <w:tcW w:w="4310" w:type="dxa"/>
            <w:vMerge w:val="continue"/>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spacing w:line="240" w:lineRule="exact"/>
              <w:ind w:firstLine="476" w:firstLineChars="200"/>
              <w:jc w:val="center"/>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p>
        </w:tc>
      </w:tr>
      <w:tr>
        <w:tblPrEx>
          <w:tblCellMar>
            <w:top w:w="0" w:type="dxa"/>
            <w:left w:w="0" w:type="dxa"/>
            <w:bottom w:w="0" w:type="dxa"/>
            <w:right w:w="0" w:type="dxa"/>
          </w:tblCellMar>
        </w:tblPrEx>
        <w:trPr>
          <w:trHeight w:val="300" w:hRule="atLeast"/>
          <w:jc w:val="center"/>
        </w:trPr>
        <w:tc>
          <w:tcPr>
            <w:tcW w:w="4723" w:type="dxa"/>
            <w:tcBorders>
              <w:top w:val="nil"/>
              <w:left w:val="single" w:color="000000" w:sz="8" w:space="0"/>
              <w:bottom w:val="single" w:color="000000" w:sz="8" w:space="0"/>
              <w:right w:val="single" w:color="000000" w:sz="8" w:space="0"/>
            </w:tcBorders>
            <w:noWrap/>
            <w:tcMar>
              <w:top w:w="15" w:type="dxa"/>
              <w:left w:w="15" w:type="dxa"/>
              <w:right w:w="15" w:type="dxa"/>
            </w:tcMar>
            <w:vAlign w:val="top"/>
          </w:tcPr>
          <w:p>
            <w:pPr>
              <w:keepNext w:val="0"/>
              <w:keepLines w:val="0"/>
              <w:pageBreakBefore w:val="0"/>
              <w:widowControl w:val="0"/>
              <w:kinsoku/>
              <w:wordWrap/>
              <w:overflowPunct/>
              <w:topLinePunct w:val="0"/>
              <w:autoSpaceDE/>
              <w:autoSpaceDN/>
              <w:bidi w:val="0"/>
              <w:spacing w:line="240" w:lineRule="exact"/>
              <w:ind w:firstLine="476" w:firstLineChars="200"/>
              <w:jc w:val="center"/>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总铬（Cr）， mg/kg</w:t>
            </w:r>
          </w:p>
        </w:tc>
        <w:tc>
          <w:tcPr>
            <w:tcW w:w="1325" w:type="dxa"/>
            <w:tcBorders>
              <w:top w:val="nil"/>
              <w:left w:val="nil"/>
              <w:bottom w:val="single" w:color="000000" w:sz="8" w:space="0"/>
              <w:right w:val="single" w:color="000000" w:sz="8" w:space="0"/>
            </w:tcBorders>
            <w:noWrap/>
            <w:tcMar>
              <w:top w:w="15" w:type="dxa"/>
              <w:left w:w="15" w:type="dxa"/>
              <w:right w:w="15" w:type="dxa"/>
            </w:tcMar>
            <w:vAlign w:val="top"/>
          </w:tcPr>
          <w:p>
            <w:pPr>
              <w:keepNext w:val="0"/>
              <w:keepLines w:val="0"/>
              <w:pageBreakBefore w:val="0"/>
              <w:widowControl w:val="0"/>
              <w:kinsoku/>
              <w:wordWrap/>
              <w:overflowPunct/>
              <w:topLinePunct w:val="0"/>
              <w:autoSpaceDE/>
              <w:autoSpaceDN/>
              <w:bidi w:val="0"/>
              <w:spacing w:line="240" w:lineRule="exact"/>
              <w:ind w:firstLine="476" w:firstLineChars="200"/>
              <w:jc w:val="center"/>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≦150</w:t>
            </w:r>
          </w:p>
        </w:tc>
        <w:tc>
          <w:tcPr>
            <w:tcW w:w="4310" w:type="dxa"/>
            <w:vMerge w:val="continue"/>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spacing w:line="240" w:lineRule="exact"/>
              <w:ind w:firstLine="476" w:firstLineChars="200"/>
              <w:jc w:val="center"/>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p>
        </w:tc>
      </w:tr>
      <w:tr>
        <w:tblPrEx>
          <w:tblCellMar>
            <w:top w:w="0" w:type="dxa"/>
            <w:left w:w="0" w:type="dxa"/>
            <w:bottom w:w="0" w:type="dxa"/>
            <w:right w:w="0" w:type="dxa"/>
          </w:tblCellMar>
        </w:tblPrEx>
        <w:trPr>
          <w:trHeight w:val="351" w:hRule="atLeast"/>
          <w:jc w:val="center"/>
        </w:trPr>
        <w:tc>
          <w:tcPr>
            <w:tcW w:w="4723" w:type="dxa"/>
            <w:tcBorders>
              <w:top w:val="nil"/>
              <w:left w:val="single" w:color="000000" w:sz="8" w:space="0"/>
              <w:bottom w:val="single" w:color="000000" w:sz="8" w:space="0"/>
              <w:right w:val="single" w:color="000000" w:sz="8" w:space="0"/>
            </w:tcBorders>
            <w:noWrap/>
            <w:tcMar>
              <w:top w:w="15" w:type="dxa"/>
              <w:left w:w="15" w:type="dxa"/>
              <w:right w:w="15" w:type="dxa"/>
            </w:tcMar>
            <w:vAlign w:val="top"/>
          </w:tcPr>
          <w:p>
            <w:pPr>
              <w:keepNext w:val="0"/>
              <w:keepLines w:val="0"/>
              <w:pageBreakBefore w:val="0"/>
              <w:widowControl w:val="0"/>
              <w:kinsoku/>
              <w:wordWrap/>
              <w:overflowPunct/>
              <w:topLinePunct w:val="0"/>
              <w:autoSpaceDE/>
              <w:autoSpaceDN/>
              <w:bidi w:val="0"/>
              <w:spacing w:line="240" w:lineRule="exact"/>
              <w:ind w:firstLine="476" w:firstLineChars="200"/>
              <w:jc w:val="center"/>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粪大肠菌群数，个/g</w:t>
            </w:r>
          </w:p>
        </w:tc>
        <w:tc>
          <w:tcPr>
            <w:tcW w:w="1325" w:type="dxa"/>
            <w:tcBorders>
              <w:top w:val="nil"/>
              <w:left w:val="nil"/>
              <w:bottom w:val="single" w:color="000000" w:sz="8" w:space="0"/>
              <w:right w:val="single" w:color="000000" w:sz="8" w:space="0"/>
            </w:tcBorders>
            <w:noWrap/>
            <w:tcMar>
              <w:top w:w="15" w:type="dxa"/>
              <w:left w:w="15" w:type="dxa"/>
              <w:right w:w="15" w:type="dxa"/>
            </w:tcMar>
            <w:vAlign w:val="top"/>
          </w:tcPr>
          <w:p>
            <w:pPr>
              <w:keepNext w:val="0"/>
              <w:keepLines w:val="0"/>
              <w:pageBreakBefore w:val="0"/>
              <w:widowControl w:val="0"/>
              <w:kinsoku/>
              <w:wordWrap/>
              <w:overflowPunct/>
              <w:topLinePunct w:val="0"/>
              <w:autoSpaceDE/>
              <w:autoSpaceDN/>
              <w:bidi w:val="0"/>
              <w:spacing w:line="240" w:lineRule="exact"/>
              <w:ind w:firstLine="476" w:firstLineChars="200"/>
              <w:jc w:val="center"/>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≦l 00</w:t>
            </w:r>
          </w:p>
        </w:tc>
        <w:tc>
          <w:tcPr>
            <w:tcW w:w="4310" w:type="dxa"/>
            <w:vMerge w:val="continue"/>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spacing w:line="240" w:lineRule="exact"/>
              <w:ind w:firstLine="476" w:firstLineChars="200"/>
              <w:jc w:val="center"/>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p>
        </w:tc>
      </w:tr>
      <w:tr>
        <w:tblPrEx>
          <w:tblCellMar>
            <w:top w:w="0" w:type="dxa"/>
            <w:left w:w="0" w:type="dxa"/>
            <w:bottom w:w="0" w:type="dxa"/>
            <w:right w:w="0" w:type="dxa"/>
          </w:tblCellMar>
        </w:tblPrEx>
        <w:trPr>
          <w:trHeight w:val="384" w:hRule="atLeast"/>
          <w:jc w:val="center"/>
        </w:trPr>
        <w:tc>
          <w:tcPr>
            <w:tcW w:w="4723" w:type="dxa"/>
            <w:tcBorders>
              <w:top w:val="nil"/>
              <w:left w:val="single" w:color="000000" w:sz="8" w:space="0"/>
              <w:bottom w:val="single" w:color="000000" w:sz="8" w:space="0"/>
              <w:right w:val="single" w:color="000000" w:sz="8" w:space="0"/>
            </w:tcBorders>
            <w:noWrap/>
            <w:tcMar>
              <w:top w:w="15" w:type="dxa"/>
              <w:left w:w="15" w:type="dxa"/>
              <w:right w:w="15" w:type="dxa"/>
            </w:tcMar>
            <w:vAlign w:val="top"/>
          </w:tcPr>
          <w:p>
            <w:pPr>
              <w:keepNext w:val="0"/>
              <w:keepLines w:val="0"/>
              <w:pageBreakBefore w:val="0"/>
              <w:widowControl w:val="0"/>
              <w:kinsoku/>
              <w:wordWrap/>
              <w:overflowPunct/>
              <w:topLinePunct w:val="0"/>
              <w:autoSpaceDE/>
              <w:autoSpaceDN/>
              <w:bidi w:val="0"/>
              <w:spacing w:line="240" w:lineRule="exact"/>
              <w:ind w:firstLine="476" w:firstLineChars="200"/>
              <w:jc w:val="center"/>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蛔虫卵死亡率，％</w:t>
            </w:r>
          </w:p>
        </w:tc>
        <w:tc>
          <w:tcPr>
            <w:tcW w:w="1325" w:type="dxa"/>
            <w:tcBorders>
              <w:top w:val="nil"/>
              <w:left w:val="nil"/>
              <w:bottom w:val="single" w:color="000000" w:sz="8" w:space="0"/>
              <w:right w:val="single" w:color="000000" w:sz="8" w:space="0"/>
            </w:tcBorders>
            <w:noWrap/>
            <w:tcMar>
              <w:top w:w="15" w:type="dxa"/>
              <w:left w:w="15" w:type="dxa"/>
              <w:right w:w="15" w:type="dxa"/>
            </w:tcMar>
            <w:vAlign w:val="top"/>
          </w:tcPr>
          <w:p>
            <w:pPr>
              <w:keepNext w:val="0"/>
              <w:keepLines w:val="0"/>
              <w:pageBreakBefore w:val="0"/>
              <w:widowControl w:val="0"/>
              <w:kinsoku/>
              <w:wordWrap/>
              <w:overflowPunct/>
              <w:topLinePunct w:val="0"/>
              <w:autoSpaceDE/>
              <w:autoSpaceDN/>
              <w:bidi w:val="0"/>
              <w:spacing w:line="240" w:lineRule="exact"/>
              <w:ind w:firstLine="476" w:firstLineChars="200"/>
              <w:jc w:val="center"/>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≧95</w:t>
            </w:r>
          </w:p>
        </w:tc>
        <w:tc>
          <w:tcPr>
            <w:tcW w:w="4310" w:type="dxa"/>
            <w:vMerge w:val="continue"/>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spacing w:line="240" w:lineRule="exact"/>
              <w:ind w:firstLine="476" w:firstLineChars="200"/>
              <w:jc w:val="center"/>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p>
        </w:tc>
      </w:tr>
    </w:tbl>
    <w:p>
      <w:pPr>
        <w:pStyle w:val="4"/>
        <w:keepNext w:val="0"/>
        <w:keepLines w:val="0"/>
        <w:pageBreakBefore w:val="0"/>
        <w:widowControl w:val="0"/>
        <w:kinsoku/>
        <w:wordWrap/>
        <w:overflowPunct/>
        <w:topLinePunct w:val="0"/>
        <w:autoSpaceDE/>
        <w:autoSpaceDN/>
        <w:bidi w:val="0"/>
        <w:adjustRightInd w:val="0"/>
        <w:snapToGrid w:val="0"/>
        <w:spacing w:before="120" w:after="120" w:line="400" w:lineRule="exact"/>
        <w:ind w:firstLine="482" w:firstLineChars="200"/>
        <w:jc w:val="left"/>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注：运到指定地点后，若招标人抽检达不到质量标准，招标人有权无条件</w:t>
      </w:r>
      <w:r>
        <w:rPr>
          <w:rFonts w:hint="eastAsia" w:asciiTheme="minorEastAsia" w:hAnsiTheme="minorEastAsia" w:eastAsiaTheme="minorEastAsia" w:cstheme="minorEastAsia"/>
          <w:color w:val="auto"/>
          <w:sz w:val="24"/>
          <w:szCs w:val="24"/>
          <w:lang w:eastAsia="zh-CN"/>
        </w:rPr>
        <w:t>终止合同</w:t>
      </w:r>
      <w:r>
        <w:rPr>
          <w:rFonts w:hint="eastAsia" w:asciiTheme="minorEastAsia" w:hAnsiTheme="minorEastAsia" w:eastAsiaTheme="minorEastAsia" w:cstheme="minorEastAsia"/>
          <w:color w:val="auto"/>
          <w:sz w:val="24"/>
          <w:szCs w:val="24"/>
        </w:rPr>
        <w:t>并由供应商承担检测费用和因此给招标人带来的一切损失以及其他相关费用</w:t>
      </w:r>
      <w:r>
        <w:rPr>
          <w:rFonts w:hint="eastAsia" w:asciiTheme="minorEastAsia" w:hAnsiTheme="minorEastAsia" w:eastAsiaTheme="minorEastAsia" w:cstheme="minorEastAsia"/>
          <w:color w:val="auto"/>
          <w:sz w:val="24"/>
          <w:szCs w:val="24"/>
          <w:lang w:eastAsia="zh-CN"/>
        </w:rPr>
        <w:t>。</w:t>
      </w:r>
    </w:p>
    <w:p>
      <w:pPr>
        <w:pStyle w:val="4"/>
        <w:spacing w:before="120" w:after="120"/>
        <w:ind w:firstLine="482" w:firstLineChars="200"/>
        <w:jc w:val="left"/>
        <w:rPr>
          <w:rFonts w:hint="eastAsia" w:asciiTheme="minorEastAsia" w:hAnsiTheme="minorEastAsia" w:eastAsiaTheme="minorEastAsia" w:cstheme="minorEastAsia"/>
          <w:color w:val="auto"/>
          <w:sz w:val="24"/>
          <w:szCs w:val="24"/>
        </w:rPr>
      </w:pPr>
    </w:p>
    <w:p>
      <w:pPr>
        <w:pStyle w:val="7"/>
        <w:ind w:left="0" w:leftChars="0" w:firstLine="0" w:firstLineChars="0"/>
        <w:rPr>
          <w:rFonts w:hint="eastAsia" w:eastAsia="仿宋_GB2312"/>
          <w:lang w:eastAsia="zh-CN"/>
        </w:rPr>
      </w:pPr>
    </w:p>
    <w:p>
      <w:pPr>
        <w:pStyle w:val="2"/>
        <w:rPr>
          <w:rFonts w:hint="eastAsia"/>
        </w:rPr>
      </w:pPr>
    </w:p>
    <w:p>
      <w:pPr>
        <w:rPr>
          <w:rFonts w:hint="eastAsia"/>
        </w:rPr>
      </w:pPr>
    </w:p>
    <w:p>
      <w:pPr>
        <w:spacing w:line="576" w:lineRule="exact"/>
        <w:ind w:firstLine="639" w:firstLineChars="200"/>
        <w:jc w:val="center"/>
        <w:rPr>
          <w:rFonts w:asciiTheme="minorEastAsia" w:hAnsiTheme="minorEastAsia" w:eastAsiaTheme="minorEastAsia" w:cstheme="minorEastAsia"/>
          <w:b/>
          <w:bCs/>
          <w:color w:val="000000" w:themeColor="text1"/>
          <w:spacing w:val="-1"/>
          <w:sz w:val="32"/>
          <w:szCs w:val="32"/>
          <w14:textFill>
            <w14:solidFill>
              <w14:schemeClr w14:val="tx1"/>
            </w14:solidFill>
          </w14:textFill>
        </w:rPr>
      </w:pPr>
      <w:r>
        <w:rPr>
          <w:rFonts w:hint="eastAsia" w:asciiTheme="minorEastAsia" w:hAnsiTheme="minorEastAsia" w:eastAsiaTheme="minorEastAsia" w:cstheme="minorEastAsia"/>
          <w:b/>
          <w:bCs/>
          <w:color w:val="000000" w:themeColor="text1"/>
          <w:spacing w:val="-1"/>
          <w:sz w:val="32"/>
          <w:szCs w:val="32"/>
          <w14:textFill>
            <w14:solidFill>
              <w14:schemeClr w14:val="tx1"/>
            </w14:solidFill>
          </w14:textFill>
        </w:rPr>
        <w:t>第三篇 供应商须知</w:t>
      </w:r>
    </w:p>
    <w:p>
      <w:pPr>
        <w:spacing w:line="560" w:lineRule="exact"/>
        <w:ind w:firstLine="482" w:firstLineChars="200"/>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一、项目名称：</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綦江区2022年丘陵山区高标准农田改造提升示范项目商品有机肥（袋装）采购项目</w:t>
      </w:r>
    </w:p>
    <w:p>
      <w:pPr>
        <w:spacing w:line="576" w:lineRule="exact"/>
        <w:ind w:firstLine="482" w:firstLineChars="200"/>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二、采购人：</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重庆卓成建筑工程股份有限公司</w:t>
      </w:r>
    </w:p>
    <w:p>
      <w:pPr>
        <w:spacing w:line="576" w:lineRule="exact"/>
        <w:ind w:firstLine="482" w:firstLineChars="200"/>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三、招标范围：</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包括但不限于完成</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綦江区2022年丘陵山区高标准农田改造提升示范项目商品有机肥（袋装）采购项目</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的供货、运输（含包装、运输至买方指定的现场）、保险</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以及其它相关的售后服务等工作内容。</w:t>
      </w:r>
    </w:p>
    <w:p>
      <w:pPr>
        <w:spacing w:line="576" w:lineRule="exact"/>
        <w:ind w:firstLine="482" w:firstLineChars="200"/>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四、供应商资质条件及信誉</w:t>
      </w:r>
    </w:p>
    <w:p>
      <w:pPr>
        <w:spacing w:line="576" w:lineRule="exact"/>
        <w:ind w:firstLine="476" w:firstLineChars="200"/>
        <w:rPr>
          <w:rFonts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1.资质要求</w:t>
      </w:r>
    </w:p>
    <w:p>
      <w:pPr>
        <w:keepNext w:val="0"/>
        <w:keepLines w:val="0"/>
        <w:pageBreakBefore w:val="0"/>
        <w:widowControl w:val="0"/>
        <w:kinsoku/>
        <w:wordWrap/>
        <w:overflowPunct/>
        <w:topLinePunct w:val="0"/>
        <w:autoSpaceDE/>
        <w:autoSpaceDN/>
        <w:bidi w:val="0"/>
        <w:adjustRightInd/>
        <w:snapToGrid/>
        <w:spacing w:line="576" w:lineRule="exact"/>
        <w:ind w:firstLine="476" w:firstLineChars="200"/>
        <w:jc w:val="both"/>
        <w:textAlignment w:val="auto"/>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投标单位需满足下列条件：</w:t>
      </w:r>
    </w:p>
    <w:p>
      <w:pPr>
        <w:keepNext w:val="0"/>
        <w:keepLines w:val="0"/>
        <w:pageBreakBefore w:val="0"/>
        <w:widowControl w:val="0"/>
        <w:kinsoku/>
        <w:wordWrap/>
        <w:overflowPunct/>
        <w:topLinePunct w:val="0"/>
        <w:autoSpaceDE/>
        <w:autoSpaceDN/>
        <w:bidi w:val="0"/>
        <w:adjustRightInd/>
        <w:snapToGrid/>
        <w:spacing w:line="576" w:lineRule="exact"/>
        <w:ind w:firstLine="476" w:firstLineChars="200"/>
        <w:jc w:val="both"/>
        <w:textAlignment w:val="auto"/>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（1）</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投标人须是具有独立法人资格的生产厂商或销售代理商，</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投标人为销售代理商则需具有厂家有效授权书</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firstLine="476" w:firstLineChars="200"/>
        <w:jc w:val="both"/>
        <w:textAlignment w:val="auto"/>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[提供有效的营业执照复印件并加盖投标单位鲜章，</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非生产厂商投标的，还须提供厂家</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授权书]</w:t>
      </w:r>
    </w:p>
    <w:p>
      <w:pPr>
        <w:keepNext w:val="0"/>
        <w:keepLines w:val="0"/>
        <w:pageBreakBefore w:val="0"/>
        <w:widowControl w:val="0"/>
        <w:kinsoku/>
        <w:wordWrap/>
        <w:overflowPunct/>
        <w:topLinePunct w:val="0"/>
        <w:autoSpaceDE/>
        <w:autoSpaceDN/>
        <w:bidi w:val="0"/>
        <w:adjustRightInd/>
        <w:snapToGrid/>
        <w:spacing w:line="576" w:lineRule="exact"/>
        <w:ind w:firstLine="476" w:firstLineChars="200"/>
        <w:jc w:val="both"/>
        <w:textAlignment w:val="auto"/>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具备商品有机肥（袋装）生</w:t>
      </w:r>
      <w:r>
        <w:rPr>
          <w:rFonts w:hint="eastAsia" w:asciiTheme="minorEastAsia" w:hAnsiTheme="minorEastAsia" w:eastAsiaTheme="minorEastAsia" w:cstheme="minorEastAsia"/>
          <w:color w:val="auto"/>
          <w:spacing w:val="-1"/>
          <w:sz w:val="24"/>
          <w:szCs w:val="24"/>
          <w:lang w:val="en-US" w:eastAsia="zh-CN"/>
        </w:rPr>
        <w:t>产能力和供应能力，有效期内的商品有机肥（袋装）登记证</w:t>
      </w:r>
      <w:r>
        <w:rPr>
          <w:rFonts w:hint="eastAsia" w:asciiTheme="minorEastAsia" w:hAnsiTheme="minorEastAsia" w:eastAsiaTheme="minorEastAsia" w:cstheme="minorEastAsia"/>
          <w:color w:val="auto"/>
          <w:spacing w:val="-1"/>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476" w:firstLineChars="200"/>
        <w:jc w:val="both"/>
        <w:textAlignment w:val="auto"/>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[提供有效期内的</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登记证</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复印件并加盖投标单位鲜章。</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非生产厂商投标的，由授权厂家提供。</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w:t>
      </w:r>
    </w:p>
    <w:p>
      <w:pPr>
        <w:pStyle w:val="7"/>
        <w:numPr>
          <w:ilvl w:val="0"/>
          <w:numId w:val="2"/>
        </w:numPr>
        <w:rPr>
          <w:rFonts w:hint="eastAsia" w:asciiTheme="minorEastAsia" w:hAnsiTheme="minorEastAsia" w:eastAsiaTheme="minorEastAsia" w:cstheme="minorEastAsia"/>
          <w:color w:val="000000" w:themeColor="text1"/>
          <w:spacing w:val="-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pacing w:val="-1"/>
          <w:kern w:val="2"/>
          <w:sz w:val="24"/>
          <w:szCs w:val="24"/>
          <w:lang w:val="en-US" w:eastAsia="zh-CN" w:bidi="ar-SA"/>
          <w14:textFill>
            <w14:solidFill>
              <w14:schemeClr w14:val="tx1"/>
            </w14:solidFill>
          </w14:textFill>
        </w:rPr>
        <w:t>投标产品具有2020年3月1日及以后第三方质检部门出具的产品检验报告。</w:t>
      </w:r>
    </w:p>
    <w:p>
      <w:pPr>
        <w:keepNext w:val="0"/>
        <w:keepLines w:val="0"/>
        <w:pageBreakBefore w:val="0"/>
        <w:widowControl w:val="0"/>
        <w:kinsoku/>
        <w:wordWrap/>
        <w:overflowPunct/>
        <w:topLinePunct w:val="0"/>
        <w:autoSpaceDE/>
        <w:autoSpaceDN/>
        <w:bidi w:val="0"/>
        <w:adjustRightInd/>
        <w:snapToGrid/>
        <w:spacing w:line="576" w:lineRule="exact"/>
        <w:ind w:firstLine="476" w:firstLineChars="200"/>
        <w:jc w:val="both"/>
        <w:textAlignment w:val="auto"/>
        <w:rPr>
          <w:rFonts w:hint="eastAsia"/>
          <w:lang w:val="en-US" w:eastAsia="zh-CN"/>
        </w:rPr>
      </w:pP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[提供</w:t>
      </w:r>
      <w:r>
        <w:rPr>
          <w:rFonts w:hint="eastAsia" w:asciiTheme="minorEastAsia" w:hAnsiTheme="minorEastAsia" w:eastAsiaTheme="minorEastAsia" w:cstheme="minorEastAsia"/>
          <w:color w:val="000000" w:themeColor="text1"/>
          <w:spacing w:val="-1"/>
          <w:kern w:val="2"/>
          <w:sz w:val="24"/>
          <w:szCs w:val="24"/>
          <w:lang w:val="en-US" w:eastAsia="zh-CN" w:bidi="ar-SA"/>
          <w14:textFill>
            <w14:solidFill>
              <w14:schemeClr w14:val="tx1"/>
            </w14:solidFill>
          </w14:textFill>
        </w:rPr>
        <w:t>产品检验报告</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复印件并加盖投标单位鲜章。]</w:t>
      </w:r>
    </w:p>
    <w:p>
      <w:pPr>
        <w:spacing w:line="576" w:lineRule="exact"/>
        <w:ind w:firstLine="476" w:firstLineChars="200"/>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2.信誉要求</w:t>
      </w:r>
    </w:p>
    <w:p>
      <w:pPr>
        <w:spacing w:line="576" w:lineRule="exact"/>
        <w:ind w:firstLine="476" w:firstLineChars="200"/>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投标人须具有良好的信誉，在</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2020年3月1日</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至今投标人须满足信誉要求并不得出现下列情况：</w:t>
      </w:r>
    </w:p>
    <w:p>
      <w:pPr>
        <w:spacing w:line="576" w:lineRule="exact"/>
        <w:ind w:firstLine="476" w:firstLineChars="200"/>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（1）与招标人存在利害关系且可能影响招标公正性；</w:t>
      </w:r>
    </w:p>
    <w:p>
      <w:pPr>
        <w:spacing w:line="576" w:lineRule="exact"/>
        <w:ind w:firstLine="476" w:firstLineChars="200"/>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（2）与本招标项目的其他投标人为同一个单位负责人；</w:t>
      </w:r>
    </w:p>
    <w:p>
      <w:pPr>
        <w:spacing w:line="576" w:lineRule="exact"/>
        <w:ind w:firstLine="476" w:firstLineChars="200"/>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（3）与本招标项目的其他投标人存在控股、管理关系；</w:t>
      </w:r>
    </w:p>
    <w:p>
      <w:pPr>
        <w:spacing w:line="576" w:lineRule="exact"/>
        <w:ind w:firstLine="476" w:firstLineChars="200"/>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（4）为本招标项目提供过设计、编制技术规范和其他文件的咨询服务；</w:t>
      </w:r>
    </w:p>
    <w:p>
      <w:pPr>
        <w:spacing w:line="576" w:lineRule="exact"/>
        <w:ind w:firstLine="476" w:firstLineChars="200"/>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（5）被依法暂停或者取消投标资格；</w:t>
      </w:r>
    </w:p>
    <w:p>
      <w:pPr>
        <w:spacing w:line="576" w:lineRule="exact"/>
        <w:ind w:firstLine="476" w:firstLineChars="200"/>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（6）被责令停产停业、暂扣或者吊销许可证、暂扣或者吊销执照；</w:t>
      </w:r>
    </w:p>
    <w:p>
      <w:pPr>
        <w:spacing w:line="576" w:lineRule="exact"/>
        <w:ind w:firstLine="476" w:firstLineChars="200"/>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（7）进入清算程序，或被宣告破产；</w:t>
      </w:r>
    </w:p>
    <w:p>
      <w:pPr>
        <w:spacing w:line="576" w:lineRule="exact"/>
        <w:ind w:firstLine="476" w:firstLineChars="200"/>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（8）被工商行政管理机关在全国企业信用信息公示系统中列入严重违法失信企业名单；</w:t>
      </w:r>
    </w:p>
    <w:p>
      <w:pPr>
        <w:spacing w:line="576" w:lineRule="exact"/>
        <w:ind w:firstLine="476" w:firstLineChars="200"/>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（9）被最高人民法院在“信用中国”网站（</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fldChar w:fldCharType="begin"/>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instrText xml:space="preserve"> HYPERLINK "http://www.creditchina.gov.cn/" \h </w:instrTex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fldChar w:fldCharType="separate"/>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www.creditchina.gov.cn</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fldChar w:fldCharType="end"/>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）中列入失信被执行人名单；</w:t>
      </w:r>
    </w:p>
    <w:p>
      <w:pPr>
        <w:spacing w:line="576" w:lineRule="exact"/>
        <w:ind w:firstLine="476" w:firstLineChars="200"/>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（10）受到质量监管部门行政处罚；</w:t>
      </w:r>
    </w:p>
    <w:p>
      <w:pPr>
        <w:spacing w:line="576" w:lineRule="exact"/>
        <w:ind w:firstLine="476" w:firstLineChars="200"/>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11</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）法律法规规定的其它情形</w:t>
      </w:r>
    </w:p>
    <w:p>
      <w:pPr>
        <w:spacing w:line="576" w:lineRule="exact"/>
        <w:ind w:firstLine="476" w:firstLineChars="200"/>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投标申请人须对以上1</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项信誉要求提供有效证明材料或自行作出书面承诺，须加盖投标人单位鲜章。并对其真实性负责，如提供虚假材料，一经查实，则取消投标资格或中标资格。</w:t>
      </w:r>
    </w:p>
    <w:p>
      <w:pPr>
        <w:spacing w:line="576" w:lineRule="exact"/>
        <w:ind w:firstLine="476" w:firstLineChars="200"/>
        <w:rPr>
          <w:rFonts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3.授权代理人</w:t>
      </w:r>
    </w:p>
    <w:p>
      <w:pPr>
        <w:spacing w:line="576" w:lineRule="exact"/>
        <w:ind w:firstLine="476" w:firstLineChars="200"/>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法人参加投标的应提交法人身份证明原件及第二代身份证。</w:t>
      </w:r>
    </w:p>
    <w:p>
      <w:pPr>
        <w:spacing w:line="576" w:lineRule="exact"/>
        <w:ind w:firstLine="476" w:firstLineChars="200"/>
        <w:rPr>
          <w:rFonts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若是其委托代理人参加评审会的还需提供授权委托证书。</w:t>
      </w:r>
    </w:p>
    <w:p>
      <w:pPr>
        <w:spacing w:line="576" w:lineRule="exact"/>
        <w:ind w:firstLine="476" w:firstLineChars="200"/>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授权代理人在提交投标文件时，应一并提交</w:t>
      </w:r>
      <w:r>
        <w:rPr>
          <w:rFonts w:hint="eastAsia" w:asciiTheme="minorEastAsia" w:hAnsiTheme="minorEastAsia" w:eastAsiaTheme="minorEastAsia" w:cstheme="minorEastAsia"/>
          <w:color w:val="000000" w:themeColor="text1"/>
          <w:spacing w:val="-1"/>
          <w:sz w:val="24"/>
          <w:szCs w:val="24"/>
          <w:lang w:val="zh-TW" w:eastAsia="zh-TW"/>
          <w14:textFill>
            <w14:solidFill>
              <w14:schemeClr w14:val="tx1"/>
            </w14:solidFill>
          </w14:textFill>
        </w:rPr>
        <w:t>委托代理人身份证明原件、</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授权委托书原件</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w:t>
      </w:r>
    </w:p>
    <w:p>
      <w:pPr>
        <w:spacing w:line="576" w:lineRule="exact"/>
        <w:ind w:firstLine="476" w:firstLineChars="200"/>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其他要求</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w:t>
      </w:r>
    </w:p>
    <w:p>
      <w:pPr>
        <w:spacing w:line="576" w:lineRule="exact"/>
        <w:ind w:firstLine="476" w:firstLineChars="200"/>
        <w:rPr>
          <w:rFonts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以上资料提供复印件，原件备查</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注明须提供原件的除外。特别提醒：以上所有复印件均须加盖投标单位鲜章。投标人应对上述资料真实性负责，如提供虚假材料，招标人一经查实，将取消投标资格或入围中标资格，并且其投标保证金不予退还。</w:t>
      </w:r>
    </w:p>
    <w:p>
      <w:pPr>
        <w:spacing w:line="576" w:lineRule="exact"/>
        <w:ind w:firstLine="480" w:firstLineChars="20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14:textFill>
            <w14:solidFill>
              <w14:schemeClr w14:val="tx1"/>
            </w14:solidFill>
          </w14:textFill>
        </w:rPr>
        <w:t>）供应商应按照采购人提供的文件格式编制投标文件。</w:t>
      </w:r>
    </w:p>
    <w:p>
      <w:pPr>
        <w:spacing w:line="576" w:lineRule="exact"/>
        <w:ind w:firstLine="480" w:firstLineChars="20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14:textFill>
            <w14:solidFill>
              <w14:schemeClr w14:val="tx1"/>
            </w14:solidFill>
          </w14:textFill>
        </w:rPr>
        <w:t>）供应商没有按照招标文件要求提供全部资料，或者供应商没有对招标文件在各方面作出实质性响应，可能导致投标被拒绝或评定为无效投标。</w:t>
      </w:r>
    </w:p>
    <w:p>
      <w:pPr>
        <w:spacing w:line="576" w:lineRule="exact"/>
        <w:ind w:firstLine="480" w:firstLineChars="20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4"/>
          <w:szCs w:val="24"/>
          <w14:textFill>
            <w14:solidFill>
              <w14:schemeClr w14:val="tx1"/>
            </w14:solidFill>
          </w14:textFill>
        </w:rPr>
        <w:t>）投标有效期：为投标截止日期后九十天内。 在供应商须知规定的投标有效期内，供应商不得要求撤销或修改其投标文件。出现特殊情况需要延长投标有效期的，采购人以书面形式通知所有供应商延长投标有效期。供应商同意延长的，应相应延长其投标保证金的有效期（如有），但不得要求或被允许修改或撤销其投标文件；供应商拒绝延长的，其投标失效，但供应商有权收回其投标保证金。</w:t>
      </w:r>
    </w:p>
    <w:p>
      <w:pPr>
        <w:snapToGrid w:val="0"/>
        <w:spacing w:line="576" w:lineRule="exact"/>
        <w:ind w:firstLine="480" w:firstLineChars="20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4"/>
          <w:szCs w:val="24"/>
          <w14:textFill>
            <w14:solidFill>
              <w14:schemeClr w14:val="tx1"/>
            </w14:solidFill>
          </w14:textFill>
        </w:rPr>
        <w:t>）超过投标截止时间递交的投标文件，恕不接收。</w:t>
      </w:r>
    </w:p>
    <w:p>
      <w:pPr>
        <w:snapToGrid w:val="0"/>
        <w:spacing w:line="576" w:lineRule="exact"/>
        <w:ind w:firstLine="480" w:firstLineChars="20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4"/>
          <w:szCs w:val="24"/>
          <w14:textFill>
            <w14:solidFill>
              <w14:schemeClr w14:val="tx1"/>
            </w14:solidFill>
          </w14:textFill>
        </w:rPr>
        <w:t>）投标费用：无论投标结果如何，供应商参与本项目投标的所有费用均应由供应商自行承担。</w:t>
      </w:r>
    </w:p>
    <w:p>
      <w:pPr>
        <w:spacing w:line="576" w:lineRule="exact"/>
        <w:ind w:firstLine="482" w:firstLineChars="200"/>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五、投标文件</w:t>
      </w:r>
    </w:p>
    <w:p>
      <w:pPr>
        <w:spacing w:line="576" w:lineRule="exact"/>
        <w:ind w:firstLine="480" w:firstLineChars="200"/>
        <w:rPr>
          <w:rFonts w:asciiTheme="minorEastAsia" w:hAnsiTheme="minorEastAsia" w:eastAsiaTheme="minorEastAsia" w:cstheme="minorEastAsia"/>
          <w:color w:val="000000" w:themeColor="text1"/>
          <w:sz w:val="24"/>
          <w:szCs w:val="24"/>
          <w14:textFill>
            <w14:solidFill>
              <w14:schemeClr w14:val="tx1"/>
            </w14:solidFill>
          </w14:textFill>
        </w:rPr>
      </w:pPr>
      <w:bookmarkStart w:id="1" w:name="OLE_LINK3"/>
      <w:r>
        <w:rPr>
          <w:rFonts w:hint="eastAsia" w:asciiTheme="minorEastAsia" w:hAnsiTheme="minorEastAsia" w:eastAsiaTheme="minorEastAsia" w:cstheme="minorEastAsia"/>
          <w:color w:val="000000" w:themeColor="text1"/>
          <w:sz w:val="24"/>
          <w:szCs w:val="24"/>
          <w14:textFill>
            <w14:solidFill>
              <w14:schemeClr w14:val="tx1"/>
            </w14:solidFill>
          </w14:textFill>
        </w:rPr>
        <w:t>（1）投标文件一式三份，其中正本一份，副本二份。每套纸质投标文件在封面清楚地标明“正本”或“副本”，副本与正本不一致时以正本为准。每页须加盖本单位公章。</w:t>
      </w:r>
    </w:p>
    <w:p>
      <w:pPr>
        <w:spacing w:line="576" w:lineRule="exact"/>
        <w:ind w:firstLine="480" w:firstLineChars="20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（2）投标文件应密封送达开标现场，封套上应注明项目名称、供应商名称，封口处应加盖供应商公章，凡电报，邮寄，传真形式的投标文件概不接受。</w:t>
      </w:r>
    </w:p>
    <w:p>
      <w:pPr>
        <w:spacing w:line="576" w:lineRule="exact"/>
        <w:ind w:firstLine="482" w:firstLineChars="200"/>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六、投标报价</w:t>
      </w:r>
    </w:p>
    <w:bookmarkEnd w:id="1"/>
    <w:p>
      <w:pPr>
        <w:spacing w:line="576" w:lineRule="exact"/>
        <w:ind w:firstLine="480" w:firstLineChars="200"/>
        <w:rPr>
          <w:rFonts w:asciiTheme="minorEastAsia" w:hAnsiTheme="minorEastAsia" w:eastAsiaTheme="minorEastAsia" w:cstheme="minorEastAsia"/>
          <w:color w:val="000000" w:themeColor="text1"/>
          <w:sz w:val="24"/>
          <w:szCs w:val="24"/>
          <w14:textFill>
            <w14:solidFill>
              <w14:schemeClr w14:val="tx1"/>
            </w14:solidFill>
          </w14:textFill>
        </w:rPr>
      </w:pPr>
      <w:bookmarkStart w:id="2" w:name="OLE_LINK5"/>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本项目为人民币报价，投标人对总价和单价进行报价</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p>
    <w:bookmarkEnd w:id="2"/>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482" w:firstLineChars="200"/>
        <w:textAlignment w:val="auto"/>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七、评审程序</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主持人按下列程序进行评审：</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（1）核验参加供应商的法定代表人或委托代理人本人身份证（原件），核验被授权代理人的授权委托书（原件），以确认其身份合法有效；</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（2）宣布评审纪律；</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（3）宣布唱标人、记录人、监标人等有关人员姓名；</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（4）公布在投标截止时间前递交投标文件的供应商名称，并点名确认供应商是否派人到场；</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（5）封装情况检查：投标人或者其推选的代表检查各投标文件的封装情况并确认；</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（6）随机开启投标文件。</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（7）评审委员会评审，并出具评审报告；</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（8）投标人代表、发包人代表、监标人、记录人等有关人员在评审记录上签字确认；</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（9）评审结束。</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482" w:firstLineChars="200"/>
        <w:textAlignment w:val="auto"/>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八、评审委员会</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评审委员会由采购人按法律法规或相关规范性文件依法组建的5人评审小组。</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482" w:firstLineChars="200"/>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九、</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中标通知书</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14:textFill>
            <w14:solidFill>
              <w14:schemeClr w14:val="tx1"/>
            </w14:solidFill>
          </w14:textFill>
        </w:rPr>
        <w:t>）依法确定中标人后，以书面形式发出中标通知书。</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14:textFill>
            <w14:solidFill>
              <w14:schemeClr w14:val="tx1"/>
            </w14:solidFill>
          </w14:textFill>
        </w:rPr>
        <w:t>）采购人在收到评标报告之日起3日内公示中标候选人，公示期不得少于3日。在本招标文件规定的投标有效期内，且未有供应商的异议与投诉，采购人以书面形式向中标人发出中标通知书。</w:t>
      </w:r>
    </w:p>
    <w:p>
      <w:pPr>
        <w:keepNext w:val="0"/>
        <w:keepLines w:val="0"/>
        <w:pageBreakBefore w:val="0"/>
        <w:widowControl w:val="0"/>
        <w:kinsoku/>
        <w:wordWrap/>
        <w:overflowPunct/>
        <w:topLinePunct w:val="0"/>
        <w:autoSpaceDE/>
        <w:autoSpaceDN/>
        <w:bidi w:val="0"/>
        <w:adjustRightInd/>
        <w:snapToGrid/>
        <w:spacing w:line="576" w:lineRule="exact"/>
        <w:ind w:firstLine="482" w:firstLineChars="200"/>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十</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、签订合同</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14:textFill>
            <w14:solidFill>
              <w14:schemeClr w14:val="tx1"/>
            </w14:solidFill>
          </w14:textFill>
        </w:rPr>
        <w:t>）在中标通知书发出后五个工作日内，按约定签订书面合同。</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14:textFill>
            <w14:solidFill>
              <w14:schemeClr w14:val="tx1"/>
            </w14:solidFill>
          </w14:textFill>
        </w:rPr>
        <w:t>）供应商所报价格均为含税价，并且需提供增值税专用发票。</w:t>
      </w:r>
    </w:p>
    <w:p>
      <w:pPr>
        <w:keepNext w:val="0"/>
        <w:keepLines w:val="0"/>
        <w:pageBreakBefore w:val="0"/>
        <w:widowControl w:val="0"/>
        <w:kinsoku/>
        <w:wordWrap/>
        <w:overflowPunct/>
        <w:topLinePunct w:val="0"/>
        <w:autoSpaceDE/>
        <w:autoSpaceDN/>
        <w:bidi w:val="0"/>
        <w:adjustRightInd/>
        <w:snapToGrid/>
        <w:spacing w:line="576" w:lineRule="exact"/>
        <w:ind w:firstLine="482" w:firstLineChars="200"/>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十一</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、支付方式</w:t>
      </w:r>
    </w:p>
    <w:p>
      <w:pPr>
        <w:spacing w:line="576" w:lineRule="exact"/>
        <w:ind w:firstLine="480" w:firstLineChars="200"/>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本次报价须为人民币单价报价，其单价为综合单价。包含完成本项目商品有机肥（袋装）采购</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所有费用，包括但不限于：材料费用（含材料出厂，运输，上下车等）、</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人员费用（含员工工资、社会保险费、加班费，员工福利等），办公费用（含通讯费、固定资产及一次性投入折旧等）</w:t>
      </w:r>
      <w:r>
        <w:rPr>
          <w:rFonts w:hint="eastAsia" w:ascii="宋体" w:hAnsi="宋体" w:eastAsia="宋体" w:cs="Times New Roman"/>
          <w:color w:val="000000"/>
          <w:spacing w:val="-20"/>
          <w:kern w:val="21"/>
          <w:sz w:val="24"/>
          <w:szCs w:val="24"/>
          <w:lang w:val="en-US" w:eastAsia="zh-CN"/>
        </w:rPr>
        <w:t>考察费、</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差旅费、合理利润</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以及其它相关伴随服务等工作内容产生的一切费用以及因此产生的所有税费（如关税、增值税等)。</w:t>
      </w:r>
    </w:p>
    <w:p>
      <w:pPr>
        <w:spacing w:line="576" w:lineRule="exact"/>
        <w:ind w:firstLine="480" w:firstLineChars="200"/>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（2）结算金额最终结算以实际</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供货量</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为准。</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（3）</w:t>
      </w:r>
      <w:r>
        <w:rPr>
          <w:rFonts w:hint="eastAsia" w:asciiTheme="minorEastAsia" w:hAnsiTheme="minorEastAsia" w:eastAsiaTheme="minorEastAsia" w:cstheme="minorEastAsia"/>
          <w:sz w:val="24"/>
          <w:szCs w:val="24"/>
          <w:highlight w:val="none"/>
        </w:rPr>
        <w:t>本工程</w:t>
      </w:r>
      <w:r>
        <w:rPr>
          <w:rFonts w:hint="eastAsia" w:asciiTheme="minorEastAsia" w:hAnsiTheme="minorEastAsia" w:eastAsiaTheme="minorEastAsia" w:cstheme="minorEastAsia"/>
          <w:sz w:val="24"/>
          <w:szCs w:val="24"/>
          <w:highlight w:val="none"/>
          <w:lang w:val="en-US" w:eastAsia="zh-CN"/>
        </w:rPr>
        <w:t>货物</w:t>
      </w:r>
      <w:r>
        <w:rPr>
          <w:rFonts w:hint="eastAsia" w:asciiTheme="minorEastAsia" w:hAnsiTheme="minorEastAsia" w:eastAsiaTheme="minorEastAsia" w:cstheme="minorEastAsia"/>
          <w:sz w:val="24"/>
          <w:szCs w:val="24"/>
          <w:highlight w:val="none"/>
        </w:rPr>
        <w:t>供应均不支付预付款，供货完毕后办理结算，綦江区2022年丘陵山区高标准农田改造提升示范项目完工后支付至结算金额的80%，</w:t>
      </w:r>
      <w:r>
        <w:rPr>
          <w:rFonts w:hint="eastAsia" w:asciiTheme="minorEastAsia" w:hAnsiTheme="minorEastAsia" w:eastAsiaTheme="minorEastAsia" w:cstheme="minorEastAsia"/>
          <w:sz w:val="24"/>
          <w:szCs w:val="24"/>
          <w:highlight w:val="none"/>
          <w:lang w:val="en-US" w:eastAsia="zh-CN"/>
        </w:rPr>
        <w:t>经</w:t>
      </w:r>
      <w:r>
        <w:rPr>
          <w:rFonts w:hint="eastAsia" w:asciiTheme="minorEastAsia" w:hAnsiTheme="minorEastAsia" w:eastAsiaTheme="minorEastAsia" w:cstheme="minorEastAsia"/>
          <w:sz w:val="24"/>
          <w:szCs w:val="24"/>
          <w:highlight w:val="none"/>
        </w:rPr>
        <w:t>竣工验收后结清货款。付款前，乙方需向甲方提供全额有效的发票，甲方收到发票后十五个工作日内向乙方支付货款，乙方未提供足额发票的，甲方有权拒付当期款项；所有</w:t>
      </w:r>
      <w:r>
        <w:rPr>
          <w:rFonts w:hint="eastAsia" w:asciiTheme="minorEastAsia" w:hAnsiTheme="minorEastAsia" w:eastAsiaTheme="minorEastAsia" w:cstheme="minorEastAsia"/>
          <w:sz w:val="24"/>
          <w:szCs w:val="24"/>
          <w:highlight w:val="none"/>
          <w:lang w:val="en-US" w:eastAsia="zh-CN"/>
        </w:rPr>
        <w:t>货</w:t>
      </w:r>
      <w:r>
        <w:rPr>
          <w:rFonts w:hint="eastAsia" w:asciiTheme="minorEastAsia" w:hAnsiTheme="minorEastAsia" w:eastAsiaTheme="minorEastAsia" w:cstheme="minorEastAsia"/>
          <w:sz w:val="24"/>
          <w:szCs w:val="24"/>
          <w:highlight w:val="none"/>
        </w:rPr>
        <w:t>款支付均不计利息。</w:t>
      </w:r>
    </w:p>
    <w:p>
      <w:pPr>
        <w:spacing w:line="576" w:lineRule="exact"/>
        <w:ind w:firstLine="480" w:firstLineChars="200"/>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（4）付款方式：转账。</w:t>
      </w:r>
    </w:p>
    <w:p>
      <w:pPr>
        <w:spacing w:line="576" w:lineRule="exact"/>
        <w:ind w:firstLine="560"/>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十二</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、装订要求</w:t>
      </w:r>
    </w:p>
    <w:p>
      <w:pPr>
        <w:snapToGrid w:val="0"/>
        <w:spacing w:line="576" w:lineRule="exact"/>
        <w:ind w:left="48" w:leftChars="17" w:right="50" w:rightChars="18"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14:textFill>
            <w14:solidFill>
              <w14:schemeClr w14:val="tx1"/>
            </w14:solidFill>
          </w14:textFill>
        </w:rPr>
        <w:t>）投标文件袋使用“投标文件大袋；</w:t>
      </w:r>
    </w:p>
    <w:p>
      <w:pPr>
        <w:pStyle w:val="18"/>
        <w:tabs>
          <w:tab w:val="left" w:pos="1080"/>
        </w:tabs>
        <w:spacing w:line="576" w:lineRule="exact"/>
        <w:ind w:firstLine="480" w:firstLineChars="200"/>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供应商“投标文件”大袋上应按以下要求粘贴封面：</w:t>
      </w:r>
    </w:p>
    <w:p>
      <w:pPr>
        <w:snapToGrid w:val="0"/>
        <w:spacing w:line="576" w:lineRule="exact"/>
        <w:ind w:firstLine="480" w:firstLineChars="200"/>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投标大袋封面上写明如下内容：</w:t>
      </w:r>
    </w:p>
    <w:p>
      <w:pPr>
        <w:snapToGrid w:val="0"/>
        <w:spacing w:line="576" w:lineRule="exact"/>
        <w:ind w:right="50" w:rightChars="18"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（项目名称）         </w:t>
      </w:r>
      <w:r>
        <w:rPr>
          <w:rFonts w:hint="eastAsia" w:asciiTheme="minorEastAsia" w:hAnsiTheme="minorEastAsia" w:eastAsiaTheme="minorEastAsia" w:cstheme="minorEastAsia"/>
          <w:color w:val="000000" w:themeColor="text1"/>
          <w:sz w:val="24"/>
          <w:szCs w:val="24"/>
          <w14:textFill>
            <w14:solidFill>
              <w14:schemeClr w14:val="tx1"/>
            </w14:solidFill>
          </w14:textFill>
        </w:rPr>
        <w:t>采购投标文件</w:t>
      </w:r>
    </w:p>
    <w:p>
      <w:pPr>
        <w:snapToGrid w:val="0"/>
        <w:spacing w:line="576" w:lineRule="exact"/>
        <w:ind w:right="50" w:rightChars="18"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在</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年</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月</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日</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分前不得开启</w:t>
      </w:r>
    </w:p>
    <w:p>
      <w:pPr>
        <w:pStyle w:val="18"/>
        <w:tabs>
          <w:tab w:val="left" w:pos="1080"/>
        </w:tabs>
        <w:spacing w:line="576" w:lineRule="exact"/>
        <w:ind w:firstLine="480" w:firstLineChars="200"/>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供应商名称：</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（盖投标单位公章）        </w:t>
      </w:r>
    </w:p>
    <w:p>
      <w:pPr>
        <w:pStyle w:val="18"/>
        <w:spacing w:line="576" w:lineRule="exact"/>
        <w:ind w:left="0" w:leftChars="0" w:firstLine="480" w:firstLineChars="200"/>
        <w:jc w:val="left"/>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注：</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供应商未按照采购人以上要求装订投标文件，采购人应拒收供应商</w:t>
      </w:r>
      <w:r>
        <w:rPr>
          <w:rFonts w:hint="eastAsia" w:asciiTheme="minorEastAsia" w:hAnsiTheme="minorEastAsia" w:eastAsiaTheme="minorEastAsia" w:cstheme="minorEastAsia"/>
          <w:color w:val="000000" w:themeColor="text1"/>
          <w:sz w:val="24"/>
          <w:szCs w:val="24"/>
          <w14:textFill>
            <w14:solidFill>
              <w14:schemeClr w14:val="tx1"/>
            </w14:solidFill>
          </w14:textFill>
        </w:rPr>
        <w:t>投标文件</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pStyle w:val="4"/>
        <w:spacing w:before="120" w:after="120" w:line="576" w:lineRule="exact"/>
        <w:ind w:firstLine="482" w:firstLineChars="200"/>
        <w:jc w:val="both"/>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十三</w:t>
      </w:r>
      <w:r>
        <w:rPr>
          <w:rFonts w:hint="eastAsia" w:asciiTheme="minorEastAsia" w:hAnsiTheme="minorEastAsia" w:eastAsiaTheme="minorEastAsia" w:cstheme="minorEastAsia"/>
          <w:color w:val="000000" w:themeColor="text1"/>
          <w:sz w:val="24"/>
          <w:szCs w:val="24"/>
          <w14:textFill>
            <w14:solidFill>
              <w14:schemeClr w14:val="tx1"/>
            </w14:solidFill>
          </w14:textFill>
        </w:rPr>
        <w:t>、投标保证金</w:t>
      </w:r>
    </w:p>
    <w:p>
      <w:pPr>
        <w:pStyle w:val="18"/>
        <w:tabs>
          <w:tab w:val="left" w:pos="1080"/>
        </w:tabs>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14:textFill>
            <w14:solidFill>
              <w14:schemeClr w14:val="tx1"/>
            </w14:solidFill>
          </w14:textFill>
        </w:rPr>
        <w:t>）本项目需按规定缴纳投标保证金。</w:t>
      </w:r>
    </w:p>
    <w:p>
      <w:pPr>
        <w:pStyle w:val="18"/>
        <w:tabs>
          <w:tab w:val="left" w:pos="1080"/>
        </w:tabs>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14:textFill>
            <w14:solidFill>
              <w14:schemeClr w14:val="tx1"/>
            </w14:solidFill>
          </w14:textFill>
        </w:rPr>
        <w:t>）投标保证金缴纳形式：</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投标人</w:t>
      </w:r>
      <w:r>
        <w:rPr>
          <w:rFonts w:hint="eastAsia" w:asciiTheme="minorEastAsia" w:hAnsiTheme="minorEastAsia" w:eastAsiaTheme="minorEastAsia" w:cstheme="minorEastAsia"/>
          <w:color w:val="000000" w:themeColor="text1"/>
          <w:sz w:val="24"/>
          <w:szCs w:val="24"/>
          <w14:textFill>
            <w14:solidFill>
              <w14:schemeClr w14:val="tx1"/>
            </w14:solidFill>
          </w14:textFill>
        </w:rPr>
        <w:t>必须以网上银行或电汇方式从</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投标人</w:t>
      </w:r>
      <w:r>
        <w:rPr>
          <w:rFonts w:hint="eastAsia" w:asciiTheme="minorEastAsia" w:hAnsiTheme="minorEastAsia" w:eastAsiaTheme="minorEastAsia" w:cstheme="minorEastAsia"/>
          <w:color w:val="000000" w:themeColor="text1"/>
          <w:sz w:val="24"/>
          <w:szCs w:val="24"/>
          <w14:textFill>
            <w14:solidFill>
              <w14:schemeClr w14:val="tx1"/>
            </w14:solidFill>
          </w14:textFill>
        </w:rPr>
        <w:t>基本账户汇出，转款时汇出账号必须与开户许可证上的账号一致，用其他方式缴纳的投标无效。同时在备注或用途栏注明项目名称。</w:t>
      </w:r>
    </w:p>
    <w:p>
      <w:pPr>
        <w:pStyle w:val="18"/>
        <w:tabs>
          <w:tab w:val="left" w:pos="1080"/>
        </w:tabs>
        <w:spacing w:line="576" w:lineRule="exact"/>
        <w:ind w:firstLine="480" w:firstLineChars="200"/>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14:textFill>
            <w14:solidFill>
              <w14:schemeClr w14:val="tx1"/>
            </w14:solidFill>
          </w14:textFill>
        </w:rPr>
        <w:t>）投标保证金的金额：</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2万元</w:t>
      </w:r>
    </w:p>
    <w:p>
      <w:pPr>
        <w:pStyle w:val="18"/>
        <w:tabs>
          <w:tab w:val="left" w:pos="1080"/>
        </w:tabs>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4"/>
          <w:szCs w:val="24"/>
          <w14:textFill>
            <w14:solidFill>
              <w14:schemeClr w14:val="tx1"/>
            </w14:solidFill>
          </w14:textFill>
        </w:rPr>
        <w:t>）缴纳投标保证金的账户信息：</w:t>
      </w:r>
    </w:p>
    <w:p>
      <w:pPr>
        <w:pStyle w:val="18"/>
        <w:tabs>
          <w:tab w:val="left" w:pos="1080"/>
        </w:tabs>
        <w:spacing w:line="576" w:lineRule="exact"/>
        <w:ind w:firstLine="480" w:firstLineChars="200"/>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账户名称：</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重庆卓成建筑工程股份有限公司</w:t>
      </w:r>
    </w:p>
    <w:p>
      <w:pPr>
        <w:pStyle w:val="18"/>
        <w:tabs>
          <w:tab w:val="left" w:pos="1080"/>
        </w:tabs>
        <w:spacing w:line="576" w:lineRule="exact"/>
        <w:ind w:firstLine="480" w:firstLineChars="200"/>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开户银行：</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中国建设银行股份有限公司綦江九龙大道支行</w:t>
      </w:r>
    </w:p>
    <w:p>
      <w:pPr>
        <w:pStyle w:val="18"/>
        <w:tabs>
          <w:tab w:val="left" w:pos="1080"/>
        </w:tabs>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账号：</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50001166500052500018</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p>
    <w:p>
      <w:pPr>
        <w:pStyle w:val="18"/>
        <w:tabs>
          <w:tab w:val="left" w:pos="1080"/>
        </w:tabs>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4"/>
          <w:szCs w:val="24"/>
          <w14:textFill>
            <w14:solidFill>
              <w14:schemeClr w14:val="tx1"/>
            </w14:solidFill>
          </w14:textFill>
        </w:rPr>
        <w:t>）投标保证金缴纳情况</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由</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4"/>
          <w:szCs w:val="24"/>
          <w14:textFill>
            <w14:solidFill>
              <w14:schemeClr w14:val="tx1"/>
            </w14:solidFill>
          </w14:textFill>
        </w:rPr>
        <w:t>打印出来后送评审现场。</w:t>
      </w:r>
    </w:p>
    <w:p>
      <w:pPr>
        <w:pStyle w:val="18"/>
        <w:tabs>
          <w:tab w:val="left" w:pos="1080"/>
        </w:tabs>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4"/>
          <w:szCs w:val="24"/>
          <w14:textFill>
            <w14:solidFill>
              <w14:schemeClr w14:val="tx1"/>
            </w14:solidFill>
          </w14:textFill>
        </w:rPr>
        <w:t>）投标保证金的退还：</w:t>
      </w:r>
    </w:p>
    <w:p>
      <w:pPr>
        <w:pStyle w:val="18"/>
        <w:tabs>
          <w:tab w:val="left" w:pos="1080"/>
        </w:tabs>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1.退还金额</w:t>
      </w:r>
    </w:p>
    <w:p>
      <w:pPr>
        <w:pStyle w:val="18"/>
        <w:tabs>
          <w:tab w:val="left" w:pos="1080"/>
        </w:tabs>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退还金额为投标保证金本金</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不计</w:t>
      </w:r>
      <w:r>
        <w:rPr>
          <w:rFonts w:hint="eastAsia" w:asciiTheme="minorEastAsia" w:hAnsiTheme="minorEastAsia" w:eastAsiaTheme="minorEastAsia" w:cstheme="minorEastAsia"/>
          <w:color w:val="000000" w:themeColor="text1"/>
          <w:sz w:val="24"/>
          <w:szCs w:val="24"/>
          <w14:textFill>
            <w14:solidFill>
              <w14:schemeClr w14:val="tx1"/>
            </w14:solidFill>
          </w14:textFill>
        </w:rPr>
        <w:t>息</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pStyle w:val="18"/>
        <w:tabs>
          <w:tab w:val="left" w:pos="1080"/>
        </w:tabs>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2.退还方式</w:t>
      </w:r>
    </w:p>
    <w:p>
      <w:pPr>
        <w:pStyle w:val="18"/>
        <w:tabs>
          <w:tab w:val="left" w:pos="1080"/>
        </w:tabs>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通过网上银行转账方式将投标保证金</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无息</w:t>
      </w:r>
      <w:r>
        <w:rPr>
          <w:rFonts w:hint="eastAsia" w:asciiTheme="minorEastAsia" w:hAnsiTheme="minorEastAsia" w:eastAsiaTheme="minorEastAsia" w:cstheme="minorEastAsia"/>
          <w:color w:val="000000" w:themeColor="text1"/>
          <w:sz w:val="24"/>
          <w:szCs w:val="24"/>
          <w14:textFill>
            <w14:solidFill>
              <w14:schemeClr w14:val="tx1"/>
            </w14:solidFill>
          </w14:textFill>
        </w:rPr>
        <w:t>转入</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投标人</w:t>
      </w:r>
      <w:r>
        <w:rPr>
          <w:rFonts w:hint="eastAsia" w:asciiTheme="minorEastAsia" w:hAnsiTheme="minorEastAsia" w:eastAsiaTheme="minorEastAsia" w:cstheme="minorEastAsia"/>
          <w:color w:val="000000" w:themeColor="text1"/>
          <w:sz w:val="24"/>
          <w:szCs w:val="24"/>
          <w14:textFill>
            <w14:solidFill>
              <w14:schemeClr w14:val="tx1"/>
            </w14:solidFill>
          </w14:textFill>
        </w:rPr>
        <w:t>缴纳投标保证金的银行账户。</w:t>
      </w:r>
    </w:p>
    <w:p>
      <w:pPr>
        <w:pStyle w:val="18"/>
        <w:tabs>
          <w:tab w:val="left" w:pos="1080"/>
        </w:tabs>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3.退还程序</w:t>
      </w:r>
    </w:p>
    <w:p>
      <w:pPr>
        <w:pStyle w:val="18"/>
        <w:tabs>
          <w:tab w:val="left" w:pos="1080"/>
        </w:tabs>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在中标通知书发出后五日内，向除中标人和中标候选人以外的</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投标人</w:t>
      </w:r>
      <w:r>
        <w:rPr>
          <w:rFonts w:hint="eastAsia" w:asciiTheme="minorEastAsia" w:hAnsiTheme="minorEastAsia" w:eastAsiaTheme="minorEastAsia" w:cstheme="minorEastAsia"/>
          <w:color w:val="000000" w:themeColor="text1"/>
          <w:sz w:val="24"/>
          <w:szCs w:val="24"/>
          <w14:textFill>
            <w14:solidFill>
              <w14:schemeClr w14:val="tx1"/>
            </w14:solidFill>
          </w14:textFill>
        </w:rPr>
        <w:t>退还投标保证金。在</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4"/>
          <w:szCs w:val="24"/>
          <w14:textFill>
            <w14:solidFill>
              <w14:schemeClr w14:val="tx1"/>
            </w14:solidFill>
          </w14:textFill>
        </w:rPr>
        <w:t>与中标人签订合同后五日内，向中标人和中标候选人退还投标保证金。</w:t>
      </w:r>
    </w:p>
    <w:p>
      <w:pPr>
        <w:pStyle w:val="18"/>
        <w:tabs>
          <w:tab w:val="left" w:pos="1080"/>
        </w:tabs>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sz w:val="24"/>
          <w:szCs w:val="24"/>
          <w14:textFill>
            <w14:solidFill>
              <w14:schemeClr w14:val="tx1"/>
            </w14:solidFill>
          </w14:textFill>
        </w:rPr>
        <w:t>）投标保证金不予退还情形</w:t>
      </w:r>
    </w:p>
    <w:p>
      <w:pPr>
        <w:pStyle w:val="18"/>
        <w:tabs>
          <w:tab w:val="left" w:pos="1080"/>
        </w:tabs>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1.投标截止后承包商撤销投标文件的，</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4"/>
          <w:szCs w:val="24"/>
          <w14:textFill>
            <w14:solidFill>
              <w14:schemeClr w14:val="tx1"/>
            </w14:solidFill>
          </w14:textFill>
        </w:rPr>
        <w:t>可以不退还投标保证金；</w:t>
      </w:r>
    </w:p>
    <w:p>
      <w:pPr>
        <w:pStyle w:val="18"/>
        <w:tabs>
          <w:tab w:val="left" w:pos="1080"/>
        </w:tabs>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2.中标人无正当理由不与</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4"/>
          <w:szCs w:val="24"/>
          <w14:textFill>
            <w14:solidFill>
              <w14:schemeClr w14:val="tx1"/>
            </w14:solidFill>
          </w14:textFill>
        </w:rPr>
        <w:t>订立合同，在签订合同时向</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4"/>
          <w:szCs w:val="24"/>
          <w14:textFill>
            <w14:solidFill>
              <w14:schemeClr w14:val="tx1"/>
            </w14:solidFill>
          </w14:textFill>
        </w:rPr>
        <w:t>提出附加条件，或者不按照招标文件要求提交履约保证金的，取消其中标资格，投标保证金不予退还；</w:t>
      </w:r>
    </w:p>
    <w:p>
      <w:pPr>
        <w:pStyle w:val="18"/>
        <w:tabs>
          <w:tab w:val="left" w:pos="1080"/>
        </w:tabs>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投标人</w:t>
      </w:r>
      <w:r>
        <w:rPr>
          <w:rFonts w:hint="eastAsia" w:asciiTheme="minorEastAsia" w:hAnsiTheme="minorEastAsia" w:eastAsiaTheme="minorEastAsia" w:cstheme="minorEastAsia"/>
          <w:color w:val="000000" w:themeColor="text1"/>
          <w:sz w:val="24"/>
          <w:szCs w:val="24"/>
          <w14:textFill>
            <w14:solidFill>
              <w14:schemeClr w14:val="tx1"/>
            </w14:solidFill>
          </w14:textFill>
        </w:rPr>
        <w:t>有使用伪造、变造的许可证件，提供虚假的财务状况，提供虚假的</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业绩</w:t>
      </w:r>
      <w:r>
        <w:rPr>
          <w:rFonts w:hint="eastAsia" w:asciiTheme="minorEastAsia" w:hAnsiTheme="minorEastAsia" w:eastAsiaTheme="minorEastAsia" w:cstheme="minorEastAsia"/>
          <w:color w:val="000000" w:themeColor="text1"/>
          <w:sz w:val="24"/>
          <w:szCs w:val="24"/>
          <w14:textFill>
            <w14:solidFill>
              <w14:schemeClr w14:val="tx1"/>
            </w14:solidFill>
          </w14:textFill>
        </w:rPr>
        <w:t>，提供虚假的信用状况等弄虚作假行为的，投标保证金不予退还</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autoSpaceDE w:val="0"/>
        <w:autoSpaceDN w:val="0"/>
        <w:adjustRightInd w:val="0"/>
        <w:snapToGrid w:val="0"/>
        <w:spacing w:line="576" w:lineRule="exact"/>
        <w:ind w:firstLine="482" w:firstLineChars="200"/>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lang w:val="en-US" w:eastAsia="zh-CN" w:bidi="ar-SA"/>
          <w14:textFill>
            <w14:solidFill>
              <w14:schemeClr w14:val="tx1"/>
            </w14:solidFill>
          </w14:textFill>
        </w:rPr>
        <w:t>十四、重</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新招标</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有下列情形之一的，采购人将重新招标：</w:t>
      </w:r>
    </w:p>
    <w:p>
      <w:pPr>
        <w:keepNext w:val="0"/>
        <w:keepLines w:val="0"/>
        <w:pageBreakBefore w:val="0"/>
        <w:widowControl w:val="0"/>
        <w:kinsoku/>
        <w:wordWrap/>
        <w:overflowPunct/>
        <w:topLinePunct w:val="0"/>
        <w:autoSpaceDE/>
        <w:autoSpaceDN/>
        <w:bidi w:val="0"/>
        <w:adjustRightInd/>
        <w:snapToGrid/>
        <w:spacing w:line="576" w:lineRule="exact"/>
        <w:ind w:firstLine="410" w:firstLineChars="171"/>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（1）投标截止时间止，</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投标人</w:t>
      </w:r>
      <w:r>
        <w:rPr>
          <w:rFonts w:hint="eastAsia" w:asciiTheme="minorEastAsia" w:hAnsiTheme="minorEastAsia" w:eastAsiaTheme="minorEastAsia" w:cstheme="minorEastAsia"/>
          <w:color w:val="000000" w:themeColor="text1"/>
          <w:sz w:val="24"/>
          <w:szCs w:val="24"/>
          <w14:textFill>
            <w14:solidFill>
              <w14:schemeClr w14:val="tx1"/>
            </w14:solidFill>
          </w14:textFill>
        </w:rPr>
        <w:t>少于3个的；</w:t>
      </w:r>
    </w:p>
    <w:p>
      <w:pPr>
        <w:keepNext w:val="0"/>
        <w:keepLines w:val="0"/>
        <w:pageBreakBefore w:val="0"/>
        <w:widowControl w:val="0"/>
        <w:kinsoku/>
        <w:wordWrap/>
        <w:overflowPunct/>
        <w:topLinePunct w:val="0"/>
        <w:autoSpaceDE/>
        <w:autoSpaceDN/>
        <w:bidi w:val="0"/>
        <w:adjustRightInd/>
        <w:snapToGrid/>
        <w:spacing w:line="576" w:lineRule="exact"/>
        <w:ind w:firstLine="410" w:firstLineChars="171"/>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（2）经评标委员会评审后否决所有投标的；</w:t>
      </w:r>
    </w:p>
    <w:p>
      <w:pPr>
        <w:keepNext w:val="0"/>
        <w:keepLines w:val="0"/>
        <w:pageBreakBefore w:val="0"/>
        <w:widowControl w:val="0"/>
        <w:kinsoku/>
        <w:wordWrap/>
        <w:overflowPunct/>
        <w:topLinePunct w:val="0"/>
        <w:autoSpaceDE/>
        <w:autoSpaceDN/>
        <w:bidi w:val="0"/>
        <w:adjustRightInd/>
        <w:snapToGrid/>
        <w:spacing w:line="576" w:lineRule="exact"/>
        <w:ind w:firstLine="410" w:firstLineChars="171"/>
        <w:textAlignment w:val="auto"/>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t>（3）经评审后，如合格的投标人少于二个的，且明显缺乏竞争的，评标委员会可以否决全部投标，招标人将重新组织招标；</w:t>
      </w:r>
    </w:p>
    <w:p>
      <w:pPr>
        <w:keepNext w:val="0"/>
        <w:keepLines w:val="0"/>
        <w:pageBreakBefore w:val="0"/>
        <w:widowControl w:val="0"/>
        <w:kinsoku/>
        <w:wordWrap/>
        <w:overflowPunct/>
        <w:topLinePunct w:val="0"/>
        <w:autoSpaceDE/>
        <w:autoSpaceDN/>
        <w:bidi w:val="0"/>
        <w:adjustRightInd/>
        <w:snapToGrid/>
        <w:spacing w:line="576" w:lineRule="exact"/>
        <w:ind w:firstLine="410" w:firstLineChars="171"/>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4"/>
          <w:szCs w:val="24"/>
          <w14:textFill>
            <w14:solidFill>
              <w14:schemeClr w14:val="tx1"/>
            </w14:solidFill>
          </w14:textFill>
        </w:rPr>
        <w:t>）中标候选人均未与采购人签订合同的；</w:t>
      </w:r>
    </w:p>
    <w:p>
      <w:pPr>
        <w:keepNext w:val="0"/>
        <w:keepLines w:val="0"/>
        <w:pageBreakBefore w:val="0"/>
        <w:widowControl w:val="0"/>
        <w:kinsoku/>
        <w:wordWrap/>
        <w:overflowPunct/>
        <w:topLinePunct w:val="0"/>
        <w:autoSpaceDE/>
        <w:autoSpaceDN/>
        <w:bidi w:val="0"/>
        <w:adjustRightInd/>
        <w:snapToGrid/>
        <w:spacing w:line="576" w:lineRule="exact"/>
        <w:ind w:firstLine="410" w:firstLineChars="171"/>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4"/>
          <w:szCs w:val="24"/>
          <w14:textFill>
            <w14:solidFill>
              <w14:schemeClr w14:val="tx1"/>
            </w14:solidFill>
          </w14:textFill>
        </w:rPr>
        <w:t>）法律规定的其他情形。</w:t>
      </w:r>
    </w:p>
    <w:p>
      <w:pPr>
        <w:spacing w:line="576" w:lineRule="exact"/>
        <w:ind w:firstLine="412" w:firstLineChars="171"/>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十五</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、不再招标</w:t>
      </w:r>
    </w:p>
    <w:p>
      <w:pPr>
        <w:spacing w:line="576" w:lineRule="exact"/>
        <w:ind w:firstLine="480" w:firstLineChars="200"/>
        <w:rPr>
          <w:rFonts w:hint="eastAsia" w:asciiTheme="minorEastAsia" w:hAnsiTheme="minorEastAsia" w:eastAsiaTheme="minorEastAsia" w:cstheme="minorEastAsia"/>
          <w:color w:val="000000" w:themeColor="text1"/>
          <w:sz w:val="24"/>
          <w:szCs w:val="24"/>
          <w:lang w:val="e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
          <w14:textFill>
            <w14:solidFill>
              <w14:schemeClr w14:val="tx1"/>
            </w14:solidFill>
          </w14:textFill>
        </w:rPr>
        <w:t>重新招标的投标人仍然少于三个的，按照招标投标法律法规规定的程序开标和评标。重新招标经评审有有效投标人的，应当依法确定中标候选人；无有效投标人的，可以不再进行招标，但是按照国家有关规定需要履行审批、核准、备案手续的依法必须进行招标的项目，应当报原项目投资主管部门审批、核准、备案。</w:t>
      </w:r>
    </w:p>
    <w:p>
      <w:pPr>
        <w:spacing w:line="576" w:lineRule="exact"/>
        <w:ind w:firstLine="482"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十</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六</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、对采购人的纪律要求</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采购人不得泄漏招标投标活动中应当保密的情况和资料，不得与供应商串通损害国家利益、社会公共利益或者他人合法权益，禁止采购人与供应商串通投标。</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有下列情形之一的，属于采购人与供应商串通投标：</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（1）采购人在开标前开启投标文件并将有关信息泄露给其他供应商;</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（2）采购人直接或者间接向供应商泄露评标委员会成员等信息；</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（3）采购人明示或者暗示供应商压低或者抬高投标报价；</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（4）采购人授意供应商撤换、修改投标文件；</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（5）采购人明示或者暗示供应商为特定供应商中标提供方便；</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（6）采购人与供应商为谋求特定供应商中标而采取的其他串通行为。</w:t>
      </w:r>
    </w:p>
    <w:p>
      <w:pPr>
        <w:spacing w:line="576" w:lineRule="exact"/>
        <w:ind w:firstLine="482"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十</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七</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、对供应商</w:t>
      </w: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投标人</w:t>
      </w: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的纪律要求</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供应商不得相互串通投标或者与采购人串通投标，不得向采购人或者评标委员会成员行贿谋取中标，不得以他人名义投标或者以其他方式弄虚作假骗取中标；供应商不得以任何方式干扰、影响评标工作。</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有下列情形之一的，属于供应商相互串通投标：</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（1）供应商之间协商投标报价等投标文件的实质性内容；</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（2）供应商之间约定中标人；</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（3）供应商之间约定部分供应商放弃投标或者中标；</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（4）属于同一集团、协会、商会等组织成员的供应商按照该组织要求协同投标；</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（5）供应商之间为谋取中标或者排斥特定供应商而采取的其他联合行动。</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有下列情形之一的，视为供应商相互串通投标：</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（1）不同供应商的投标文件由同一单位或者个人编制；</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（2）不同供应商委托同一单位或者个人办理投标事宜；</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（3）不同供应商的投标文件载明的项目管理成员为同一人；</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（4）不同供应商的投标文件异常一致或者投标报价呈规律性差异；</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（5）不同供应商的投标文件相互混装；</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（6）不同供应商的投标保证金从同一单位或者个人的账户转出。</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使用通过受让或者租借等方式获取的资格、资质证书投标的，属于以他人名义投标。</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供应商有下列情形之一的，属于以其他方式弄虚作假的行为：</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14:textFill>
            <w14:solidFill>
              <w14:schemeClr w14:val="tx1"/>
            </w14:solidFill>
          </w14:textFill>
        </w:rPr>
        <w:t>）使用伪造、变造的许可证件；</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14:textFill>
            <w14:solidFill>
              <w14:schemeClr w14:val="tx1"/>
            </w14:solidFill>
          </w14:textFill>
        </w:rPr>
        <w:t>）提供虚假的财务状况或者业绩；</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14:textFill>
            <w14:solidFill>
              <w14:schemeClr w14:val="tx1"/>
            </w14:solidFill>
          </w14:textFill>
        </w:rPr>
        <w:t>）提供虚假的项目负责人或者主要技术人员简历、劳动关系证明；</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4"/>
          <w:szCs w:val="24"/>
          <w14:textFill>
            <w14:solidFill>
              <w14:schemeClr w14:val="tx1"/>
            </w14:solidFill>
          </w14:textFill>
        </w:rPr>
        <w:t>）提供虚假的信用状况；</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4"/>
          <w:szCs w:val="24"/>
          <w14:textFill>
            <w14:solidFill>
              <w14:schemeClr w14:val="tx1"/>
            </w14:solidFill>
          </w14:textFill>
        </w:rPr>
        <w:t>）其他弄虚作假的行为。</w:t>
      </w:r>
    </w:p>
    <w:p>
      <w:pPr>
        <w:spacing w:line="576" w:lineRule="exact"/>
        <w:ind w:firstLine="482" w:firstLineChars="200"/>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十</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八</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、不可抗力的确认</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不可抗力是指承包人和发包人在订立合同时不可预见，在工程施工过程中不可避免发生并不能克服的自然灾害和社会性突发事件。包括但不限于：</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（1）地震、海啸、火山爆发、泥石流、暴雨（雪）、台风、龙卷风、水灾等自然灾害；</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（2）战争、骚乱、暴动，但纯属承包人或其分包人派遣与雇用的人员由于本合同工程施工原因引起者除外；</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（3）核反应、辐射或放射性污染；</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（4）空中飞行物体附落或非发包人或承包人责任造成的爆炸、火灾；</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（5）瘟疫；</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（6）项目专用合同条款约定的其他情形。</w:t>
      </w:r>
    </w:p>
    <w:p>
      <w:pPr>
        <w:autoSpaceDE w:val="0"/>
        <w:autoSpaceDN w:val="0"/>
        <w:adjustRightInd w:val="0"/>
        <w:snapToGrid w:val="0"/>
        <w:spacing w:line="576" w:lineRule="exact"/>
        <w:ind w:firstLine="480" w:firstLineChars="200"/>
        <w:rPr>
          <w:rFonts w:hint="eastAsia" w:asciiTheme="minorEastAsia" w:hAnsiTheme="minorEastAsia" w:eastAsiaTheme="minorEastAsia" w:cstheme="minorEastAsia"/>
          <w:color w:val="FF0000"/>
          <w:sz w:val="24"/>
          <w:szCs w:val="24"/>
          <w:lang w:val="en-US" w:eastAsia="zh-CN"/>
        </w:rPr>
        <w:sectPr>
          <w:headerReference r:id="rId3" w:type="default"/>
          <w:footerReference r:id="rId4" w:type="default"/>
          <w:pgSz w:w="11907" w:h="16840"/>
          <w:pgMar w:top="1134" w:right="1191" w:bottom="1134" w:left="1304" w:header="964" w:footer="992" w:gutter="0"/>
          <w:pgNumType w:start="1"/>
          <w:cols w:space="720" w:num="1"/>
          <w:docGrid w:linePitch="380" w:charSpace="-5735"/>
        </w:sect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cstheme="minorEastAsia"/>
          <w:b/>
          <w:bCs/>
          <w:color w:val="000000" w:themeColor="text1"/>
          <w:spacing w:val="-1"/>
          <w:sz w:val="32"/>
          <w:szCs w:val="32"/>
          <w14:textFill>
            <w14:solidFill>
              <w14:schemeClr w14:val="tx1"/>
            </w14:solidFill>
          </w14:textFill>
        </w:rPr>
      </w:pPr>
      <w:r>
        <w:rPr>
          <w:rFonts w:hint="eastAsia" w:asciiTheme="minorEastAsia" w:hAnsiTheme="minorEastAsia" w:eastAsiaTheme="minorEastAsia" w:cstheme="minorEastAsia"/>
          <w:b/>
          <w:bCs/>
          <w:color w:val="000000" w:themeColor="text1"/>
          <w:spacing w:val="-1"/>
          <w:sz w:val="32"/>
          <w:szCs w:val="32"/>
          <w14:textFill>
            <w14:solidFill>
              <w14:schemeClr w14:val="tx1"/>
            </w14:solidFill>
          </w14:textFill>
        </w:rPr>
        <w:t>第四篇</w:t>
      </w:r>
      <w:r>
        <w:rPr>
          <w:rFonts w:hint="eastAsia" w:asciiTheme="minorEastAsia" w:hAnsiTheme="minorEastAsia" w:eastAsiaTheme="minorEastAsia" w:cstheme="minorEastAsia"/>
          <w:b/>
          <w:bCs/>
          <w:color w:val="000000" w:themeColor="text1"/>
          <w:spacing w:val="-1"/>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pacing w:val="-1"/>
          <w:sz w:val="32"/>
          <w:szCs w:val="32"/>
          <w14:textFill>
            <w14:solidFill>
              <w14:schemeClr w14:val="tx1"/>
            </w14:solidFill>
          </w14:textFill>
        </w:rPr>
        <w:t>报价须知</w:t>
      </w:r>
    </w:p>
    <w:p>
      <w:pPr>
        <w:widowControl/>
        <w:spacing w:line="500" w:lineRule="exact"/>
        <w:ind w:firstLine="480" w:firstLineChars="200"/>
        <w:contextualSpacing/>
        <w:jc w:val="left"/>
        <w:rPr>
          <w:rFonts w:hint="eastAsia" w:ascii="宋体" w:hAnsi="宋体" w:eastAsia="宋体" w:cs="Times New Roman"/>
          <w:color w:val="000000"/>
          <w:spacing w:val="-20"/>
          <w:kern w:val="21"/>
          <w:sz w:val="24"/>
          <w:szCs w:val="24"/>
          <w:lang w:val="en-US" w:eastAsia="zh-CN"/>
        </w:rPr>
      </w:pPr>
      <w:r>
        <w:rPr>
          <w:rFonts w:hint="eastAsia" w:ascii="宋体" w:hAnsi="宋体" w:eastAsia="宋体" w:cs="Times New Roman"/>
          <w:color w:val="000000"/>
          <w:spacing w:val="-20"/>
          <w:kern w:val="21"/>
          <w:sz w:val="24"/>
          <w:szCs w:val="24"/>
          <w:lang w:val="en-US" w:eastAsia="zh-CN"/>
        </w:rPr>
        <w:t>一、计价方式</w:t>
      </w:r>
    </w:p>
    <w:p>
      <w:pPr>
        <w:widowControl/>
        <w:spacing w:line="500" w:lineRule="exact"/>
        <w:ind w:firstLine="480" w:firstLineChars="200"/>
        <w:contextualSpacing/>
        <w:jc w:val="left"/>
        <w:rPr>
          <w:rFonts w:hint="eastAsia" w:ascii="宋体" w:hAnsi="宋体" w:eastAsia="宋体" w:cs="Times New Roman"/>
          <w:color w:val="000000"/>
          <w:spacing w:val="-20"/>
          <w:kern w:val="21"/>
          <w:sz w:val="24"/>
          <w:szCs w:val="24"/>
          <w:lang w:val="en-US" w:eastAsia="zh-CN"/>
        </w:rPr>
      </w:pPr>
      <w:r>
        <w:rPr>
          <w:rFonts w:hint="eastAsia" w:ascii="宋体" w:hAnsi="宋体" w:eastAsia="宋体" w:cs="Times New Roman"/>
          <w:color w:val="000000"/>
          <w:spacing w:val="-20"/>
          <w:kern w:val="21"/>
          <w:sz w:val="24"/>
          <w:szCs w:val="24"/>
          <w:lang w:val="en-US" w:eastAsia="zh-CN"/>
        </w:rPr>
        <w:t>本项目采用固定单价的方式，投标报价以本招标文件提供的采购清单为准。</w:t>
      </w:r>
    </w:p>
    <w:p>
      <w:pPr>
        <w:widowControl/>
        <w:spacing w:line="500" w:lineRule="exact"/>
        <w:ind w:firstLine="480" w:firstLineChars="200"/>
        <w:contextualSpacing/>
        <w:jc w:val="left"/>
        <w:rPr>
          <w:rFonts w:hint="eastAsia" w:ascii="宋体" w:hAnsi="宋体" w:eastAsia="宋体" w:cs="Times New Roman"/>
          <w:color w:val="000000"/>
          <w:spacing w:val="-20"/>
          <w:kern w:val="21"/>
          <w:sz w:val="24"/>
          <w:szCs w:val="24"/>
          <w:lang w:val="en-US" w:eastAsia="zh-CN"/>
        </w:rPr>
      </w:pPr>
      <w:r>
        <w:rPr>
          <w:rFonts w:hint="eastAsia" w:ascii="宋体" w:hAnsi="宋体" w:eastAsia="宋体" w:cs="Times New Roman"/>
          <w:color w:val="000000"/>
          <w:spacing w:val="-20"/>
          <w:kern w:val="21"/>
          <w:sz w:val="24"/>
          <w:szCs w:val="24"/>
          <w:lang w:val="en-US" w:eastAsia="zh-CN"/>
        </w:rPr>
        <w:t>本次采购的货物在合同实施过程中，结算方式以《采购合同》中的含税单价为基础，实际供货数量为依据，中标人不得以招标文件中工程量的增减为由据不执行合同或向采购人索赔。</w:t>
      </w:r>
    </w:p>
    <w:p>
      <w:pPr>
        <w:widowControl/>
        <w:spacing w:line="500" w:lineRule="exact"/>
        <w:ind w:firstLine="480" w:firstLineChars="200"/>
        <w:contextualSpacing/>
        <w:jc w:val="left"/>
        <w:rPr>
          <w:rFonts w:hint="eastAsia" w:ascii="宋体" w:hAnsi="宋体" w:eastAsia="宋体" w:cs="Times New Roman"/>
          <w:color w:val="000000"/>
          <w:spacing w:val="-20"/>
          <w:kern w:val="21"/>
          <w:sz w:val="24"/>
          <w:szCs w:val="24"/>
          <w:lang w:val="en-US" w:eastAsia="zh-CN"/>
        </w:rPr>
      </w:pPr>
      <w:r>
        <w:rPr>
          <w:rFonts w:hint="eastAsia" w:ascii="宋体" w:hAnsi="宋体" w:eastAsia="宋体" w:cs="Times New Roman"/>
          <w:color w:val="000000"/>
          <w:spacing w:val="-20"/>
          <w:kern w:val="21"/>
          <w:sz w:val="24"/>
          <w:szCs w:val="24"/>
          <w:lang w:val="en-US" w:eastAsia="zh-CN"/>
        </w:rPr>
        <w:t>二、报价说明</w:t>
      </w:r>
    </w:p>
    <w:p>
      <w:pPr>
        <w:widowControl/>
        <w:spacing w:line="500" w:lineRule="exact"/>
        <w:ind w:firstLine="480" w:firstLineChars="200"/>
        <w:contextualSpacing/>
        <w:jc w:val="left"/>
        <w:rPr>
          <w:rFonts w:hint="eastAsia" w:ascii="宋体" w:hAnsi="宋体" w:eastAsia="宋体" w:cs="Times New Roman"/>
          <w:color w:val="000000"/>
          <w:spacing w:val="-20"/>
          <w:kern w:val="21"/>
          <w:sz w:val="24"/>
          <w:szCs w:val="24"/>
          <w:lang w:val="en-US" w:eastAsia="zh-CN"/>
        </w:rPr>
      </w:pPr>
      <w:r>
        <w:rPr>
          <w:rFonts w:hint="eastAsia" w:ascii="宋体" w:hAnsi="宋体" w:eastAsia="宋体" w:cs="Times New Roman"/>
          <w:color w:val="000000"/>
          <w:spacing w:val="-20"/>
          <w:kern w:val="21"/>
          <w:sz w:val="24"/>
          <w:szCs w:val="24"/>
          <w:lang w:val="en-US" w:eastAsia="zh-CN"/>
        </w:rPr>
        <w:t>1.投标人应自主考察现场及运输条件，自主确定运输路线、运输方式，自主确定服务人员数量，根据招标文件中规定的货物品种、供货方式及自身实力和市场情况自主报价。投标人的投标报价应是本项目招标范围中所述的全部内容的投标报价。投标人应根据第四篇要求及分项报价表的格式进行报价，不得有遗漏或空白项，且不得超过最高限价，否则视为不响应招标文件要求，其投标将被否决。</w:t>
      </w:r>
    </w:p>
    <w:p>
      <w:pPr>
        <w:widowControl/>
        <w:spacing w:line="500" w:lineRule="exact"/>
        <w:ind w:firstLine="480" w:firstLineChars="200"/>
        <w:contextualSpacing/>
        <w:jc w:val="left"/>
        <w:rPr>
          <w:rFonts w:hint="eastAsia" w:ascii="宋体" w:hAnsi="宋体" w:eastAsia="宋体" w:cs="Times New Roman"/>
          <w:color w:val="000000"/>
          <w:spacing w:val="-20"/>
          <w:kern w:val="21"/>
          <w:sz w:val="24"/>
          <w:szCs w:val="24"/>
          <w:lang w:val="en-US" w:eastAsia="zh-CN"/>
        </w:rPr>
      </w:pPr>
      <w:r>
        <w:rPr>
          <w:rFonts w:hint="eastAsia" w:ascii="宋体" w:hAnsi="宋体" w:eastAsia="宋体" w:cs="Times New Roman"/>
          <w:color w:val="000000"/>
          <w:spacing w:val="-20"/>
          <w:kern w:val="21"/>
          <w:sz w:val="24"/>
          <w:szCs w:val="24"/>
          <w:lang w:val="en-US" w:eastAsia="zh-CN"/>
        </w:rPr>
        <w:t>2.特别提示：采购商品有机肥（袋装）无推荐品牌，投标人根据商品有机肥（袋装）的规格、参数指标自行选择符合招标文件要求的商品有机肥（袋装）进行投标报价。</w:t>
      </w:r>
    </w:p>
    <w:p>
      <w:pPr>
        <w:widowControl/>
        <w:spacing w:line="500" w:lineRule="exact"/>
        <w:ind w:firstLine="480" w:firstLineChars="200"/>
        <w:contextualSpacing/>
        <w:jc w:val="left"/>
        <w:rPr>
          <w:rFonts w:hint="eastAsia" w:ascii="宋体" w:hAnsi="宋体" w:eastAsia="宋体" w:cs="Times New Roman"/>
          <w:color w:val="000000"/>
          <w:spacing w:val="-20"/>
          <w:kern w:val="21"/>
          <w:sz w:val="24"/>
          <w:szCs w:val="24"/>
          <w:lang w:val="en-US" w:eastAsia="zh-CN"/>
        </w:rPr>
      </w:pPr>
      <w:r>
        <w:rPr>
          <w:rFonts w:hint="eastAsia" w:ascii="宋体" w:hAnsi="宋体" w:eastAsia="宋体" w:cs="Times New Roman"/>
          <w:color w:val="000000"/>
          <w:spacing w:val="-20"/>
          <w:kern w:val="21"/>
          <w:sz w:val="24"/>
          <w:szCs w:val="24"/>
          <w:lang w:val="en-US" w:eastAsia="zh-CN"/>
        </w:rPr>
        <w:t>3.本次招标的报价为厂家运至采购单位指定地点的单价及总价。包含完成本项目商品有机肥（袋装）采购所有费用，包括但不限于：材料费用（含材料出厂，运输，上下车等）、人员费用（含员工工资、社会保险费、加班费，员工福利等），办公费用（含通讯费、固定资产及一次性投入折旧等）考察费、差旅费、合理利润以及其它相关伴随服务等工作内容产生的一切费用以及因此产生的所有税费（如关税、增值税等)。</w:t>
      </w:r>
    </w:p>
    <w:p>
      <w:pPr>
        <w:widowControl/>
        <w:spacing w:line="500" w:lineRule="exact"/>
        <w:ind w:firstLine="480" w:firstLineChars="200"/>
        <w:contextualSpacing/>
        <w:jc w:val="left"/>
        <w:rPr>
          <w:rFonts w:hint="eastAsia" w:ascii="宋体" w:hAnsi="宋体" w:eastAsia="宋体" w:cs="Times New Roman"/>
          <w:color w:val="000000"/>
          <w:spacing w:val="-20"/>
          <w:kern w:val="21"/>
          <w:sz w:val="24"/>
          <w:szCs w:val="24"/>
          <w:lang w:val="en-US" w:eastAsia="zh-CN"/>
        </w:rPr>
      </w:pPr>
      <w:r>
        <w:rPr>
          <w:rFonts w:hint="eastAsia" w:ascii="宋体" w:hAnsi="宋体" w:eastAsia="宋体" w:cs="Times New Roman"/>
          <w:color w:val="000000"/>
          <w:spacing w:val="-20"/>
          <w:kern w:val="21"/>
          <w:sz w:val="24"/>
          <w:szCs w:val="24"/>
          <w:lang w:val="en-US" w:eastAsia="zh-CN"/>
        </w:rPr>
        <w:t>4.投标人可根据招标人提供的货物清单，以及自身的供货能力，按招标文件的要求进行投标，并按照采购清单内容填报单价，不得有遗漏或空白项。投标人不得对采购清单的实质性内容进行修改，否则作否决投标处理。</w:t>
      </w:r>
    </w:p>
    <w:p>
      <w:pPr>
        <w:widowControl/>
        <w:spacing w:line="500" w:lineRule="exact"/>
        <w:ind w:firstLine="480" w:firstLineChars="200"/>
        <w:contextualSpacing/>
        <w:jc w:val="left"/>
        <w:rPr>
          <w:rFonts w:hint="eastAsia" w:ascii="宋体" w:hAnsi="宋体" w:eastAsia="宋体" w:cs="Times New Roman"/>
          <w:color w:val="000000"/>
          <w:spacing w:val="-20"/>
          <w:kern w:val="21"/>
          <w:sz w:val="24"/>
          <w:szCs w:val="24"/>
          <w:lang w:val="en-US" w:eastAsia="zh-CN"/>
        </w:rPr>
      </w:pPr>
      <w:r>
        <w:rPr>
          <w:rFonts w:hint="eastAsia" w:ascii="宋体" w:hAnsi="宋体" w:eastAsia="宋体" w:cs="Times New Roman"/>
          <w:color w:val="000000"/>
          <w:spacing w:val="-20"/>
          <w:kern w:val="21"/>
          <w:sz w:val="24"/>
          <w:szCs w:val="24"/>
          <w:lang w:val="en-US" w:eastAsia="zh-CN"/>
        </w:rPr>
        <w:t>5.调价：供货期不调整。</w:t>
      </w:r>
    </w:p>
    <w:p>
      <w:pPr>
        <w:pStyle w:val="2"/>
        <w:ind w:firstLine="480" w:firstLineChars="200"/>
        <w:rPr>
          <w:rFonts w:hint="eastAsia" w:ascii="宋体" w:hAnsi="宋体" w:eastAsia="宋体" w:cs="Times New Roman"/>
          <w:color w:val="000000"/>
          <w:spacing w:val="-20"/>
          <w:kern w:val="21"/>
          <w:sz w:val="24"/>
          <w:szCs w:val="24"/>
          <w:lang w:val="en-US" w:eastAsia="zh-CN" w:bidi="ar-SA"/>
        </w:rPr>
      </w:pPr>
      <w:r>
        <w:rPr>
          <w:rFonts w:hint="eastAsia" w:ascii="宋体" w:hAnsi="宋体" w:eastAsia="宋体" w:cs="Times New Roman"/>
          <w:color w:val="000000"/>
          <w:spacing w:val="-20"/>
          <w:kern w:val="21"/>
          <w:sz w:val="24"/>
          <w:szCs w:val="24"/>
          <w:lang w:val="en-US" w:eastAsia="zh-CN"/>
        </w:rPr>
        <w:t>6.违约责任：</w:t>
      </w:r>
      <w:r>
        <w:rPr>
          <w:rFonts w:hint="eastAsia" w:ascii="宋体" w:hAnsi="宋体" w:eastAsia="宋体" w:cs="Times New Roman"/>
          <w:color w:val="000000"/>
          <w:spacing w:val="-20"/>
          <w:kern w:val="21"/>
          <w:sz w:val="24"/>
          <w:szCs w:val="24"/>
          <w:lang w:val="en-US" w:eastAsia="zh-CN" w:bidi="ar-SA"/>
        </w:rPr>
        <w:t>中标供应商应在采购人下达单后3天内，货物到达采购人指定地点，若未按时到达应按照货物总金额每日万分之3计算，向采购人支付逾期交货的违约金，并赔偿采购人因此所遭受的损失。如逾期超过7日，采购人有权终止合同并可就遭受的损失向中标人索赔。经招标领导小组批准后，可在其它中标候选供应商处采购。</w:t>
      </w:r>
    </w:p>
    <w:p>
      <w:pPr>
        <w:widowControl/>
        <w:spacing w:line="500" w:lineRule="exact"/>
        <w:ind w:firstLine="480" w:firstLineChars="200"/>
        <w:contextualSpacing/>
        <w:jc w:val="left"/>
        <w:rPr>
          <w:rFonts w:hint="eastAsia" w:ascii="宋体" w:hAnsi="宋体" w:eastAsia="宋体" w:cs="Times New Roman"/>
          <w:color w:val="000000"/>
          <w:spacing w:val="-20"/>
          <w:kern w:val="21"/>
          <w:sz w:val="24"/>
          <w:szCs w:val="24"/>
          <w:lang w:val="en-US" w:eastAsia="zh-CN"/>
        </w:rPr>
      </w:pPr>
      <w:r>
        <w:rPr>
          <w:rFonts w:hint="eastAsia" w:ascii="宋体" w:hAnsi="宋体" w:eastAsia="宋体" w:cs="Times New Roman"/>
          <w:color w:val="000000"/>
          <w:spacing w:val="-20"/>
          <w:kern w:val="21"/>
          <w:sz w:val="24"/>
          <w:szCs w:val="24"/>
          <w:lang w:val="en-US" w:eastAsia="zh-CN"/>
        </w:rPr>
        <w:t>三、最高限价</w:t>
      </w:r>
    </w:p>
    <w:p>
      <w:pPr>
        <w:widowControl/>
        <w:spacing w:line="500" w:lineRule="exact"/>
        <w:ind w:firstLine="480" w:firstLineChars="200"/>
        <w:contextualSpacing/>
        <w:jc w:val="left"/>
        <w:rPr>
          <w:rFonts w:hint="eastAsia" w:ascii="宋体" w:hAnsi="宋体" w:eastAsia="宋体" w:cs="Times New Roman"/>
          <w:color w:val="000000"/>
          <w:spacing w:val="-20"/>
          <w:kern w:val="21"/>
          <w:sz w:val="24"/>
          <w:szCs w:val="24"/>
          <w:lang w:val="en-US" w:eastAsia="zh-CN"/>
        </w:rPr>
      </w:pPr>
      <w:r>
        <w:rPr>
          <w:rFonts w:hint="eastAsia" w:ascii="宋体" w:hAnsi="宋体" w:eastAsia="宋体" w:cs="Times New Roman"/>
          <w:color w:val="000000"/>
          <w:spacing w:val="-20"/>
          <w:kern w:val="21"/>
          <w:sz w:val="24"/>
          <w:szCs w:val="24"/>
          <w:lang w:val="en-US" w:eastAsia="zh-CN"/>
        </w:rPr>
        <w:t>本项目将设置清单最高限价，投标总报价最高限价为</w:t>
      </w:r>
      <w:r>
        <w:rPr>
          <w:rFonts w:hint="eastAsia" w:ascii="宋体" w:hAnsi="宋体" w:eastAsia="宋体" w:cs="Times New Roman"/>
          <w:color w:val="000000"/>
          <w:spacing w:val="-20"/>
          <w:kern w:val="21"/>
          <w:sz w:val="24"/>
          <w:szCs w:val="24"/>
          <w:u w:val="single"/>
          <w:lang w:val="en-US" w:eastAsia="zh-CN"/>
        </w:rPr>
        <w:t xml:space="preserve">   1866801.6  </w:t>
      </w:r>
      <w:r>
        <w:rPr>
          <w:rFonts w:hint="eastAsia" w:ascii="宋体" w:hAnsi="宋体" w:eastAsia="宋体" w:cs="Times New Roman"/>
          <w:color w:val="000000"/>
          <w:spacing w:val="-20"/>
          <w:kern w:val="21"/>
          <w:sz w:val="24"/>
          <w:szCs w:val="24"/>
          <w:lang w:val="en-US" w:eastAsia="zh-CN"/>
        </w:rPr>
        <w:t>元。</w:t>
      </w:r>
    </w:p>
    <w:p>
      <w:pPr>
        <w:widowControl/>
        <w:spacing w:line="500" w:lineRule="exact"/>
        <w:ind w:firstLine="480" w:firstLineChars="200"/>
        <w:contextualSpacing/>
        <w:jc w:val="left"/>
        <w:rPr>
          <w:rFonts w:hint="eastAsia" w:ascii="宋体" w:hAnsi="宋体" w:eastAsia="宋体" w:cs="Times New Roman"/>
          <w:color w:val="000000"/>
          <w:spacing w:val="-20"/>
          <w:kern w:val="21"/>
          <w:sz w:val="24"/>
          <w:szCs w:val="24"/>
          <w:lang w:val="en-US" w:eastAsia="zh-CN"/>
        </w:rPr>
      </w:pPr>
      <w:r>
        <w:rPr>
          <w:rFonts w:hint="eastAsia" w:ascii="宋体" w:hAnsi="宋体" w:eastAsia="宋体" w:cs="Times New Roman"/>
          <w:color w:val="000000"/>
          <w:spacing w:val="-20"/>
          <w:kern w:val="21"/>
          <w:sz w:val="24"/>
          <w:szCs w:val="24"/>
          <w:lang w:val="en-US" w:eastAsia="zh-CN"/>
        </w:rPr>
        <w:t>投标人的投标总报价和清单单项报价均不得超过对应最高限价，否则，将被否决投标。</w:t>
      </w:r>
    </w:p>
    <w:p>
      <w:pPr>
        <w:widowControl/>
        <w:spacing w:line="500" w:lineRule="exact"/>
        <w:ind w:firstLine="480" w:firstLineChars="200"/>
        <w:contextualSpacing/>
        <w:jc w:val="left"/>
        <w:rPr>
          <w:rFonts w:hint="eastAsia" w:ascii="宋体" w:hAnsi="宋体" w:eastAsia="宋体" w:cs="Times New Roman"/>
          <w:color w:val="auto"/>
          <w:spacing w:val="-20"/>
          <w:kern w:val="21"/>
          <w:sz w:val="24"/>
          <w:szCs w:val="24"/>
          <w:highlight w:val="none"/>
          <w:lang w:val="en-US" w:eastAsia="zh-CN"/>
        </w:rPr>
      </w:pPr>
      <w:r>
        <w:rPr>
          <w:rFonts w:hint="eastAsia" w:ascii="宋体" w:hAnsi="宋体" w:eastAsia="宋体" w:cs="Times New Roman"/>
          <w:color w:val="auto"/>
          <w:spacing w:val="-20"/>
          <w:kern w:val="21"/>
          <w:sz w:val="24"/>
          <w:szCs w:val="24"/>
          <w:highlight w:val="none"/>
          <w:lang w:val="en-US" w:eastAsia="zh-CN"/>
        </w:rPr>
        <w:t>四、清单</w:t>
      </w:r>
    </w:p>
    <w:tbl>
      <w:tblPr>
        <w:tblStyle w:val="19"/>
        <w:tblW w:w="905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7"/>
        <w:gridCol w:w="1422"/>
        <w:gridCol w:w="1317"/>
        <w:gridCol w:w="885"/>
        <w:gridCol w:w="1170"/>
        <w:gridCol w:w="1680"/>
        <w:gridCol w:w="1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9056"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pacing w:val="-20"/>
                <w:sz w:val="21"/>
                <w:szCs w:val="21"/>
                <w:u w:val="none"/>
              </w:rPr>
            </w:pPr>
            <w:r>
              <w:rPr>
                <w:rFonts w:hint="eastAsia" w:ascii="宋体" w:hAnsi="宋体" w:eastAsia="宋体" w:cs="宋体"/>
                <w:b/>
                <w:bCs/>
                <w:i w:val="0"/>
                <w:iCs w:val="0"/>
                <w:color w:val="000000"/>
                <w:spacing w:val="-20"/>
                <w:kern w:val="0"/>
                <w:sz w:val="21"/>
                <w:szCs w:val="21"/>
                <w:u w:val="none"/>
                <w:lang w:val="en-US" w:eastAsia="zh-CN" w:bidi="ar"/>
              </w:rPr>
              <w:t>綦江区2022年丘陵山区高标准农田改造提升示范项目商品有机肥（袋装）采购限价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序号</w:t>
            </w:r>
          </w:p>
        </w:tc>
        <w:tc>
          <w:tcPr>
            <w:tcW w:w="1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名称</w:t>
            </w:r>
          </w:p>
        </w:tc>
        <w:tc>
          <w:tcPr>
            <w:tcW w:w="13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iCs w:val="0"/>
                <w:color w:val="000000"/>
                <w:spacing w:val="-20"/>
                <w:sz w:val="21"/>
                <w:szCs w:val="21"/>
                <w:u w:val="none"/>
                <w:lang w:val="en-US" w:eastAsia="zh-CN"/>
              </w:rPr>
            </w:pPr>
            <w:r>
              <w:rPr>
                <w:rFonts w:hint="eastAsia" w:ascii="宋体" w:hAnsi="宋体" w:eastAsia="宋体" w:cs="宋体"/>
                <w:i w:val="0"/>
                <w:iCs w:val="0"/>
                <w:color w:val="000000"/>
                <w:spacing w:val="-20"/>
                <w:sz w:val="21"/>
                <w:szCs w:val="21"/>
                <w:u w:val="none"/>
                <w:lang w:val="en-US" w:eastAsia="zh-CN"/>
              </w:rPr>
              <w:t>规格</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单位</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数量</w:t>
            </w:r>
          </w:p>
        </w:tc>
        <w:tc>
          <w:tcPr>
            <w:tcW w:w="16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单价限价（元）</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合价限价（元）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6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有机肥</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符合《有机有机肥NY/T 525-2021》</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iCs w:val="0"/>
                <w:color w:val="000000"/>
                <w:spacing w:val="-20"/>
                <w:sz w:val="21"/>
                <w:szCs w:val="21"/>
                <w:u w:val="none"/>
                <w:lang w:val="en-US" w:eastAsia="zh-CN"/>
              </w:rPr>
            </w:pPr>
            <w:r>
              <w:rPr>
                <w:rFonts w:hint="eastAsia" w:ascii="宋体" w:hAnsi="宋体" w:eastAsia="宋体" w:cs="宋体"/>
                <w:i w:val="0"/>
                <w:iCs w:val="0"/>
                <w:color w:val="000000"/>
                <w:spacing w:val="-20"/>
                <w:sz w:val="21"/>
                <w:szCs w:val="21"/>
                <w:u w:val="none"/>
                <w:lang w:val="en-US" w:eastAsia="zh-CN"/>
              </w:rPr>
              <w:t>t</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iCs w:val="0"/>
                <w:color w:val="000000"/>
                <w:spacing w:val="-20"/>
                <w:sz w:val="21"/>
                <w:szCs w:val="21"/>
                <w:u w:val="none"/>
                <w:lang w:val="en-US"/>
              </w:rPr>
            </w:pPr>
            <w:r>
              <w:rPr>
                <w:rFonts w:hint="eastAsia" w:ascii="宋体" w:hAnsi="宋体" w:eastAsia="宋体" w:cs="宋体"/>
                <w:i w:val="0"/>
                <w:iCs w:val="0"/>
                <w:color w:val="000000"/>
                <w:spacing w:val="-20"/>
                <w:kern w:val="0"/>
                <w:sz w:val="21"/>
                <w:szCs w:val="21"/>
                <w:u w:val="none"/>
                <w:lang w:val="en-US" w:eastAsia="zh-CN" w:bidi="ar"/>
              </w:rPr>
              <w:t>2370</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iCs w:val="0"/>
                <w:color w:val="000000"/>
                <w:spacing w:val="-20"/>
                <w:sz w:val="21"/>
                <w:szCs w:val="21"/>
                <w:u w:val="none"/>
                <w:lang w:val="en-US"/>
              </w:rPr>
            </w:pPr>
            <w:r>
              <w:rPr>
                <w:rFonts w:hint="eastAsia" w:ascii="宋体" w:hAnsi="宋体" w:eastAsia="宋体" w:cs="宋体"/>
                <w:i w:val="0"/>
                <w:iCs w:val="0"/>
                <w:color w:val="000000"/>
                <w:spacing w:val="-20"/>
                <w:kern w:val="0"/>
                <w:sz w:val="21"/>
                <w:szCs w:val="21"/>
                <w:u w:val="none"/>
                <w:lang w:val="en-US" w:eastAsia="zh-CN" w:bidi="ar"/>
              </w:rPr>
              <w:t>787.68</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iCs w:val="0"/>
                <w:color w:val="000000"/>
                <w:spacing w:val="-20"/>
                <w:sz w:val="21"/>
                <w:szCs w:val="21"/>
                <w:u w:val="none"/>
                <w:lang w:val="en-US" w:eastAsia="zh-CN"/>
              </w:rPr>
            </w:pPr>
            <w:r>
              <w:rPr>
                <w:rFonts w:hint="eastAsia" w:ascii="宋体" w:hAnsi="宋体" w:eastAsia="宋体" w:cs="宋体"/>
                <w:i w:val="0"/>
                <w:iCs w:val="0"/>
                <w:color w:val="000000"/>
                <w:spacing w:val="-20"/>
                <w:sz w:val="21"/>
                <w:szCs w:val="21"/>
                <w:u w:val="none"/>
                <w:lang w:val="en-US" w:eastAsia="zh-CN"/>
              </w:rPr>
              <w:t>1866801.6</w:t>
            </w:r>
          </w:p>
        </w:tc>
      </w:tr>
    </w:tbl>
    <w:p>
      <w:pPr>
        <w:pStyle w:val="2"/>
        <w:rPr>
          <w:rFonts w:hint="default"/>
          <w:lang w:val="en-US" w:eastAsia="zh-CN"/>
        </w:rPr>
      </w:pPr>
    </w:p>
    <w:p>
      <w:pPr>
        <w:widowControl/>
        <w:spacing w:line="500" w:lineRule="exact"/>
        <w:ind w:firstLine="480" w:firstLineChars="200"/>
        <w:contextualSpacing/>
        <w:jc w:val="left"/>
        <w:rPr>
          <w:rFonts w:hint="eastAsia" w:ascii="宋体" w:hAnsi="宋体" w:eastAsia="宋体" w:cs="Times New Roman"/>
          <w:color w:val="000000"/>
          <w:spacing w:val="-20"/>
          <w:kern w:val="21"/>
          <w:sz w:val="24"/>
          <w:szCs w:val="24"/>
          <w:lang w:val="en-US" w:eastAsia="zh-CN"/>
        </w:rPr>
      </w:pPr>
    </w:p>
    <w:p>
      <w:pPr>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jc w:val="center"/>
        <w:rPr>
          <w:rFonts w:asciiTheme="minorEastAsia" w:hAnsiTheme="minorEastAsia" w:eastAsiaTheme="minorEastAsia" w:cstheme="minorEastAsia"/>
          <w:b/>
          <w:bCs/>
          <w:color w:val="000000" w:themeColor="text1"/>
          <w:spacing w:val="-1"/>
          <w:sz w:val="32"/>
          <w:szCs w:val="32"/>
          <w14:textFill>
            <w14:solidFill>
              <w14:schemeClr w14:val="tx1"/>
            </w14:solidFill>
          </w14:textFill>
        </w:rPr>
      </w:pPr>
      <w:r>
        <w:rPr>
          <w:rFonts w:hint="eastAsia" w:asciiTheme="minorEastAsia" w:hAnsiTheme="minorEastAsia" w:eastAsiaTheme="minorEastAsia" w:cstheme="minorEastAsia"/>
          <w:b/>
          <w:bCs/>
          <w:color w:val="000000" w:themeColor="text1"/>
          <w:spacing w:val="-1"/>
          <w:sz w:val="32"/>
          <w:szCs w:val="32"/>
          <w14:textFill>
            <w14:solidFill>
              <w14:schemeClr w14:val="tx1"/>
            </w14:solidFill>
          </w14:textFill>
        </w:rPr>
        <w:t>第五篇评标办法、评标标准、无效投标条款和废标条件</w:t>
      </w:r>
    </w:p>
    <w:p>
      <w:pPr>
        <w:spacing w:line="480" w:lineRule="exact"/>
        <w:ind w:firstLine="556" w:firstLineChars="200"/>
        <w:rPr>
          <w:rFonts w:asciiTheme="minorEastAsia" w:hAnsiTheme="minorEastAsia" w:eastAsiaTheme="minorEastAsia" w:cstheme="minorEastAsia"/>
          <w:color w:val="auto"/>
          <w:spacing w:val="-1"/>
          <w:sz w:val="24"/>
          <w:szCs w:val="24"/>
        </w:rPr>
      </w:pPr>
      <w:r>
        <w:rPr>
          <w:rFonts w:hint="eastAsia" w:asciiTheme="minorEastAsia" w:hAnsiTheme="minorEastAsia" w:eastAsiaTheme="minorEastAsia" w:cstheme="minorEastAsia"/>
          <w:color w:val="auto"/>
          <w:spacing w:val="-1"/>
          <w:sz w:val="24"/>
          <w:szCs w:val="24"/>
        </w:rPr>
        <w:t>一、评标办法</w:t>
      </w:r>
    </w:p>
    <w:p>
      <w:pPr>
        <w:spacing w:line="480" w:lineRule="exact"/>
        <w:ind w:firstLine="556" w:firstLineChars="200"/>
        <w:rPr>
          <w:rFonts w:asciiTheme="minorEastAsia" w:hAnsiTheme="minorEastAsia" w:eastAsiaTheme="minorEastAsia" w:cstheme="minorEastAsia"/>
          <w:color w:val="auto"/>
          <w:spacing w:val="-1"/>
          <w:sz w:val="24"/>
          <w:szCs w:val="24"/>
        </w:rPr>
      </w:pPr>
      <w:r>
        <w:rPr>
          <w:rFonts w:hint="eastAsia" w:asciiTheme="minorEastAsia" w:hAnsiTheme="minorEastAsia" w:eastAsiaTheme="minorEastAsia" w:cstheme="minorEastAsia"/>
          <w:color w:val="auto"/>
          <w:spacing w:val="-1"/>
          <w:sz w:val="24"/>
          <w:szCs w:val="24"/>
        </w:rPr>
        <w:t>本次采购采用经评审的最低投标价法。评标委员会按照本招标文件要求进行符合性审查，符合性审查合格的供应商中按投标总报价由低到高推荐中标候选人。</w:t>
      </w:r>
    </w:p>
    <w:p>
      <w:pPr>
        <w:spacing w:line="480" w:lineRule="exact"/>
        <w:ind w:firstLine="556" w:firstLineChars="200"/>
        <w:rPr>
          <w:rFonts w:asciiTheme="minorEastAsia" w:hAnsiTheme="minorEastAsia" w:eastAsiaTheme="minorEastAsia" w:cstheme="minorEastAsia"/>
          <w:color w:val="auto"/>
          <w:spacing w:val="-1"/>
          <w:sz w:val="24"/>
          <w:szCs w:val="24"/>
        </w:rPr>
      </w:pPr>
      <w:r>
        <w:rPr>
          <w:rFonts w:hint="eastAsia" w:asciiTheme="minorEastAsia" w:hAnsiTheme="minorEastAsia" w:eastAsiaTheme="minorEastAsia" w:cstheme="minorEastAsia"/>
          <w:color w:val="auto"/>
          <w:spacing w:val="-1"/>
          <w:sz w:val="24"/>
          <w:szCs w:val="24"/>
        </w:rPr>
        <w:t>报价顺序：对报价不高于最高限价的所有供应商的投标文件，按照报价由低到高的顺序排列。</w:t>
      </w:r>
    </w:p>
    <w:p>
      <w:pPr>
        <w:spacing w:line="480" w:lineRule="exact"/>
        <w:ind w:firstLine="556" w:firstLineChars="200"/>
        <w:rPr>
          <w:rFonts w:asciiTheme="minorEastAsia" w:hAnsiTheme="minorEastAsia" w:eastAsiaTheme="minorEastAsia" w:cstheme="minorEastAsia"/>
          <w:color w:val="auto"/>
          <w:spacing w:val="-1"/>
          <w:sz w:val="24"/>
          <w:szCs w:val="24"/>
        </w:rPr>
      </w:pPr>
      <w:r>
        <w:rPr>
          <w:rFonts w:hint="eastAsia" w:asciiTheme="minorEastAsia" w:hAnsiTheme="minorEastAsia" w:eastAsiaTheme="minorEastAsia" w:cstheme="minorEastAsia"/>
          <w:color w:val="auto"/>
          <w:spacing w:val="-1"/>
          <w:sz w:val="24"/>
          <w:szCs w:val="24"/>
        </w:rPr>
        <w:t>资格评审标准：符合本招标文件的要求。</w:t>
      </w:r>
    </w:p>
    <w:p>
      <w:pPr>
        <w:spacing w:line="480" w:lineRule="exact"/>
        <w:ind w:firstLine="556" w:firstLineChars="200"/>
        <w:rPr>
          <w:rFonts w:hint="eastAsia" w:asciiTheme="minorEastAsia" w:hAnsiTheme="minorEastAsia" w:eastAsiaTheme="minorEastAsia" w:cstheme="minorEastAsia"/>
          <w:color w:val="auto"/>
          <w:spacing w:val="-1"/>
          <w:sz w:val="24"/>
          <w:szCs w:val="24"/>
          <w:lang w:eastAsia="zh-CN"/>
        </w:rPr>
      </w:pPr>
      <w:r>
        <w:rPr>
          <w:rFonts w:hint="eastAsia" w:asciiTheme="minorEastAsia" w:hAnsiTheme="minorEastAsia" w:eastAsiaTheme="minorEastAsia" w:cstheme="minorEastAsia"/>
          <w:color w:val="auto"/>
          <w:spacing w:val="-1"/>
          <w:sz w:val="24"/>
          <w:szCs w:val="24"/>
        </w:rPr>
        <w:t>评标结果：评标委员会按经评审的最低投标价法推荐中标候选人，评标委员会完成评标后，应当向招标人提交书面评标报告</w:t>
      </w:r>
      <w:r>
        <w:rPr>
          <w:rFonts w:hint="eastAsia" w:asciiTheme="minorEastAsia" w:hAnsiTheme="minorEastAsia" w:eastAsiaTheme="minorEastAsia" w:cstheme="minorEastAsia"/>
          <w:color w:val="auto"/>
          <w:spacing w:val="-1"/>
          <w:sz w:val="24"/>
          <w:szCs w:val="24"/>
          <w:lang w:eastAsia="zh-CN"/>
        </w:rPr>
        <w:t>。</w:t>
      </w:r>
    </w:p>
    <w:p>
      <w:pPr>
        <w:spacing w:line="480" w:lineRule="exact"/>
        <w:ind w:firstLine="556" w:firstLineChars="200"/>
        <w:rPr>
          <w:rFonts w:hint="eastAsia" w:asciiTheme="minorEastAsia" w:hAnsiTheme="minorEastAsia" w:eastAsiaTheme="minorEastAsia" w:cstheme="minorEastAsia"/>
          <w:color w:val="auto"/>
          <w:spacing w:val="-1"/>
          <w:sz w:val="24"/>
          <w:szCs w:val="24"/>
        </w:rPr>
      </w:pPr>
      <w:r>
        <w:rPr>
          <w:rFonts w:hint="eastAsia" w:asciiTheme="minorEastAsia" w:hAnsiTheme="minorEastAsia" w:eastAsiaTheme="minorEastAsia" w:cstheme="minorEastAsia"/>
          <w:color w:val="auto"/>
          <w:spacing w:val="-1"/>
          <w:sz w:val="24"/>
          <w:szCs w:val="24"/>
        </w:rPr>
        <w:t>投标报价有算术错误的，评标委员会按以下原则对投标报价进行修正，修正的价格经投标人书面确认后具有约束力，修正原则如下：</w:t>
      </w:r>
    </w:p>
    <w:p>
      <w:pPr>
        <w:spacing w:line="480" w:lineRule="exact"/>
        <w:ind w:firstLine="556" w:firstLineChars="200"/>
        <w:rPr>
          <w:rFonts w:hint="eastAsia" w:asciiTheme="minorEastAsia" w:hAnsiTheme="minorEastAsia" w:eastAsiaTheme="minorEastAsia" w:cstheme="minorEastAsia"/>
          <w:color w:val="auto"/>
          <w:spacing w:val="-1"/>
          <w:sz w:val="24"/>
          <w:szCs w:val="24"/>
        </w:rPr>
      </w:pPr>
      <w:r>
        <w:rPr>
          <w:rFonts w:hint="eastAsia" w:asciiTheme="minorEastAsia" w:hAnsiTheme="minorEastAsia" w:eastAsiaTheme="minorEastAsia" w:cstheme="minorEastAsia"/>
          <w:color w:val="auto"/>
          <w:spacing w:val="-1"/>
          <w:sz w:val="24"/>
          <w:szCs w:val="24"/>
        </w:rPr>
        <w:t>（1）投标文件中的大写金额与小写金额不一致的，以大写金额为准；</w:t>
      </w:r>
    </w:p>
    <w:p>
      <w:pPr>
        <w:spacing w:line="480" w:lineRule="exact"/>
        <w:ind w:firstLine="556" w:firstLineChars="200"/>
        <w:rPr>
          <w:rFonts w:asciiTheme="minorEastAsia" w:hAnsiTheme="minorEastAsia" w:eastAsiaTheme="minorEastAsia" w:cstheme="minorEastAsia"/>
          <w:color w:val="auto"/>
          <w:spacing w:val="-1"/>
          <w:sz w:val="24"/>
          <w:szCs w:val="24"/>
        </w:rPr>
      </w:pPr>
      <w:r>
        <w:rPr>
          <w:rFonts w:hint="eastAsia" w:asciiTheme="minorEastAsia" w:hAnsiTheme="minorEastAsia" w:eastAsiaTheme="minorEastAsia" w:cstheme="minorEastAsia"/>
          <w:color w:val="auto"/>
          <w:spacing w:val="-1"/>
          <w:sz w:val="24"/>
          <w:szCs w:val="24"/>
        </w:rPr>
        <w:t>（2）投标函中的总报价与已标价清单总报价不一致，清单总报价与依据单价、数量、分部分项工程合价计算出的结果不一致的，由评标委员会作否决投标处理。</w:t>
      </w:r>
    </w:p>
    <w:p>
      <w:pPr>
        <w:spacing w:line="480" w:lineRule="exact"/>
        <w:ind w:firstLine="556" w:firstLineChars="200"/>
        <w:rPr>
          <w:rFonts w:asciiTheme="minorEastAsia" w:hAnsiTheme="minorEastAsia" w:eastAsiaTheme="minorEastAsia" w:cstheme="minorEastAsia"/>
          <w:color w:val="auto"/>
          <w:spacing w:val="-1"/>
          <w:sz w:val="24"/>
          <w:szCs w:val="24"/>
        </w:rPr>
      </w:pPr>
      <w:r>
        <w:rPr>
          <w:rFonts w:hint="eastAsia" w:asciiTheme="minorEastAsia" w:hAnsiTheme="minorEastAsia" w:eastAsiaTheme="minorEastAsia" w:cstheme="minorEastAsia"/>
          <w:color w:val="auto"/>
          <w:spacing w:val="-1"/>
          <w:sz w:val="24"/>
          <w:szCs w:val="24"/>
        </w:rPr>
        <w:t>二、废标条款</w:t>
      </w:r>
    </w:p>
    <w:p>
      <w:pPr>
        <w:spacing w:line="480" w:lineRule="exact"/>
        <w:ind w:firstLine="556" w:firstLineChars="200"/>
        <w:rPr>
          <w:rFonts w:asciiTheme="minorEastAsia" w:hAnsiTheme="minorEastAsia" w:eastAsiaTheme="minorEastAsia" w:cstheme="minorEastAsia"/>
          <w:color w:val="auto"/>
          <w:spacing w:val="-1"/>
          <w:sz w:val="24"/>
          <w:szCs w:val="24"/>
        </w:rPr>
      </w:pPr>
      <w:r>
        <w:rPr>
          <w:rFonts w:hint="eastAsia" w:asciiTheme="minorEastAsia" w:hAnsiTheme="minorEastAsia" w:eastAsiaTheme="minorEastAsia" w:cstheme="minorEastAsia"/>
          <w:color w:val="auto"/>
          <w:spacing w:val="-1"/>
          <w:sz w:val="24"/>
          <w:szCs w:val="24"/>
        </w:rPr>
        <w:t>供应商或其投标文件出现下列情况之一者，应为无效投标：</w:t>
      </w:r>
    </w:p>
    <w:p>
      <w:pPr>
        <w:spacing w:line="480" w:lineRule="exact"/>
        <w:ind w:firstLine="556" w:firstLineChars="200"/>
        <w:rPr>
          <w:rFonts w:asciiTheme="minorEastAsia" w:hAnsiTheme="minorEastAsia" w:eastAsiaTheme="minorEastAsia" w:cstheme="minorEastAsia"/>
          <w:color w:val="auto"/>
          <w:spacing w:val="-1"/>
          <w:sz w:val="24"/>
          <w:szCs w:val="24"/>
        </w:rPr>
      </w:pPr>
      <w:r>
        <w:rPr>
          <w:rFonts w:hint="eastAsia" w:asciiTheme="minorEastAsia" w:hAnsiTheme="minorEastAsia" w:eastAsiaTheme="minorEastAsia" w:cstheme="minorEastAsia"/>
          <w:color w:val="auto"/>
          <w:spacing w:val="-1"/>
          <w:sz w:val="24"/>
          <w:szCs w:val="24"/>
        </w:rPr>
        <w:t>（一）供应商未密封</w:t>
      </w:r>
      <w:r>
        <w:rPr>
          <w:rFonts w:hint="eastAsia" w:asciiTheme="minorEastAsia" w:hAnsiTheme="minorEastAsia" w:eastAsiaTheme="minorEastAsia" w:cstheme="minorEastAsia"/>
          <w:color w:val="auto"/>
          <w:spacing w:val="-1"/>
          <w:sz w:val="24"/>
          <w:szCs w:val="24"/>
          <w:lang w:val="en-US" w:eastAsia="zh-CN"/>
        </w:rPr>
        <w:t>投</w:t>
      </w:r>
      <w:r>
        <w:rPr>
          <w:rFonts w:hint="eastAsia" w:asciiTheme="minorEastAsia" w:hAnsiTheme="minorEastAsia" w:eastAsiaTheme="minorEastAsia" w:cstheme="minorEastAsia"/>
          <w:color w:val="auto"/>
          <w:spacing w:val="-1"/>
          <w:sz w:val="24"/>
          <w:szCs w:val="24"/>
        </w:rPr>
        <w:t>标文件；</w:t>
      </w:r>
    </w:p>
    <w:p>
      <w:pPr>
        <w:spacing w:line="480" w:lineRule="exact"/>
        <w:ind w:firstLine="556" w:firstLineChars="200"/>
        <w:rPr>
          <w:rFonts w:asciiTheme="minorEastAsia" w:hAnsiTheme="minorEastAsia" w:eastAsiaTheme="minorEastAsia" w:cstheme="minorEastAsia"/>
          <w:color w:val="auto"/>
          <w:spacing w:val="-1"/>
          <w:sz w:val="24"/>
          <w:szCs w:val="24"/>
        </w:rPr>
      </w:pPr>
      <w:r>
        <w:rPr>
          <w:rFonts w:hint="eastAsia" w:asciiTheme="minorEastAsia" w:hAnsiTheme="minorEastAsia" w:eastAsiaTheme="minorEastAsia" w:cstheme="minorEastAsia"/>
          <w:color w:val="auto"/>
          <w:spacing w:val="-1"/>
          <w:sz w:val="24"/>
          <w:szCs w:val="24"/>
        </w:rPr>
        <w:t>（二）供应商未通过资格性审查，未按照“第三篇 供应商须知</w:t>
      </w:r>
      <w:r>
        <w:rPr>
          <w:rFonts w:hint="eastAsia" w:asciiTheme="minorEastAsia" w:hAnsiTheme="minorEastAsia" w:eastAsiaTheme="minorEastAsia" w:cstheme="minorEastAsia"/>
          <w:color w:val="auto"/>
          <w:spacing w:val="-1"/>
          <w:sz w:val="24"/>
          <w:szCs w:val="24"/>
          <w:lang w:val="en-US" w:eastAsia="zh-CN"/>
        </w:rPr>
        <w:t xml:space="preserve"> </w:t>
      </w:r>
      <w:r>
        <w:rPr>
          <w:rFonts w:hint="eastAsia" w:asciiTheme="minorEastAsia" w:hAnsiTheme="minorEastAsia" w:eastAsiaTheme="minorEastAsia" w:cstheme="minorEastAsia"/>
          <w:color w:val="auto"/>
          <w:spacing w:val="-1"/>
          <w:sz w:val="24"/>
          <w:szCs w:val="24"/>
        </w:rPr>
        <w:t>四、供应商资质条件及信誉”提供对应资格证件以及承诺；</w:t>
      </w:r>
    </w:p>
    <w:p>
      <w:pPr>
        <w:spacing w:line="480" w:lineRule="exact"/>
        <w:ind w:firstLine="556" w:firstLineChars="200"/>
        <w:rPr>
          <w:rFonts w:asciiTheme="minorEastAsia" w:hAnsiTheme="minorEastAsia" w:eastAsiaTheme="minorEastAsia" w:cstheme="minorEastAsia"/>
          <w:color w:val="auto"/>
          <w:spacing w:val="-1"/>
          <w:sz w:val="24"/>
          <w:szCs w:val="24"/>
        </w:rPr>
      </w:pPr>
      <w:r>
        <w:rPr>
          <w:rFonts w:hint="eastAsia" w:asciiTheme="minorEastAsia" w:hAnsiTheme="minorEastAsia" w:eastAsiaTheme="minorEastAsia" w:cstheme="minorEastAsia"/>
          <w:color w:val="auto"/>
          <w:spacing w:val="-1"/>
          <w:sz w:val="24"/>
          <w:szCs w:val="24"/>
        </w:rPr>
        <w:t>（三）单位负责人为同一人或者存在直接控股、管理关系的不同供应商，不得参加同一合同项下的政府采购活动，上述供应商的投标均无效；</w:t>
      </w:r>
    </w:p>
    <w:p>
      <w:pPr>
        <w:spacing w:line="480" w:lineRule="exact"/>
        <w:ind w:firstLine="556" w:firstLineChars="200"/>
        <w:rPr>
          <w:rFonts w:asciiTheme="minorEastAsia" w:hAnsiTheme="minorEastAsia" w:eastAsiaTheme="minorEastAsia" w:cstheme="minorEastAsia"/>
          <w:color w:val="auto"/>
          <w:spacing w:val="-1"/>
          <w:sz w:val="24"/>
          <w:szCs w:val="24"/>
        </w:rPr>
      </w:pPr>
      <w:r>
        <w:rPr>
          <w:rFonts w:hint="eastAsia" w:asciiTheme="minorEastAsia" w:hAnsiTheme="minorEastAsia" w:eastAsiaTheme="minorEastAsia" w:cstheme="minorEastAsia"/>
          <w:color w:val="auto"/>
          <w:spacing w:val="-1"/>
          <w:sz w:val="24"/>
          <w:szCs w:val="24"/>
        </w:rPr>
        <w:t>（四）投标文件未按照招标文件第七篇投标文件格式中所规定签字、盖章的；</w:t>
      </w:r>
    </w:p>
    <w:p>
      <w:pPr>
        <w:spacing w:line="480" w:lineRule="exact"/>
        <w:ind w:firstLine="556" w:firstLineChars="200"/>
        <w:rPr>
          <w:rFonts w:asciiTheme="minorEastAsia" w:hAnsiTheme="minorEastAsia" w:eastAsiaTheme="minorEastAsia" w:cstheme="minorEastAsia"/>
          <w:color w:val="auto"/>
          <w:spacing w:val="-1"/>
          <w:sz w:val="24"/>
          <w:szCs w:val="24"/>
        </w:rPr>
      </w:pPr>
      <w:r>
        <w:rPr>
          <w:rFonts w:hint="eastAsia" w:asciiTheme="minorEastAsia" w:hAnsiTheme="minorEastAsia" w:eastAsiaTheme="minorEastAsia" w:cstheme="minorEastAsia"/>
          <w:color w:val="auto"/>
          <w:spacing w:val="-1"/>
          <w:sz w:val="24"/>
          <w:szCs w:val="24"/>
        </w:rPr>
        <w:t>（五）投标文件出现多个投标方案或投标报价的；</w:t>
      </w:r>
    </w:p>
    <w:p>
      <w:pPr>
        <w:spacing w:line="480" w:lineRule="exact"/>
        <w:ind w:firstLine="556" w:firstLineChars="200"/>
        <w:rPr>
          <w:rFonts w:asciiTheme="minorEastAsia" w:hAnsiTheme="minorEastAsia" w:eastAsiaTheme="minorEastAsia" w:cstheme="minorEastAsia"/>
          <w:color w:val="auto"/>
          <w:spacing w:val="-1"/>
          <w:sz w:val="24"/>
          <w:szCs w:val="24"/>
        </w:rPr>
      </w:pPr>
      <w:r>
        <w:rPr>
          <w:rFonts w:hint="eastAsia" w:asciiTheme="minorEastAsia" w:hAnsiTheme="minorEastAsia" w:eastAsiaTheme="minorEastAsia" w:cstheme="minorEastAsia"/>
          <w:color w:val="auto"/>
          <w:spacing w:val="-1"/>
          <w:sz w:val="24"/>
          <w:szCs w:val="24"/>
        </w:rPr>
        <w:t>（六）投标报价超过最高限价；</w:t>
      </w:r>
    </w:p>
    <w:p>
      <w:pPr>
        <w:spacing w:line="480" w:lineRule="exact"/>
        <w:ind w:firstLine="556" w:firstLineChars="200"/>
        <w:rPr>
          <w:rFonts w:asciiTheme="minorEastAsia" w:hAnsiTheme="minorEastAsia" w:eastAsiaTheme="minorEastAsia" w:cstheme="minorEastAsia"/>
          <w:color w:val="auto"/>
          <w:spacing w:val="-1"/>
          <w:sz w:val="24"/>
          <w:szCs w:val="24"/>
        </w:rPr>
      </w:pPr>
      <w:r>
        <w:rPr>
          <w:rFonts w:hint="eastAsia" w:asciiTheme="minorEastAsia" w:hAnsiTheme="minorEastAsia" w:eastAsiaTheme="minorEastAsia" w:cstheme="minorEastAsia"/>
          <w:color w:val="auto"/>
          <w:spacing w:val="-1"/>
          <w:sz w:val="24"/>
          <w:szCs w:val="24"/>
        </w:rPr>
        <w:t>（七）投标产品不符合必须强制执行的国家标准的；</w:t>
      </w:r>
    </w:p>
    <w:p>
      <w:pPr>
        <w:spacing w:line="480" w:lineRule="exact"/>
        <w:ind w:firstLine="556" w:firstLineChars="200"/>
        <w:rPr>
          <w:rFonts w:asciiTheme="minorEastAsia" w:hAnsiTheme="minorEastAsia" w:eastAsiaTheme="minorEastAsia" w:cstheme="minorEastAsia"/>
          <w:color w:val="auto"/>
          <w:spacing w:val="-1"/>
          <w:sz w:val="24"/>
          <w:szCs w:val="24"/>
        </w:rPr>
      </w:pPr>
      <w:r>
        <w:rPr>
          <w:rFonts w:hint="eastAsia" w:asciiTheme="minorEastAsia" w:hAnsiTheme="minorEastAsia" w:eastAsiaTheme="minorEastAsia" w:cstheme="minorEastAsia"/>
          <w:color w:val="auto"/>
          <w:spacing w:val="-1"/>
          <w:sz w:val="24"/>
          <w:szCs w:val="24"/>
        </w:rPr>
        <w:t>（八）供应商的交货期（或为：实施时间）、质量保证期及投标有效期不满足招标文件要求的；</w:t>
      </w:r>
    </w:p>
    <w:p>
      <w:pPr>
        <w:spacing w:line="480" w:lineRule="exact"/>
        <w:ind w:firstLine="556" w:firstLineChars="200"/>
        <w:rPr>
          <w:rFonts w:asciiTheme="minorEastAsia" w:hAnsiTheme="minorEastAsia" w:eastAsiaTheme="minorEastAsia" w:cstheme="minorEastAsia"/>
          <w:color w:val="auto"/>
          <w:spacing w:val="-1"/>
          <w:sz w:val="24"/>
          <w:szCs w:val="24"/>
        </w:rPr>
      </w:pPr>
      <w:r>
        <w:rPr>
          <w:rFonts w:hint="eastAsia" w:asciiTheme="minorEastAsia" w:hAnsiTheme="minorEastAsia" w:eastAsiaTheme="minorEastAsia" w:cstheme="minorEastAsia"/>
          <w:color w:val="auto"/>
          <w:spacing w:val="-1"/>
          <w:sz w:val="24"/>
          <w:szCs w:val="24"/>
        </w:rPr>
        <w:t>（九）投标文件含有违反国家法律、法规的内容，或附有采购人不能接受的条件的。</w:t>
      </w: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jc w:val="center"/>
        <w:rPr>
          <w:rFonts w:asciiTheme="minorEastAsia" w:hAnsiTheme="minorEastAsia" w:eastAsiaTheme="minorEastAsia" w:cstheme="minorEastAsia"/>
          <w:b/>
          <w:bCs/>
          <w:color w:val="000000" w:themeColor="text1"/>
          <w:spacing w:val="-1"/>
          <w:sz w:val="32"/>
          <w:szCs w:val="32"/>
          <w14:textFill>
            <w14:solidFill>
              <w14:schemeClr w14:val="tx1"/>
            </w14:solidFill>
          </w14:textFill>
        </w:rPr>
      </w:pPr>
      <w:r>
        <w:rPr>
          <w:rFonts w:hint="eastAsia" w:asciiTheme="minorEastAsia" w:hAnsiTheme="minorEastAsia" w:eastAsiaTheme="minorEastAsia" w:cstheme="minorEastAsia"/>
          <w:b/>
          <w:bCs/>
          <w:color w:val="000000" w:themeColor="text1"/>
          <w:spacing w:val="-1"/>
          <w:sz w:val="32"/>
          <w:szCs w:val="32"/>
          <w14:textFill>
            <w14:solidFill>
              <w14:schemeClr w14:val="tx1"/>
            </w14:solidFill>
          </w14:textFill>
        </w:rPr>
        <w:t>第六篇 采购合同</w:t>
      </w:r>
    </w:p>
    <w:p>
      <w:pPr>
        <w:ind w:firstLine="556" w:firstLineChars="200"/>
        <w:rPr>
          <w:rFonts w:asciiTheme="minorEastAsia" w:hAnsiTheme="minorEastAsia" w:eastAsiaTheme="minorEastAsia" w:cstheme="minorEastAsia"/>
          <w:color w:val="000000" w:themeColor="text1"/>
          <w:spacing w:val="-1"/>
          <w:sz w:val="24"/>
          <w:szCs w:val="24"/>
          <w14:textFill>
            <w14:solidFill>
              <w14:schemeClr w14:val="tx1"/>
            </w14:solidFill>
          </w14:textFill>
        </w:rPr>
      </w:pPr>
    </w:p>
    <w:p>
      <w:pPr>
        <w:spacing w:line="576" w:lineRule="exact"/>
        <w:ind w:firstLine="560"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甲方（采购方）：重庆卓成建筑工程股份有限公司</w:t>
      </w:r>
    </w:p>
    <w:p>
      <w:pPr>
        <w:spacing w:line="576" w:lineRule="exact"/>
        <w:ind w:firstLine="560"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乙方（供应方）：</w:t>
      </w:r>
    </w:p>
    <w:p>
      <w:pPr>
        <w:spacing w:line="576" w:lineRule="exact"/>
        <w:ind w:firstLine="56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甲乙双方经充分协商，本着自愿及平等互利的原则，订立本合同。</w:t>
      </w:r>
    </w:p>
    <w:p>
      <w:pPr>
        <w:spacing w:line="576" w:lineRule="exact"/>
        <w:ind w:firstLine="560"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第一条名称、品种、规格和质量</w:t>
      </w:r>
    </w:p>
    <w:p>
      <w:pPr>
        <w:numPr>
          <w:ilvl w:val="0"/>
          <w:numId w:val="0"/>
        </w:numPr>
        <w:spacing w:line="576" w:lineRule="exact"/>
        <w:ind w:firstLine="56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名称、规格、数量、单价</w:t>
      </w:r>
    </w:p>
    <w:p>
      <w:pPr>
        <w:numPr>
          <w:ilvl w:val="0"/>
          <w:numId w:val="0"/>
        </w:numPr>
        <w:spacing w:line="576" w:lineRule="exact"/>
        <w:ind w:firstLine="56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质量：</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须为有合格证的合格产品，并满足《有机肥料NY/T 525-2021》</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规定</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，并提供产品相关手</w:t>
      </w:r>
      <w:r>
        <w:rPr>
          <w:rFonts w:hint="eastAsia" w:asciiTheme="minorEastAsia" w:hAnsiTheme="minorEastAsia" w:eastAsiaTheme="minorEastAsia" w:cstheme="minorEastAsia"/>
          <w:color w:val="auto"/>
          <w:spacing w:val="-1"/>
          <w:sz w:val="24"/>
          <w:szCs w:val="24"/>
          <w:lang w:val="en-US" w:eastAsia="zh-CN"/>
        </w:rPr>
        <w:t>续，</w:t>
      </w:r>
      <w:r>
        <w:rPr>
          <w:rFonts w:hint="eastAsia" w:asciiTheme="minorEastAsia" w:hAnsiTheme="minorEastAsia" w:eastAsiaTheme="minorEastAsia" w:cstheme="minorEastAsia"/>
          <w:color w:val="auto"/>
          <w:spacing w:val="-1"/>
          <w:sz w:val="24"/>
          <w:szCs w:val="24"/>
          <w:highlight w:val="none"/>
          <w:lang w:val="en-US" w:eastAsia="zh-CN"/>
        </w:rPr>
        <w:t>达到甲方</w:t>
      </w:r>
      <w:r>
        <w:rPr>
          <w:rFonts w:hint="eastAsia" w:asciiTheme="minorEastAsia" w:hAnsiTheme="minorEastAsia" w:eastAsiaTheme="minorEastAsia" w:cstheme="minorEastAsia"/>
          <w:color w:val="auto"/>
          <w:spacing w:val="-1"/>
          <w:sz w:val="24"/>
          <w:szCs w:val="24"/>
          <w:lang w:val="en-US" w:eastAsia="zh-CN"/>
        </w:rPr>
        <w:t>使用标准</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；包装标准执行“GB 18382—2021”标准。</w:t>
      </w:r>
    </w:p>
    <w:p>
      <w:pPr>
        <w:spacing w:line="576" w:lineRule="exact"/>
        <w:ind w:firstLine="560" w:firstLineChars="200"/>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3.用途：</w:t>
      </w:r>
      <w:r>
        <w:rPr>
          <w:rFonts w:hint="eastAsia" w:asciiTheme="minorEastAsia" w:hAnsiTheme="minorEastAsia" w:eastAsiaTheme="minorEastAsia" w:cstheme="minorEastAsia"/>
          <w:sz w:val="24"/>
          <w:szCs w:val="24"/>
          <w:u w:val="single"/>
        </w:rPr>
        <w:t xml:space="preserve">        </w:t>
      </w:r>
    </w:p>
    <w:p>
      <w:pPr>
        <w:spacing w:line="576" w:lineRule="exact"/>
        <w:ind w:firstLine="560"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第二条交货事宜</w:t>
      </w:r>
    </w:p>
    <w:p>
      <w:pPr>
        <w:spacing w:line="576" w:lineRule="exact"/>
        <w:ind w:firstLine="56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1.交货时间：按照甲方要求供货。</w:t>
      </w:r>
    </w:p>
    <w:p>
      <w:pPr>
        <w:spacing w:line="576" w:lineRule="exact"/>
        <w:ind w:firstLine="56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2.交货地点：綦江区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。具体位置节点</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576" w:lineRule="exact"/>
        <w:ind w:firstLine="56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3.运输方式：由乙方负责运输至甲方现场，运费由乙方负责。保险：由乙方负责运输保险。</w:t>
      </w:r>
    </w:p>
    <w:p>
      <w:pPr>
        <w:pStyle w:val="2"/>
        <w:ind w:firstLine="560" w:firstLineChars="200"/>
        <w:rPr>
          <w:rFonts w:hint="default" w:eastAsiaTheme="minorEastAsia"/>
          <w:lang w:val="en-US" w:eastAsia="zh-CN"/>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因项目地块分散甲方会分批分次下达订单，下达采购订</w:t>
      </w:r>
      <w:r>
        <w:rPr>
          <w:rFonts w:hint="eastAsia" w:asciiTheme="minorEastAsia" w:hAnsiTheme="minorEastAsia" w:eastAsiaTheme="minorEastAsia" w:cstheme="minorEastAsia"/>
          <w:color w:val="000000" w:themeColor="text1"/>
          <w:spacing w:val="-1"/>
          <w:sz w:val="24"/>
          <w:szCs w:val="24"/>
          <w:highlight w:val="none"/>
          <w:lang w:val="en-US" w:eastAsia="zh-CN"/>
          <w14:textFill>
            <w14:solidFill>
              <w14:schemeClr w14:val="tx1"/>
            </w14:solidFill>
          </w14:textFill>
        </w:rPr>
        <w:t>单后3天内</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送达指定地点；</w:t>
      </w:r>
    </w:p>
    <w:p>
      <w:pPr>
        <w:spacing w:line="576" w:lineRule="exact"/>
        <w:ind w:firstLine="560"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第三条货物验收</w:t>
      </w:r>
    </w:p>
    <w:p>
      <w:pPr>
        <w:spacing w:line="576" w:lineRule="exact"/>
        <w:ind w:firstLine="56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1.验收时间：交货时进行验收。</w:t>
      </w:r>
    </w:p>
    <w:p>
      <w:pPr>
        <w:spacing w:line="576" w:lineRule="exact"/>
        <w:ind w:firstLine="56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2.验收</w:t>
      </w:r>
      <w:r>
        <w:rPr>
          <w:rFonts w:hint="eastAsia" w:asciiTheme="minorEastAsia" w:hAnsiTheme="minorEastAsia" w:eastAsiaTheme="minorEastAsia" w:cstheme="minorEastAsia"/>
          <w:sz w:val="24"/>
          <w:szCs w:val="24"/>
          <w:lang w:val="en-US" w:eastAsia="zh-CN"/>
        </w:rPr>
        <w:t>方式:乙方应保证货物到达甲方指定地点完好无损，到达现场后，经甲方清点品名、规格、数量；检查外观、有无合格证、查看是否过期、是否受潮等作出验收记录，双方签字确认，如有缺漏、损坏，由供应商负责调换、补齐或赔偿。若验收不合格甲方有权拒收。</w:t>
      </w:r>
    </w:p>
    <w:p>
      <w:pPr>
        <w:pStyle w:val="2"/>
        <w:ind w:firstLine="560" w:firstLineChars="200"/>
        <w:rPr>
          <w:rFonts w:hint="default"/>
          <w:lang w:val="en-US" w:eastAsia="zh-CN"/>
        </w:rPr>
      </w:pPr>
      <w:r>
        <w:rPr>
          <w:rFonts w:hint="eastAsia" w:asciiTheme="minorEastAsia" w:hAnsiTheme="minorEastAsia" w:eastAsiaTheme="minorEastAsia" w:cstheme="minorEastAsia"/>
          <w:sz w:val="24"/>
          <w:szCs w:val="24"/>
          <w:lang w:val="en-US" w:eastAsia="zh-CN"/>
        </w:rPr>
        <w:t>3.每次供货需经双方签字确认，甲方有权核查每袋重量，历次供货中，若实际供货量不足当期应供货量，最终结算供货数量=∑历次应供货量*min（某次实际供货量/当期应供货量）。</w:t>
      </w:r>
    </w:p>
    <w:p>
      <w:pPr>
        <w:spacing w:line="576" w:lineRule="exact"/>
        <w:ind w:firstLine="560"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第四条价格与货款支付</w:t>
      </w:r>
    </w:p>
    <w:p>
      <w:pPr>
        <w:spacing w:line="576" w:lineRule="exact"/>
        <w:ind w:firstLine="560" w:firstLineChars="200"/>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本次采购货物单价为综合单价。包含完成本项目商品有机肥（袋装）采购</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所有费用，包括但不限于：材料费用（含材料出厂，运输，上下车等）、</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人员费用（含员工工资、社会保险费、加班费，员工福利等），办公费用（含通讯费、固定资产及一次性投入折旧等）</w:t>
      </w:r>
      <w:r>
        <w:rPr>
          <w:rFonts w:hint="eastAsia" w:ascii="宋体" w:hAnsi="宋体" w:eastAsia="宋体" w:cs="Times New Roman"/>
          <w:color w:val="000000"/>
          <w:spacing w:val="-20"/>
          <w:kern w:val="21"/>
          <w:sz w:val="24"/>
          <w:szCs w:val="24"/>
          <w:lang w:val="en-US" w:eastAsia="zh-CN"/>
        </w:rPr>
        <w:t>考察费、</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差旅费、合理利润</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以及其它相关伴随服务等工作内容产生的一切费用以及因此产生的所有税费（如关税、增值税等)。</w:t>
      </w:r>
    </w:p>
    <w:p>
      <w:pPr>
        <w:spacing w:line="576" w:lineRule="exact"/>
        <w:ind w:firstLine="560" w:firstLineChars="200"/>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w:t>
      </w:r>
      <w:r>
        <w:rPr>
          <w:rFonts w:hint="eastAsia" w:asciiTheme="minorEastAsia" w:hAnsiTheme="minorEastAsia" w:eastAsiaTheme="minorEastAsia" w:cstheme="minorEastAsia"/>
          <w:sz w:val="24"/>
          <w:szCs w:val="24"/>
        </w:rPr>
        <w:t>货款金额暂定：人民币:</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元，（大写：</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元整），</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结算金额最终结算以实际</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供货量</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为准。</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3.</w:t>
      </w:r>
      <w:r>
        <w:rPr>
          <w:rFonts w:hint="eastAsia" w:asciiTheme="minorEastAsia" w:hAnsiTheme="minorEastAsia" w:eastAsiaTheme="minorEastAsia" w:cstheme="minorEastAsia"/>
          <w:sz w:val="24"/>
          <w:szCs w:val="24"/>
          <w:highlight w:val="none"/>
        </w:rPr>
        <w:t>本工程</w:t>
      </w:r>
      <w:r>
        <w:rPr>
          <w:rFonts w:hint="eastAsia" w:asciiTheme="minorEastAsia" w:hAnsiTheme="minorEastAsia" w:eastAsiaTheme="minorEastAsia" w:cstheme="minorEastAsia"/>
          <w:sz w:val="24"/>
          <w:szCs w:val="24"/>
          <w:highlight w:val="none"/>
          <w:lang w:val="en-US" w:eastAsia="zh-CN"/>
        </w:rPr>
        <w:t>货物</w:t>
      </w:r>
      <w:r>
        <w:rPr>
          <w:rFonts w:hint="eastAsia" w:asciiTheme="minorEastAsia" w:hAnsiTheme="minorEastAsia" w:eastAsiaTheme="minorEastAsia" w:cstheme="minorEastAsia"/>
          <w:sz w:val="24"/>
          <w:szCs w:val="24"/>
          <w:highlight w:val="none"/>
        </w:rPr>
        <w:t>供应均不支付预付款，供货完毕后办理结算，綦江区2022年丘陵山区高标准农田改造提升示范项目完工后支付至结算金额的80%，</w:t>
      </w:r>
      <w:r>
        <w:rPr>
          <w:rFonts w:hint="eastAsia" w:asciiTheme="minorEastAsia" w:hAnsiTheme="minorEastAsia" w:eastAsiaTheme="minorEastAsia" w:cstheme="minorEastAsia"/>
          <w:sz w:val="24"/>
          <w:szCs w:val="24"/>
          <w:highlight w:val="none"/>
          <w:lang w:val="en-US" w:eastAsia="zh-CN"/>
        </w:rPr>
        <w:t>经</w:t>
      </w:r>
      <w:r>
        <w:rPr>
          <w:rFonts w:hint="eastAsia" w:asciiTheme="minorEastAsia" w:hAnsiTheme="minorEastAsia" w:eastAsiaTheme="minorEastAsia" w:cstheme="minorEastAsia"/>
          <w:sz w:val="24"/>
          <w:szCs w:val="24"/>
          <w:highlight w:val="none"/>
        </w:rPr>
        <w:t>竣工验收后结清货款。付款前，乙方需向甲方提供全额有效的发票，甲方收到发票后十五个工作日内向乙方支付货款，乙方未提供足额发票的，甲方有权拒付当期款项</w:t>
      </w:r>
      <w:r>
        <w:rPr>
          <w:rFonts w:hint="eastAsia" w:asciiTheme="minorEastAsia" w:hAnsiTheme="minorEastAsia" w:eastAsiaTheme="minorEastAsia" w:cstheme="minorEastAsia"/>
          <w:sz w:val="24"/>
          <w:szCs w:val="24"/>
        </w:rPr>
        <w:t>；所有</w:t>
      </w:r>
      <w:r>
        <w:rPr>
          <w:rFonts w:hint="eastAsia" w:asciiTheme="minorEastAsia" w:hAnsiTheme="minorEastAsia" w:eastAsiaTheme="minorEastAsia" w:cstheme="minorEastAsia"/>
          <w:sz w:val="24"/>
          <w:szCs w:val="24"/>
          <w:lang w:val="en-US" w:eastAsia="zh-CN"/>
        </w:rPr>
        <w:t>货</w:t>
      </w:r>
      <w:r>
        <w:rPr>
          <w:rFonts w:hint="eastAsia" w:asciiTheme="minorEastAsia" w:hAnsiTheme="minorEastAsia" w:eastAsiaTheme="minorEastAsia" w:cstheme="minorEastAsia"/>
          <w:sz w:val="24"/>
          <w:szCs w:val="24"/>
        </w:rPr>
        <w:t>款支付均不计利息。</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付款方式：转账。</w:t>
      </w:r>
    </w:p>
    <w:p>
      <w:pPr>
        <w:spacing w:line="576" w:lineRule="exact"/>
        <w:ind w:firstLine="56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r>
        <w:rPr>
          <w:rFonts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t>上述结算办理完成后，需增加供货的按合同约定另行办理结算。相应货款一次性转账支付。</w:t>
      </w:r>
    </w:p>
    <w:p>
      <w:pPr>
        <w:spacing w:line="576" w:lineRule="exact"/>
        <w:ind w:firstLine="560"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第五条违约责任</w:t>
      </w:r>
    </w:p>
    <w:p>
      <w:pPr>
        <w:spacing w:line="576" w:lineRule="exact"/>
        <w:ind w:firstLine="56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1.甲方应向乙方提供供货计划，若因甲方原因造成逾期供货的。责任由甲方自行承担。</w:t>
      </w:r>
    </w:p>
    <w:p>
      <w:pPr>
        <w:spacing w:line="576" w:lineRule="exact"/>
        <w:ind w:firstLine="56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t>甲方确需退货的，应向乙方支付因退货所产生的运费。</w:t>
      </w:r>
    </w:p>
    <w:p>
      <w:pPr>
        <w:spacing w:line="576" w:lineRule="exact"/>
        <w:ind w:firstLine="560" w:firstLineChars="200"/>
        <w:rPr>
          <w:rFonts w:asciiTheme="minorEastAsia" w:hAnsiTheme="minorEastAsia" w:eastAsiaTheme="minorEastAsia" w:cstheme="minorEastAsia"/>
          <w:sz w:val="24"/>
          <w:szCs w:val="24"/>
        </w:rPr>
      </w:pPr>
      <w:r>
        <w:rPr>
          <w:rFonts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rPr>
        <w:t>.乙方应按甲方需求按期供货。逾期交货的，</w:t>
      </w:r>
      <w:r>
        <w:rPr>
          <w:rFonts w:hint="eastAsia" w:asciiTheme="minorEastAsia" w:hAnsiTheme="minorEastAsia" w:eastAsiaTheme="minorEastAsia" w:cstheme="minorEastAsia"/>
          <w:sz w:val="24"/>
          <w:szCs w:val="24"/>
          <w:highlight w:val="none"/>
        </w:rPr>
        <w:t>应按照</w:t>
      </w:r>
      <w:r>
        <w:rPr>
          <w:rFonts w:hint="eastAsia" w:asciiTheme="minorEastAsia" w:hAnsiTheme="minorEastAsia" w:eastAsiaTheme="minorEastAsia" w:cstheme="minorEastAsia"/>
          <w:color w:val="auto"/>
          <w:sz w:val="24"/>
          <w:szCs w:val="24"/>
          <w:highlight w:val="none"/>
        </w:rPr>
        <w:t>逾期交货</w:t>
      </w:r>
      <w:r>
        <w:rPr>
          <w:rFonts w:hint="eastAsia" w:asciiTheme="minorEastAsia" w:hAnsiTheme="minorEastAsia" w:eastAsiaTheme="minorEastAsia" w:cstheme="minorEastAsia"/>
          <w:sz w:val="24"/>
          <w:szCs w:val="24"/>
          <w:highlight w:val="none"/>
        </w:rPr>
        <w:t>货物总</w:t>
      </w:r>
      <w:r>
        <w:rPr>
          <w:rFonts w:hint="eastAsia" w:asciiTheme="minorEastAsia" w:hAnsiTheme="minorEastAsia" w:eastAsiaTheme="minorEastAsia" w:cstheme="minorEastAsia"/>
          <w:sz w:val="24"/>
          <w:szCs w:val="24"/>
        </w:rPr>
        <w:t>金额每日万分之3向甲方支违约金，并赔偿甲方因此所遭受的损失。如逾期超过7日，甲方有权终止合同并可就遭受的损失向乙方索赔。</w:t>
      </w:r>
    </w:p>
    <w:p>
      <w:pPr>
        <w:spacing w:line="576" w:lineRule="exact"/>
        <w:ind w:firstLine="560" w:firstLineChars="200"/>
        <w:rPr>
          <w:rFonts w:asciiTheme="minorEastAsia" w:hAnsiTheme="minorEastAsia" w:eastAsiaTheme="minorEastAsia" w:cstheme="minorEastAsia"/>
          <w:sz w:val="24"/>
          <w:szCs w:val="24"/>
        </w:rPr>
      </w:pPr>
      <w:r>
        <w:rPr>
          <w:rFonts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rPr>
        <w:t>.货物错发具体下料点或收货人的，乙方除应负责运到合同约定的下料点或收货人外，相关一切损失由乙方承担。</w:t>
      </w:r>
    </w:p>
    <w:p>
      <w:pPr>
        <w:spacing w:line="576" w:lineRule="exact"/>
        <w:ind w:firstLine="560" w:firstLineChars="200"/>
        <w:rPr>
          <w:rFonts w:asciiTheme="minorEastAsia" w:hAnsiTheme="minorEastAsia" w:eastAsiaTheme="minorEastAsia" w:cstheme="minorEastAsia"/>
          <w:sz w:val="24"/>
          <w:szCs w:val="24"/>
        </w:rPr>
      </w:pPr>
      <w:r>
        <w:rPr>
          <w:rFonts w:asciiTheme="minorEastAsia" w:hAnsiTheme="minorEastAsia" w:eastAsiaTheme="minorEastAsia" w:cstheme="minorEastAsia"/>
          <w:sz w:val="24"/>
          <w:szCs w:val="24"/>
        </w:rPr>
        <w:t>5</w:t>
      </w:r>
      <w:r>
        <w:rPr>
          <w:rFonts w:hint="eastAsia" w:asciiTheme="minorEastAsia" w:hAnsiTheme="minorEastAsia" w:eastAsiaTheme="minorEastAsia" w:cstheme="minorEastAsia"/>
          <w:sz w:val="24"/>
          <w:szCs w:val="24"/>
        </w:rPr>
        <w:t>.一方违约，</w:t>
      </w:r>
      <w:r>
        <w:rPr>
          <w:rFonts w:hint="eastAsia" w:asciiTheme="minorEastAsia" w:hAnsiTheme="minorEastAsia" w:eastAsiaTheme="minorEastAsia" w:cstheme="minorEastAsia"/>
          <w:color w:val="auto"/>
          <w:sz w:val="24"/>
          <w:szCs w:val="24"/>
        </w:rPr>
        <w:t>另一方为实现债权所产</w:t>
      </w:r>
      <w:r>
        <w:rPr>
          <w:rFonts w:hint="eastAsia" w:asciiTheme="minorEastAsia" w:hAnsiTheme="minorEastAsia" w:eastAsiaTheme="minorEastAsia" w:cstheme="minorEastAsia"/>
          <w:sz w:val="24"/>
          <w:szCs w:val="24"/>
        </w:rPr>
        <w:t>生的费用（包括但不限于：诉讼费、担保费、保全费、律师费、差旅费等）由违约方承担。</w:t>
      </w:r>
    </w:p>
    <w:p>
      <w:pPr>
        <w:spacing w:line="576" w:lineRule="exact"/>
        <w:ind w:firstLine="560"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第六条不可抗力</w:t>
      </w:r>
    </w:p>
    <w:p>
      <w:pPr>
        <w:spacing w:line="576" w:lineRule="exact"/>
        <w:ind w:firstLine="56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任何一方由于不可抗力原因不能履行合同时，应在不可抗力事件结束后3日内向对方通报，以减轻可能给对方造成的损失，在取得有关机构的不可抗力证明后，允许延期履行、部分履行或者不履行合同，并根据情况可部分或全部免予承担违约责任。</w:t>
      </w:r>
    </w:p>
    <w:p>
      <w:pPr>
        <w:spacing w:line="576" w:lineRule="exact"/>
        <w:ind w:firstLine="560"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第七条争议解决及文书送达</w:t>
      </w:r>
    </w:p>
    <w:p>
      <w:pPr>
        <w:spacing w:line="576" w:lineRule="exact"/>
        <w:ind w:firstLine="56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1.凡因本合同引起的或与本合同有关的任何争议，如双方不能通过友好协商解决，均应提交甲方所在地人民法院司法解决。</w:t>
      </w:r>
    </w:p>
    <w:p>
      <w:pPr>
        <w:spacing w:line="576" w:lineRule="exact"/>
        <w:ind w:firstLine="56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2.如产生诉讼，则双方按照如下地址进行诉讼文书的送达。该送达地址可用于接收各类诉讼文书。</w:t>
      </w:r>
    </w:p>
    <w:p>
      <w:pPr>
        <w:spacing w:line="576" w:lineRule="exact"/>
        <w:ind w:firstLine="56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甲方：重庆卓成建筑工程股份有限公司</w:t>
      </w:r>
    </w:p>
    <w:p>
      <w:pPr>
        <w:spacing w:line="576" w:lineRule="exact"/>
        <w:ind w:firstLine="56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地址：綦江区红星10栋11楼</w:t>
      </w:r>
    </w:p>
    <w:p>
      <w:pPr>
        <w:spacing w:line="576" w:lineRule="exact"/>
        <w:ind w:firstLine="56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w:t>
      </w:r>
    </w:p>
    <w:p>
      <w:pPr>
        <w:spacing w:line="576" w:lineRule="exact"/>
        <w:ind w:firstLine="56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地址：</w:t>
      </w:r>
    </w:p>
    <w:p>
      <w:pPr>
        <w:spacing w:line="576" w:lineRule="exact"/>
        <w:ind w:firstLine="56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法院按照本条约定地址送达的，视为当事人签收；受送达人拒收的，不影响送达的效力。当事人如需变更本条所约定送达地址，应在变更后3日内以书面方式将变更后的送达地址通知对方当事人；未按此方式变更的，本条所约定送达地址仍为有效送达地址。</w:t>
      </w:r>
    </w:p>
    <w:p>
      <w:pPr>
        <w:spacing w:line="576" w:lineRule="exact"/>
        <w:ind w:firstLine="560"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第八条附则</w:t>
      </w:r>
    </w:p>
    <w:p>
      <w:pPr>
        <w:spacing w:line="576" w:lineRule="exact"/>
        <w:ind w:firstLine="56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1.本合同如有未尽事宜，须经双方共同协商，签订补充协议。补充协议与本合同具有同等效力。</w:t>
      </w:r>
    </w:p>
    <w:p>
      <w:pPr>
        <w:spacing w:line="576" w:lineRule="exact"/>
        <w:ind w:firstLine="56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2.本合同一式陆份，甲方执伍份，乙方执壹份。</w:t>
      </w:r>
    </w:p>
    <w:p>
      <w:pPr>
        <w:spacing w:line="576" w:lineRule="exact"/>
        <w:ind w:firstLine="560" w:firstLineChars="200"/>
        <w:rPr>
          <w:rFonts w:asciiTheme="minorEastAsia" w:hAnsiTheme="minorEastAsia" w:eastAsiaTheme="minorEastAsia" w:cstheme="minorEastAsia"/>
          <w:sz w:val="24"/>
          <w:szCs w:val="24"/>
        </w:rPr>
      </w:pPr>
    </w:p>
    <w:p>
      <w:pPr>
        <w:spacing w:line="576" w:lineRule="exact"/>
        <w:ind w:firstLine="560" w:firstLineChars="200"/>
        <w:rPr>
          <w:rFonts w:asciiTheme="minorEastAsia" w:hAnsiTheme="minorEastAsia" w:eastAsiaTheme="minorEastAsia" w:cstheme="minorEastAsia"/>
          <w:sz w:val="24"/>
          <w:szCs w:val="24"/>
        </w:rPr>
      </w:pPr>
    </w:p>
    <w:p>
      <w:pPr>
        <w:spacing w:line="576"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甲方：重庆卓成建筑工程股份有限公司    乙方：</w:t>
      </w:r>
    </w:p>
    <w:p>
      <w:pPr>
        <w:spacing w:line="576" w:lineRule="exact"/>
        <w:ind w:firstLine="56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（盖章）                      （盖章）</w:t>
      </w:r>
    </w:p>
    <w:p>
      <w:pPr>
        <w:spacing w:line="576" w:lineRule="exact"/>
        <w:ind w:firstLine="560" w:firstLineChars="200"/>
        <w:rPr>
          <w:rFonts w:asciiTheme="minorEastAsia" w:hAnsiTheme="minorEastAsia" w:eastAsiaTheme="minorEastAsia" w:cstheme="minorEastAsia"/>
          <w:sz w:val="24"/>
          <w:szCs w:val="24"/>
        </w:rPr>
      </w:pPr>
    </w:p>
    <w:p>
      <w:pPr>
        <w:spacing w:line="576"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法定代表人或委托代理人：          法定代表人或委托代理人：</w:t>
      </w:r>
    </w:p>
    <w:p>
      <w:pPr>
        <w:spacing w:line="576" w:lineRule="exact"/>
        <w:ind w:firstLine="560" w:firstLineChars="200"/>
        <w:rPr>
          <w:rFonts w:asciiTheme="minorEastAsia" w:hAnsiTheme="minorEastAsia" w:eastAsiaTheme="minorEastAsia" w:cstheme="minorEastAsia"/>
          <w:sz w:val="24"/>
          <w:szCs w:val="24"/>
        </w:rPr>
      </w:pPr>
    </w:p>
    <w:p>
      <w:pPr>
        <w:spacing w:line="576"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经办</w:t>
      </w:r>
      <w:r>
        <w:rPr>
          <w:rFonts w:hint="eastAsia" w:asciiTheme="minorEastAsia" w:hAnsiTheme="minorEastAsia" w:eastAsiaTheme="minorEastAsia" w:cstheme="minorEastAsia"/>
          <w:sz w:val="24"/>
          <w:szCs w:val="24"/>
        </w:rPr>
        <w:t xml:space="preserve">人：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经办</w:t>
      </w:r>
      <w:r>
        <w:rPr>
          <w:rFonts w:hint="eastAsia" w:asciiTheme="minorEastAsia" w:hAnsiTheme="minorEastAsia" w:eastAsiaTheme="minorEastAsia" w:cstheme="minorEastAsia"/>
          <w:sz w:val="24"/>
          <w:szCs w:val="24"/>
        </w:rPr>
        <w:t>人：</w:t>
      </w:r>
    </w:p>
    <w:p>
      <w:pPr>
        <w:spacing w:line="576"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联系地点：                       联系地点：</w:t>
      </w:r>
    </w:p>
    <w:p>
      <w:pPr>
        <w:spacing w:line="576"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                       联系电话：</w:t>
      </w:r>
    </w:p>
    <w:p>
      <w:pPr>
        <w:spacing w:line="576" w:lineRule="exact"/>
        <w:rPr>
          <w:rFonts w:eastAsiaTheme="minorEastAsia"/>
        </w:rPr>
      </w:pPr>
      <w:r>
        <w:rPr>
          <w:rFonts w:hint="eastAsia" w:asciiTheme="minorEastAsia" w:hAnsiTheme="minorEastAsia" w:eastAsiaTheme="minorEastAsia" w:cstheme="minorEastAsia"/>
          <w:sz w:val="24"/>
          <w:szCs w:val="24"/>
        </w:rPr>
        <w:t>年   月  日                       年   月  日</w:t>
      </w:r>
    </w:p>
    <w:p>
      <w:pPr>
        <w:spacing w:line="576" w:lineRule="exact"/>
        <w:ind w:firstLine="720" w:firstLineChars="200"/>
        <w:rPr>
          <w:rFonts w:asciiTheme="minorEastAsia" w:hAnsiTheme="minorEastAsia" w:eastAsiaTheme="minorEastAsia" w:cstheme="minorEastAsia"/>
          <w:sz w:val="32"/>
          <w:szCs w:val="32"/>
        </w:rPr>
      </w:pPr>
    </w:p>
    <w:p>
      <w:pPr>
        <w:jc w:val="center"/>
        <w:rPr>
          <w:rFonts w:asciiTheme="minorEastAsia" w:hAnsiTheme="minorEastAsia" w:eastAsiaTheme="minorEastAsia" w:cstheme="minorEastAsia"/>
          <w:b/>
          <w:sz w:val="36"/>
          <w:szCs w:val="16"/>
        </w:rPr>
      </w:pPr>
    </w:p>
    <w:p>
      <w:pPr>
        <w:jc w:val="center"/>
        <w:rPr>
          <w:rFonts w:asciiTheme="minorEastAsia" w:hAnsiTheme="minorEastAsia" w:eastAsiaTheme="minorEastAsia" w:cstheme="minorEastAsia"/>
          <w:b/>
          <w:sz w:val="36"/>
          <w:szCs w:val="16"/>
        </w:rPr>
      </w:pPr>
    </w:p>
    <w:p>
      <w:pPr>
        <w:pStyle w:val="18"/>
        <w:ind w:firstLine="0" w:firstLineChars="0"/>
        <w:rPr>
          <w:rFonts w:asciiTheme="minorEastAsia" w:hAnsiTheme="minorEastAsia" w:eastAsiaTheme="minorEastAsia" w:cstheme="minorEastAsia"/>
          <w:b/>
          <w:sz w:val="36"/>
          <w:szCs w:val="16"/>
        </w:rPr>
      </w:pPr>
    </w:p>
    <w:p>
      <w:pPr>
        <w:pStyle w:val="18"/>
        <w:ind w:firstLine="0" w:firstLineChars="0"/>
        <w:rPr>
          <w:rFonts w:hint="eastAsia" w:asciiTheme="minorEastAsia" w:hAnsiTheme="minorEastAsia" w:eastAsiaTheme="minorEastAsia" w:cstheme="minorEastAsia"/>
          <w:color w:val="000000" w:themeColor="text1"/>
          <w:sz w:val="24"/>
          <w:szCs w:val="24"/>
          <w14:textFill>
            <w14:solidFill>
              <w14:schemeClr w14:val="tx1"/>
            </w14:solidFill>
          </w14:textFill>
        </w:rPr>
      </w:pPr>
      <w:bookmarkStart w:id="48" w:name="_GoBack"/>
      <w:bookmarkEnd w:id="48"/>
    </w:p>
    <w:p>
      <w:pPr>
        <w:jc w:val="center"/>
        <w:rPr>
          <w:rFonts w:asciiTheme="minorEastAsia" w:hAnsiTheme="minorEastAsia" w:eastAsiaTheme="minorEastAsia" w:cstheme="minorEastAsia"/>
          <w:b/>
          <w:bCs/>
          <w:color w:val="000000" w:themeColor="text1"/>
          <w:spacing w:val="-1"/>
          <w:sz w:val="32"/>
          <w:szCs w:val="32"/>
          <w14:textFill>
            <w14:solidFill>
              <w14:schemeClr w14:val="tx1"/>
            </w14:solidFill>
          </w14:textFill>
        </w:rPr>
      </w:pPr>
      <w:r>
        <w:rPr>
          <w:rFonts w:hint="eastAsia" w:asciiTheme="minorEastAsia" w:hAnsiTheme="minorEastAsia" w:eastAsiaTheme="minorEastAsia" w:cstheme="minorEastAsia"/>
          <w:b/>
          <w:bCs/>
          <w:color w:val="000000" w:themeColor="text1"/>
          <w:spacing w:val="-1"/>
          <w:sz w:val="32"/>
          <w:szCs w:val="32"/>
          <w14:textFill>
            <w14:solidFill>
              <w14:schemeClr w14:val="tx1"/>
            </w14:solidFill>
          </w14:textFill>
        </w:rPr>
        <w:t>第七篇 投标文件格式</w:t>
      </w:r>
    </w:p>
    <w:bookmarkEnd w:id="0"/>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autoSpaceDE w:val="0"/>
        <w:autoSpaceDN w:val="0"/>
        <w:spacing w:line="360" w:lineRule="auto"/>
        <w:ind w:right="160" w:rightChars="50"/>
        <w:jc w:val="center"/>
        <w:outlineLvl w:val="0"/>
        <w:rPr>
          <w:rFonts w:hint="eastAsia" w:ascii="宋体" w:hAnsi="宋体" w:eastAsia="宋体" w:cs="宋体"/>
          <w:b/>
          <w:color w:val="auto"/>
          <w:sz w:val="36"/>
          <w:highlight w:val="none"/>
        </w:rPr>
      </w:pPr>
      <w:r>
        <w:rPr>
          <w:rFonts w:hint="eastAsia" w:ascii="宋体" w:hAnsi="宋体" w:eastAsia="宋体" w:cs="宋体"/>
          <w:b/>
          <w:bCs/>
          <w:color w:val="auto"/>
          <w:sz w:val="32"/>
          <w:szCs w:val="32"/>
          <w:highlight w:val="none"/>
          <w:u w:val="single"/>
        </w:rPr>
        <w:t xml:space="preserve">                 </w:t>
      </w:r>
      <w:bookmarkStart w:id="3" w:name="_Toc28855"/>
      <w:r>
        <w:rPr>
          <w:rFonts w:hint="eastAsia" w:ascii="宋体" w:hAnsi="宋体" w:eastAsia="宋体" w:cs="宋体"/>
          <w:b/>
          <w:bCs/>
          <w:color w:val="auto"/>
          <w:sz w:val="32"/>
          <w:szCs w:val="32"/>
          <w:highlight w:val="none"/>
          <w:u w:val="single"/>
        </w:rPr>
        <w:t>（项目名称）</w:t>
      </w:r>
      <w:r>
        <w:rPr>
          <w:rFonts w:hint="eastAsia" w:ascii="宋体" w:hAnsi="宋体" w:eastAsia="宋体" w:cs="宋体"/>
          <w:b/>
          <w:bCs/>
          <w:color w:val="auto"/>
          <w:sz w:val="32"/>
          <w:szCs w:val="32"/>
          <w:highlight w:val="none"/>
        </w:rPr>
        <w:t>招标</w:t>
      </w:r>
      <w:bookmarkEnd w:id="3"/>
    </w:p>
    <w:p>
      <w:pPr>
        <w:pStyle w:val="78"/>
        <w:adjustRightInd w:val="0"/>
        <w:snapToGrid w:val="0"/>
        <w:spacing w:line="360" w:lineRule="auto"/>
        <w:rPr>
          <w:rFonts w:hint="eastAsia" w:ascii="宋体" w:hAnsi="宋体" w:eastAsia="宋体" w:cs="宋体"/>
          <w:b/>
          <w:color w:val="auto"/>
          <w:sz w:val="44"/>
          <w:highlight w:val="none"/>
        </w:rPr>
      </w:pPr>
    </w:p>
    <w:p>
      <w:pPr>
        <w:pStyle w:val="78"/>
        <w:adjustRightInd w:val="0"/>
        <w:snapToGrid w:val="0"/>
        <w:spacing w:line="360" w:lineRule="auto"/>
        <w:rPr>
          <w:rFonts w:hint="eastAsia" w:ascii="宋体" w:hAnsi="宋体" w:eastAsia="宋体" w:cs="宋体"/>
          <w:b/>
          <w:color w:val="auto"/>
          <w:sz w:val="44"/>
          <w:highlight w:val="none"/>
        </w:rPr>
      </w:pPr>
    </w:p>
    <w:p>
      <w:pPr>
        <w:pStyle w:val="78"/>
        <w:adjustRightInd w:val="0"/>
        <w:snapToGrid w:val="0"/>
        <w:spacing w:line="360" w:lineRule="auto"/>
        <w:rPr>
          <w:rFonts w:hint="eastAsia" w:ascii="宋体" w:hAnsi="宋体" w:eastAsia="宋体" w:cs="宋体"/>
          <w:b/>
          <w:color w:val="auto"/>
          <w:sz w:val="44"/>
          <w:highlight w:val="none"/>
        </w:rPr>
      </w:pPr>
    </w:p>
    <w:p>
      <w:pPr>
        <w:pStyle w:val="78"/>
        <w:adjustRightInd w:val="0"/>
        <w:snapToGrid w:val="0"/>
        <w:spacing w:line="360" w:lineRule="auto"/>
        <w:jc w:val="center"/>
        <w:rPr>
          <w:rFonts w:hint="eastAsia"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 xml:space="preserve"> 投  标  文  件</w:t>
      </w:r>
    </w:p>
    <w:p>
      <w:pPr>
        <w:pStyle w:val="79"/>
        <w:autoSpaceDE w:val="0"/>
        <w:autoSpaceDN w:val="0"/>
        <w:adjustRightInd w:val="0"/>
        <w:snapToGrid w:val="0"/>
        <w:spacing w:line="360" w:lineRule="auto"/>
        <w:jc w:val="left"/>
        <w:rPr>
          <w:rFonts w:hint="eastAsia" w:ascii="宋体" w:hAnsi="宋体" w:eastAsia="宋体" w:cs="宋体"/>
          <w:color w:val="auto"/>
          <w:kern w:val="0"/>
          <w:sz w:val="16"/>
          <w:szCs w:val="16"/>
          <w:highlight w:val="none"/>
        </w:rPr>
      </w:pPr>
    </w:p>
    <w:p>
      <w:pPr>
        <w:pStyle w:val="78"/>
        <w:adjustRightInd w:val="0"/>
        <w:snapToGrid w:val="0"/>
        <w:spacing w:line="360" w:lineRule="auto"/>
        <w:ind w:firstLine="640" w:firstLineChars="200"/>
        <w:rPr>
          <w:rFonts w:hint="eastAsia" w:ascii="宋体" w:hAnsi="宋体" w:eastAsia="宋体" w:cs="宋体"/>
          <w:b/>
          <w:color w:val="auto"/>
          <w:sz w:val="28"/>
          <w:highlight w:val="none"/>
        </w:rPr>
      </w:pPr>
    </w:p>
    <w:p>
      <w:pPr>
        <w:pStyle w:val="78"/>
        <w:adjustRightInd w:val="0"/>
        <w:snapToGrid w:val="0"/>
        <w:spacing w:line="360" w:lineRule="auto"/>
        <w:ind w:firstLine="640" w:firstLineChars="200"/>
        <w:rPr>
          <w:rFonts w:hint="eastAsia" w:ascii="宋体" w:hAnsi="宋体" w:eastAsia="宋体" w:cs="宋体"/>
          <w:b/>
          <w:color w:val="auto"/>
          <w:sz w:val="28"/>
          <w:highlight w:val="none"/>
        </w:rPr>
      </w:pPr>
    </w:p>
    <w:p>
      <w:pPr>
        <w:pStyle w:val="78"/>
        <w:adjustRightInd w:val="0"/>
        <w:snapToGrid w:val="0"/>
        <w:spacing w:line="360" w:lineRule="auto"/>
        <w:ind w:firstLine="640" w:firstLineChars="200"/>
        <w:rPr>
          <w:rFonts w:hint="eastAsia" w:ascii="宋体" w:hAnsi="宋体" w:eastAsia="宋体" w:cs="宋体"/>
          <w:b/>
          <w:color w:val="auto"/>
          <w:sz w:val="28"/>
          <w:highlight w:val="none"/>
        </w:rPr>
      </w:pPr>
    </w:p>
    <w:p>
      <w:pPr>
        <w:pStyle w:val="78"/>
        <w:adjustRightInd w:val="0"/>
        <w:snapToGrid w:val="0"/>
        <w:spacing w:line="360" w:lineRule="auto"/>
        <w:ind w:firstLine="640" w:firstLineChars="200"/>
        <w:rPr>
          <w:rFonts w:hint="eastAsia" w:ascii="宋体" w:hAnsi="宋体" w:eastAsia="宋体" w:cs="宋体"/>
          <w:b/>
          <w:color w:val="auto"/>
          <w:sz w:val="28"/>
          <w:highlight w:val="none"/>
        </w:rPr>
      </w:pPr>
    </w:p>
    <w:p>
      <w:pPr>
        <w:pStyle w:val="78"/>
        <w:adjustRightInd w:val="0"/>
        <w:snapToGrid w:val="0"/>
        <w:spacing w:line="360" w:lineRule="auto"/>
        <w:ind w:firstLine="640" w:firstLineChars="200"/>
        <w:rPr>
          <w:rFonts w:hint="eastAsia" w:ascii="宋体" w:hAnsi="宋体" w:eastAsia="宋体" w:cs="宋体"/>
          <w:b/>
          <w:color w:val="auto"/>
          <w:sz w:val="28"/>
          <w:highlight w:val="none"/>
        </w:rPr>
      </w:pPr>
    </w:p>
    <w:p>
      <w:pPr>
        <w:pStyle w:val="78"/>
        <w:adjustRightInd w:val="0"/>
        <w:snapToGrid w:val="0"/>
        <w:spacing w:line="360" w:lineRule="auto"/>
        <w:ind w:firstLine="640" w:firstLineChars="200"/>
        <w:rPr>
          <w:rFonts w:hint="eastAsia" w:ascii="宋体" w:hAnsi="宋体" w:eastAsia="宋体" w:cs="宋体"/>
          <w:b/>
          <w:color w:val="auto"/>
          <w:sz w:val="28"/>
          <w:highlight w:val="none"/>
        </w:rPr>
      </w:pPr>
    </w:p>
    <w:p>
      <w:pPr>
        <w:pStyle w:val="78"/>
        <w:adjustRightInd w:val="0"/>
        <w:snapToGrid w:val="0"/>
        <w:spacing w:line="360" w:lineRule="auto"/>
        <w:ind w:firstLine="640" w:firstLineChars="200"/>
        <w:rPr>
          <w:rFonts w:hint="eastAsia" w:ascii="宋体" w:hAnsi="宋体" w:eastAsia="宋体" w:cs="宋体"/>
          <w:b/>
          <w:color w:val="auto"/>
          <w:sz w:val="28"/>
          <w:highlight w:val="none"/>
        </w:rPr>
      </w:pPr>
    </w:p>
    <w:p>
      <w:pPr>
        <w:pStyle w:val="78"/>
        <w:adjustRightInd w:val="0"/>
        <w:snapToGrid w:val="0"/>
        <w:spacing w:line="360" w:lineRule="auto"/>
        <w:ind w:firstLine="640" w:firstLineChars="200"/>
        <w:rPr>
          <w:rFonts w:hint="eastAsia" w:ascii="宋体" w:hAnsi="宋体" w:eastAsia="宋体" w:cs="宋体"/>
          <w:b/>
          <w:color w:val="auto"/>
          <w:sz w:val="28"/>
          <w:highlight w:val="none"/>
        </w:rPr>
      </w:pPr>
    </w:p>
    <w:p>
      <w:pPr>
        <w:pStyle w:val="78"/>
        <w:adjustRightInd w:val="0"/>
        <w:snapToGrid w:val="0"/>
        <w:spacing w:line="360" w:lineRule="auto"/>
        <w:ind w:firstLine="640" w:firstLineChars="200"/>
        <w:rPr>
          <w:rFonts w:hint="eastAsia" w:ascii="宋体" w:hAnsi="宋体" w:eastAsia="宋体" w:cs="宋体"/>
          <w:b/>
          <w:color w:val="auto"/>
          <w:sz w:val="28"/>
          <w:highlight w:val="none"/>
        </w:rPr>
      </w:pPr>
    </w:p>
    <w:p>
      <w:pPr>
        <w:pStyle w:val="78"/>
        <w:adjustRightInd w:val="0"/>
        <w:snapToGrid w:val="0"/>
        <w:spacing w:line="360" w:lineRule="auto"/>
        <w:ind w:firstLine="1600" w:firstLineChars="500"/>
        <w:rPr>
          <w:rFonts w:hint="eastAsia" w:ascii="宋体" w:hAnsi="宋体" w:eastAsia="宋体" w:cs="宋体"/>
          <w:b/>
          <w:color w:val="auto"/>
          <w:sz w:val="28"/>
          <w:highlight w:val="none"/>
        </w:rPr>
      </w:pPr>
    </w:p>
    <w:p>
      <w:pPr>
        <w:pStyle w:val="78"/>
        <w:adjustRightInd w:val="0"/>
        <w:snapToGrid w:val="0"/>
        <w:spacing w:line="360" w:lineRule="auto"/>
        <w:ind w:firstLine="1600" w:firstLineChars="500"/>
        <w:rPr>
          <w:rFonts w:hint="eastAsia" w:ascii="宋体" w:hAnsi="宋体" w:eastAsia="宋体" w:cs="宋体"/>
          <w:b/>
          <w:color w:val="auto"/>
          <w:sz w:val="28"/>
          <w:highlight w:val="none"/>
          <w:u w:val="single"/>
        </w:rPr>
      </w:pPr>
      <w:r>
        <w:rPr>
          <w:rFonts w:hint="eastAsia" w:ascii="宋体" w:hAnsi="宋体" w:eastAsia="宋体" w:cs="宋体"/>
          <w:b/>
          <w:color w:val="auto"/>
          <w:sz w:val="28"/>
          <w:highlight w:val="none"/>
        </w:rPr>
        <w:t>投标人：</w:t>
      </w:r>
      <w:r>
        <w:rPr>
          <w:rFonts w:hint="eastAsia" w:ascii="宋体" w:hAnsi="宋体" w:eastAsia="宋体" w:cs="宋体"/>
          <w:b/>
          <w:color w:val="auto"/>
          <w:sz w:val="28"/>
          <w:highlight w:val="none"/>
          <w:u w:val="single"/>
        </w:rPr>
        <w:t xml:space="preserve">                         </w:t>
      </w:r>
      <w:r>
        <w:rPr>
          <w:rFonts w:hint="eastAsia" w:ascii="宋体" w:hAnsi="宋体" w:eastAsia="宋体" w:cs="宋体"/>
          <w:b/>
          <w:color w:val="auto"/>
          <w:sz w:val="28"/>
          <w:highlight w:val="none"/>
        </w:rPr>
        <w:t xml:space="preserve"> (盖</w:t>
      </w:r>
      <w:r>
        <w:rPr>
          <w:rFonts w:hint="eastAsia" w:ascii="宋体" w:hAnsi="宋体" w:eastAsia="宋体" w:cs="宋体"/>
          <w:b/>
          <w:color w:val="auto"/>
          <w:kern w:val="0"/>
          <w:sz w:val="28"/>
          <w:szCs w:val="28"/>
          <w:highlight w:val="none"/>
        </w:rPr>
        <w:t>单位法人</w:t>
      </w:r>
      <w:r>
        <w:rPr>
          <w:rFonts w:hint="eastAsia" w:ascii="宋体" w:hAnsi="宋体" w:eastAsia="宋体" w:cs="宋体"/>
          <w:b/>
          <w:color w:val="auto"/>
          <w:sz w:val="28"/>
          <w:highlight w:val="none"/>
        </w:rPr>
        <w:t>章)</w:t>
      </w:r>
    </w:p>
    <w:p>
      <w:pPr>
        <w:pStyle w:val="78"/>
        <w:adjustRightInd w:val="0"/>
        <w:snapToGrid w:val="0"/>
        <w:spacing w:line="360" w:lineRule="auto"/>
        <w:ind w:firstLine="1600" w:firstLineChars="500"/>
        <w:rPr>
          <w:rFonts w:hint="eastAsia" w:ascii="宋体" w:hAnsi="宋体" w:eastAsia="宋体" w:cs="宋体"/>
          <w:b/>
          <w:color w:val="auto"/>
          <w:sz w:val="28"/>
          <w:highlight w:val="none"/>
        </w:rPr>
      </w:pPr>
      <w:r>
        <w:rPr>
          <w:rFonts w:hint="eastAsia" w:ascii="宋体" w:hAnsi="宋体" w:eastAsia="宋体" w:cs="宋体"/>
          <w:b/>
          <w:color w:val="auto"/>
          <w:sz w:val="28"/>
          <w:highlight w:val="none"/>
        </w:rPr>
        <w:t>法定代表人或其委托代理人：</w:t>
      </w:r>
      <w:r>
        <w:rPr>
          <w:rFonts w:hint="eastAsia" w:ascii="宋体" w:hAnsi="宋体" w:eastAsia="宋体" w:cs="宋体"/>
          <w:b/>
          <w:color w:val="auto"/>
          <w:sz w:val="28"/>
          <w:highlight w:val="none"/>
          <w:u w:val="single"/>
        </w:rPr>
        <w:t xml:space="preserve">         </w:t>
      </w:r>
      <w:r>
        <w:rPr>
          <w:rFonts w:hint="eastAsia" w:ascii="宋体" w:hAnsi="宋体" w:eastAsia="宋体" w:cs="宋体"/>
          <w:b/>
          <w:color w:val="auto"/>
          <w:sz w:val="28"/>
          <w:highlight w:val="none"/>
        </w:rPr>
        <w:t xml:space="preserve">(签字或盖章) </w:t>
      </w:r>
    </w:p>
    <w:p>
      <w:pPr>
        <w:pStyle w:val="78"/>
        <w:adjustRightInd w:val="0"/>
        <w:snapToGrid w:val="0"/>
        <w:spacing w:line="360" w:lineRule="auto"/>
        <w:ind w:firstLine="2546" w:firstLineChars="796"/>
        <w:rPr>
          <w:rFonts w:hint="eastAsia" w:ascii="宋体" w:hAnsi="宋体" w:eastAsia="宋体" w:cs="宋体"/>
          <w:color w:val="auto"/>
          <w:kern w:val="0"/>
          <w:sz w:val="44"/>
          <w:szCs w:val="44"/>
          <w:highlight w:val="none"/>
        </w:rPr>
      </w:pPr>
      <w:r>
        <w:rPr>
          <w:rFonts w:hint="eastAsia" w:ascii="宋体" w:hAnsi="宋体" w:eastAsia="宋体" w:cs="宋体"/>
          <w:b/>
          <w:color w:val="auto"/>
          <w:sz w:val="28"/>
          <w:highlight w:val="none"/>
        </w:rPr>
        <w:t>日期：</w:t>
      </w:r>
      <w:r>
        <w:rPr>
          <w:rFonts w:hint="eastAsia" w:ascii="宋体" w:hAnsi="宋体" w:eastAsia="宋体" w:cs="宋体"/>
          <w:b/>
          <w:color w:val="auto"/>
          <w:sz w:val="28"/>
          <w:highlight w:val="none"/>
          <w:u w:val="single"/>
        </w:rPr>
        <w:t xml:space="preserve">      </w:t>
      </w:r>
      <w:r>
        <w:rPr>
          <w:rFonts w:hint="eastAsia" w:ascii="宋体" w:hAnsi="宋体" w:eastAsia="宋体" w:cs="宋体"/>
          <w:b/>
          <w:color w:val="auto"/>
          <w:sz w:val="28"/>
          <w:highlight w:val="none"/>
        </w:rPr>
        <w:t>年</w:t>
      </w:r>
      <w:r>
        <w:rPr>
          <w:rFonts w:hint="eastAsia" w:ascii="宋体" w:hAnsi="宋体" w:eastAsia="宋体" w:cs="宋体"/>
          <w:b/>
          <w:color w:val="auto"/>
          <w:sz w:val="28"/>
          <w:highlight w:val="none"/>
          <w:u w:val="single"/>
        </w:rPr>
        <w:t xml:space="preserve">     </w:t>
      </w:r>
      <w:r>
        <w:rPr>
          <w:rFonts w:hint="eastAsia" w:ascii="宋体" w:hAnsi="宋体" w:eastAsia="宋体" w:cs="宋体"/>
          <w:b/>
          <w:color w:val="auto"/>
          <w:sz w:val="28"/>
          <w:highlight w:val="none"/>
        </w:rPr>
        <w:t>月</w:t>
      </w:r>
      <w:r>
        <w:rPr>
          <w:rFonts w:hint="eastAsia" w:ascii="宋体" w:hAnsi="宋体" w:eastAsia="宋体" w:cs="宋体"/>
          <w:b/>
          <w:color w:val="auto"/>
          <w:sz w:val="28"/>
          <w:highlight w:val="none"/>
          <w:u w:val="single"/>
        </w:rPr>
        <w:t xml:space="preserve">     </w:t>
      </w:r>
      <w:r>
        <w:rPr>
          <w:rFonts w:hint="eastAsia" w:ascii="宋体" w:hAnsi="宋体" w:eastAsia="宋体" w:cs="宋体"/>
          <w:b/>
          <w:color w:val="auto"/>
          <w:sz w:val="28"/>
          <w:highlight w:val="none"/>
        </w:rPr>
        <w:t>日</w:t>
      </w:r>
    </w:p>
    <w:p>
      <w:pPr>
        <w:widowControl/>
        <w:spacing w:line="360" w:lineRule="auto"/>
        <w:ind w:left="160" w:leftChars="50" w:right="160" w:rightChars="50"/>
        <w:jc w:val="center"/>
        <w:rPr>
          <w:rFonts w:hint="eastAsia" w:ascii="宋体" w:hAnsi="宋体" w:eastAsia="宋体" w:cs="宋体"/>
          <w:b/>
          <w:bCs/>
          <w:color w:val="auto"/>
          <w:kern w:val="0"/>
          <w:sz w:val="32"/>
          <w:szCs w:val="32"/>
          <w:highlight w:val="none"/>
        </w:rPr>
      </w:pPr>
      <w:r>
        <w:rPr>
          <w:rFonts w:hint="eastAsia" w:ascii="宋体" w:hAnsi="宋体" w:eastAsia="宋体" w:cs="宋体"/>
          <w:color w:val="auto"/>
          <w:kern w:val="0"/>
          <w:sz w:val="22"/>
          <w:highlight w:val="none"/>
        </w:rPr>
        <w:br w:type="page"/>
      </w:r>
      <w:bookmarkStart w:id="4" w:name="_Toc1725854"/>
      <w:bookmarkStart w:id="5" w:name="_Toc1725766"/>
      <w:bookmarkStart w:id="6" w:name="_Toc2955717"/>
      <w:r>
        <w:rPr>
          <w:rFonts w:hint="eastAsia" w:ascii="宋体" w:hAnsi="宋体" w:eastAsia="宋体" w:cs="宋体"/>
          <w:b/>
          <w:bCs/>
          <w:color w:val="auto"/>
          <w:kern w:val="0"/>
          <w:sz w:val="32"/>
          <w:szCs w:val="32"/>
          <w:highlight w:val="none"/>
        </w:rPr>
        <w:t>目录</w:t>
      </w:r>
      <w:bookmarkEnd w:id="4"/>
      <w:bookmarkEnd w:id="5"/>
      <w:bookmarkEnd w:id="6"/>
    </w:p>
    <w:p>
      <w:pPr>
        <w:autoSpaceDE w:val="0"/>
        <w:autoSpaceDN w:val="0"/>
        <w:spacing w:line="360" w:lineRule="auto"/>
        <w:ind w:left="160" w:leftChars="50" w:right="160" w:rightChars="50"/>
        <w:jc w:val="left"/>
        <w:rPr>
          <w:rFonts w:hint="eastAsia" w:ascii="宋体" w:hAnsi="宋体" w:eastAsia="宋体" w:cs="宋体"/>
          <w:b/>
          <w:color w:val="auto"/>
          <w:kern w:val="0"/>
          <w:sz w:val="12"/>
          <w:highlight w:val="none"/>
        </w:rPr>
      </w:pPr>
    </w:p>
    <w:p>
      <w:pPr>
        <w:keepNext w:val="0"/>
        <w:keepLines w:val="0"/>
        <w:pageBreakBefore w:val="0"/>
        <w:widowControl w:val="0"/>
        <w:kinsoku/>
        <w:wordWrap/>
        <w:overflowPunct/>
        <w:topLinePunct w:val="0"/>
        <w:autoSpaceDE w:val="0"/>
        <w:autoSpaceDN w:val="0"/>
        <w:bidi w:val="0"/>
        <w:snapToGrid/>
        <w:spacing w:line="240" w:lineRule="auto"/>
        <w:ind w:left="160" w:leftChars="50" w:right="160" w:rightChars="5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一、投标函</w:t>
      </w:r>
    </w:p>
    <w:p>
      <w:pPr>
        <w:keepNext w:val="0"/>
        <w:keepLines w:val="0"/>
        <w:pageBreakBefore w:val="0"/>
        <w:widowControl w:val="0"/>
        <w:kinsoku/>
        <w:wordWrap/>
        <w:overflowPunct/>
        <w:topLinePunct w:val="0"/>
        <w:autoSpaceDE w:val="0"/>
        <w:autoSpaceDN w:val="0"/>
        <w:bidi w:val="0"/>
        <w:snapToGrid/>
        <w:spacing w:line="240" w:lineRule="auto"/>
        <w:ind w:left="160" w:leftChars="50" w:right="160" w:rightChars="5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二、法定代表人身份证明及授权委托书</w:t>
      </w:r>
    </w:p>
    <w:p>
      <w:pPr>
        <w:keepNext w:val="0"/>
        <w:keepLines w:val="0"/>
        <w:pageBreakBefore w:val="0"/>
        <w:widowControl w:val="0"/>
        <w:kinsoku/>
        <w:wordWrap/>
        <w:overflowPunct/>
        <w:topLinePunct w:val="0"/>
        <w:autoSpaceDE w:val="0"/>
        <w:autoSpaceDN w:val="0"/>
        <w:bidi w:val="0"/>
        <w:snapToGrid/>
        <w:spacing w:line="240" w:lineRule="auto"/>
        <w:ind w:left="160" w:leftChars="50" w:right="160" w:rightChars="5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三</w:t>
      </w:r>
      <w:r>
        <w:rPr>
          <w:rFonts w:hint="eastAsia" w:ascii="宋体" w:hAnsi="宋体" w:eastAsia="宋体" w:cs="宋体"/>
          <w:color w:val="auto"/>
          <w:kern w:val="0"/>
          <w:sz w:val="21"/>
          <w:szCs w:val="21"/>
          <w:highlight w:val="none"/>
        </w:rPr>
        <w:t>、投标货物分项报价明细表</w:t>
      </w:r>
    </w:p>
    <w:p>
      <w:pPr>
        <w:keepNext w:val="0"/>
        <w:keepLines w:val="0"/>
        <w:pageBreakBefore w:val="0"/>
        <w:widowControl w:val="0"/>
        <w:kinsoku/>
        <w:wordWrap/>
        <w:overflowPunct/>
        <w:topLinePunct w:val="0"/>
        <w:autoSpaceDE w:val="0"/>
        <w:autoSpaceDN w:val="0"/>
        <w:bidi w:val="0"/>
        <w:snapToGrid/>
        <w:spacing w:line="240" w:lineRule="auto"/>
        <w:ind w:left="160" w:leftChars="50" w:right="160" w:rightChars="5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四</w:t>
      </w:r>
      <w:r>
        <w:rPr>
          <w:rFonts w:hint="eastAsia" w:ascii="宋体" w:hAnsi="宋体" w:eastAsia="宋体" w:cs="宋体"/>
          <w:color w:val="auto"/>
          <w:kern w:val="0"/>
          <w:sz w:val="21"/>
          <w:szCs w:val="21"/>
          <w:highlight w:val="none"/>
        </w:rPr>
        <w:t>、资格审查资料</w:t>
      </w:r>
    </w:p>
    <w:p>
      <w:pPr>
        <w:keepNext w:val="0"/>
        <w:keepLines w:val="0"/>
        <w:pageBreakBefore w:val="0"/>
        <w:widowControl w:val="0"/>
        <w:kinsoku/>
        <w:wordWrap/>
        <w:overflowPunct/>
        <w:topLinePunct w:val="0"/>
        <w:autoSpaceDE w:val="0"/>
        <w:autoSpaceDN w:val="0"/>
        <w:bidi w:val="0"/>
        <w:adjustRightInd w:val="0"/>
        <w:snapToGrid/>
        <w:spacing w:line="240" w:lineRule="auto"/>
        <w:ind w:left="160" w:leftChars="50" w:right="160" w:rightChars="5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（1）营业执照</w:t>
      </w:r>
    </w:p>
    <w:p>
      <w:pPr>
        <w:keepNext w:val="0"/>
        <w:keepLines w:val="0"/>
        <w:pageBreakBefore w:val="0"/>
        <w:widowControl w:val="0"/>
        <w:kinsoku/>
        <w:wordWrap/>
        <w:overflowPunct/>
        <w:topLinePunct w:val="0"/>
        <w:autoSpaceDE w:val="0"/>
        <w:autoSpaceDN w:val="0"/>
        <w:bidi w:val="0"/>
        <w:adjustRightInd w:val="0"/>
        <w:snapToGrid/>
        <w:spacing w:line="240" w:lineRule="auto"/>
        <w:ind w:left="160" w:leftChars="50" w:right="160" w:rightChars="50"/>
        <w:jc w:val="left"/>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登记证</w:t>
      </w:r>
    </w:p>
    <w:p>
      <w:pPr>
        <w:keepNext w:val="0"/>
        <w:keepLines w:val="0"/>
        <w:pageBreakBefore w:val="0"/>
        <w:widowControl w:val="0"/>
        <w:kinsoku/>
        <w:wordWrap/>
        <w:overflowPunct/>
        <w:topLinePunct w:val="0"/>
        <w:autoSpaceDE w:val="0"/>
        <w:autoSpaceDN w:val="0"/>
        <w:bidi w:val="0"/>
        <w:adjustRightInd w:val="0"/>
        <w:snapToGrid/>
        <w:spacing w:line="240" w:lineRule="auto"/>
        <w:ind w:left="160" w:leftChars="50" w:right="160" w:rightChars="50"/>
        <w:jc w:val="left"/>
        <w:textAlignment w:val="auto"/>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lang w:val="en-US" w:eastAsia="zh-CN"/>
        </w:rPr>
        <w:t>产品检验报告</w:t>
      </w:r>
    </w:p>
    <w:p>
      <w:pPr>
        <w:keepNext w:val="0"/>
        <w:keepLines w:val="0"/>
        <w:pageBreakBefore w:val="0"/>
        <w:widowControl w:val="0"/>
        <w:kinsoku/>
        <w:wordWrap/>
        <w:overflowPunct/>
        <w:topLinePunct w:val="0"/>
        <w:autoSpaceDE w:val="0"/>
        <w:autoSpaceDN w:val="0"/>
        <w:bidi w:val="0"/>
        <w:adjustRightInd w:val="0"/>
        <w:snapToGrid/>
        <w:spacing w:line="240" w:lineRule="auto"/>
        <w:ind w:left="160" w:leftChars="50" w:right="160" w:rightChars="50"/>
        <w:jc w:val="left"/>
        <w:textAlignment w:val="auto"/>
        <w:rPr>
          <w:rFonts w:hint="eastAsia"/>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信誉要求</w:t>
      </w:r>
    </w:p>
    <w:p>
      <w:pPr>
        <w:keepNext w:val="0"/>
        <w:keepLines w:val="0"/>
        <w:pageBreakBefore w:val="0"/>
        <w:widowControl w:val="0"/>
        <w:kinsoku/>
        <w:wordWrap/>
        <w:overflowPunct/>
        <w:topLinePunct w:val="0"/>
        <w:autoSpaceDE w:val="0"/>
        <w:autoSpaceDN w:val="0"/>
        <w:bidi w:val="0"/>
        <w:adjustRightInd w:val="0"/>
        <w:snapToGrid/>
        <w:spacing w:line="240" w:lineRule="auto"/>
        <w:ind w:left="160" w:leftChars="50" w:right="160" w:rightChars="5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其他资格审查资料</w:t>
      </w:r>
    </w:p>
    <w:p>
      <w:pPr>
        <w:keepNext w:val="0"/>
        <w:keepLines w:val="0"/>
        <w:pageBreakBefore w:val="0"/>
        <w:widowControl w:val="0"/>
        <w:kinsoku/>
        <w:wordWrap/>
        <w:overflowPunct/>
        <w:topLinePunct w:val="0"/>
        <w:autoSpaceDE w:val="0"/>
        <w:autoSpaceDN w:val="0"/>
        <w:bidi w:val="0"/>
        <w:snapToGrid/>
        <w:spacing w:line="240" w:lineRule="auto"/>
        <w:ind w:left="160" w:leftChars="50" w:right="160" w:rightChars="50"/>
        <w:jc w:val="left"/>
        <w:textAlignment w:val="auto"/>
        <w:rPr>
          <w:rFonts w:hint="eastAsia" w:ascii="宋体" w:hAnsi="宋体" w:eastAsia="宋体" w:cs="宋体"/>
          <w:color w:val="auto"/>
          <w:kern w:val="0"/>
          <w:sz w:val="22"/>
          <w:highlight w:val="none"/>
        </w:rPr>
      </w:pPr>
      <w:r>
        <w:rPr>
          <w:rFonts w:hint="eastAsia" w:ascii="宋体" w:hAnsi="宋体" w:eastAsia="宋体" w:cs="宋体"/>
          <w:color w:val="auto"/>
          <w:kern w:val="0"/>
          <w:sz w:val="21"/>
          <w:szCs w:val="21"/>
          <w:highlight w:val="none"/>
          <w:lang w:val="en-US" w:eastAsia="zh-CN"/>
        </w:rPr>
        <w:t>五</w:t>
      </w:r>
      <w:r>
        <w:rPr>
          <w:rFonts w:hint="eastAsia" w:ascii="宋体" w:hAnsi="宋体" w:eastAsia="宋体" w:cs="宋体"/>
          <w:color w:val="auto"/>
          <w:kern w:val="0"/>
          <w:sz w:val="21"/>
          <w:szCs w:val="21"/>
          <w:highlight w:val="none"/>
        </w:rPr>
        <w:t>、其他资料</w:t>
      </w:r>
    </w:p>
    <w:p>
      <w:pPr>
        <w:widowControl/>
        <w:spacing w:line="360" w:lineRule="auto"/>
        <w:ind w:left="160" w:leftChars="50" w:right="160" w:rightChars="50"/>
        <w:jc w:val="left"/>
        <w:rPr>
          <w:rFonts w:hint="eastAsia" w:ascii="宋体" w:hAnsi="宋体" w:eastAsia="宋体" w:cs="宋体"/>
          <w:b/>
          <w:bCs/>
          <w:color w:val="auto"/>
          <w:kern w:val="0"/>
          <w:sz w:val="32"/>
          <w:szCs w:val="32"/>
          <w:highlight w:val="none"/>
        </w:rPr>
      </w:pPr>
      <w:bookmarkStart w:id="7" w:name="_bookmark156"/>
      <w:bookmarkEnd w:id="7"/>
      <w:r>
        <w:rPr>
          <w:rFonts w:hint="eastAsia" w:ascii="宋体" w:hAnsi="宋体" w:eastAsia="宋体" w:cs="宋体"/>
          <w:color w:val="auto"/>
          <w:kern w:val="0"/>
          <w:sz w:val="22"/>
          <w:highlight w:val="none"/>
        </w:rPr>
        <w:br w:type="page"/>
      </w:r>
    </w:p>
    <w:p>
      <w:pPr>
        <w:autoSpaceDE w:val="0"/>
        <w:autoSpaceDN w:val="0"/>
        <w:spacing w:line="360" w:lineRule="auto"/>
        <w:ind w:left="160" w:leftChars="50" w:right="160" w:rightChars="50"/>
        <w:jc w:val="center"/>
        <w:outlineLvl w:val="1"/>
        <w:rPr>
          <w:rFonts w:hint="eastAsia" w:ascii="宋体" w:hAnsi="宋体" w:eastAsia="宋体" w:cs="宋体"/>
          <w:b/>
          <w:bCs/>
          <w:color w:val="auto"/>
          <w:kern w:val="0"/>
          <w:sz w:val="21"/>
          <w:szCs w:val="21"/>
          <w:highlight w:val="none"/>
        </w:rPr>
      </w:pPr>
      <w:bookmarkStart w:id="8" w:name="_Toc18551"/>
      <w:bookmarkStart w:id="9" w:name="_Toc28138"/>
      <w:bookmarkStart w:id="10" w:name="_Toc47017762"/>
      <w:bookmarkStart w:id="11" w:name="_Toc1725767"/>
      <w:bookmarkStart w:id="12" w:name="_Toc1725855"/>
      <w:r>
        <w:rPr>
          <w:rFonts w:hint="eastAsia" w:ascii="宋体" w:hAnsi="宋体" w:eastAsia="宋体" w:cs="宋体"/>
          <w:b/>
          <w:bCs/>
          <w:color w:val="auto"/>
          <w:kern w:val="0"/>
          <w:sz w:val="21"/>
          <w:szCs w:val="21"/>
          <w:highlight w:val="none"/>
        </w:rPr>
        <w:t>一. 投标函</w:t>
      </w:r>
      <w:bookmarkEnd w:id="8"/>
      <w:bookmarkEnd w:id="9"/>
      <w:bookmarkEnd w:id="10"/>
      <w:bookmarkEnd w:id="11"/>
      <w:bookmarkEnd w:id="12"/>
    </w:p>
    <w:p>
      <w:pPr>
        <w:keepNext w:val="0"/>
        <w:keepLines w:val="0"/>
        <w:pageBreakBefore w:val="0"/>
        <w:widowControl w:val="0"/>
        <w:kinsoku/>
        <w:wordWrap/>
        <w:overflowPunct/>
        <w:topLinePunct w:val="0"/>
        <w:autoSpaceDE/>
        <w:autoSpaceDN/>
        <w:bidi w:val="0"/>
        <w:adjustRightInd/>
        <w:snapToGrid/>
        <w:spacing w:line="360" w:lineRule="exact"/>
        <w:ind w:left="-1" w:leftChars="0" w:right="160" w:rightChars="5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 xml:space="preserve">       （招标人）     </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0" w:leftChars="0" w:right="160" w:rightChars="50" w:firstLine="50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我方根据已收到的</w:t>
      </w:r>
      <w:r>
        <w:rPr>
          <w:rFonts w:hint="eastAsia" w:ascii="宋体" w:hAnsi="宋体" w:eastAsia="宋体" w:cs="宋体"/>
          <w:b/>
          <w:bCs/>
          <w:color w:val="auto"/>
          <w:sz w:val="21"/>
          <w:szCs w:val="21"/>
          <w:highlight w:val="none"/>
          <w:u w:val="single"/>
        </w:rPr>
        <w:t xml:space="preserve">                  （项目名称）</w:t>
      </w:r>
      <w:r>
        <w:rPr>
          <w:rFonts w:hint="eastAsia" w:ascii="宋体" w:hAnsi="宋体" w:eastAsia="宋体" w:cs="宋体"/>
          <w:color w:val="auto"/>
          <w:sz w:val="21"/>
          <w:szCs w:val="21"/>
          <w:highlight w:val="none"/>
        </w:rPr>
        <w:t>招标文件，经研究决定就以下内容分别做出承诺：</w:t>
      </w:r>
    </w:p>
    <w:p>
      <w:pPr>
        <w:keepNext w:val="0"/>
        <w:keepLines w:val="0"/>
        <w:pageBreakBefore w:val="0"/>
        <w:widowControl w:val="0"/>
        <w:numPr>
          <w:ilvl w:val="0"/>
          <w:numId w:val="4"/>
        </w:numPr>
        <w:kinsoku/>
        <w:wordWrap/>
        <w:overflowPunct/>
        <w:topLinePunct w:val="0"/>
        <w:autoSpaceDE/>
        <w:autoSpaceDN/>
        <w:bidi w:val="0"/>
        <w:adjustRightInd/>
        <w:snapToGrid/>
        <w:spacing w:line="360" w:lineRule="exact"/>
        <w:ind w:left="0" w:leftChars="0" w:right="160" w:rightChars="50" w:firstLine="50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我方已理解了该招标文件的全部内容，决定参加投标，并保证按招标文件要求完成招标设备的制造、供应等全部工作。</w:t>
      </w:r>
    </w:p>
    <w:p>
      <w:pPr>
        <w:keepNext w:val="0"/>
        <w:keepLines w:val="0"/>
        <w:pageBreakBefore w:val="0"/>
        <w:widowControl w:val="0"/>
        <w:numPr>
          <w:ilvl w:val="0"/>
          <w:numId w:val="4"/>
        </w:numPr>
        <w:kinsoku/>
        <w:wordWrap/>
        <w:overflowPunct/>
        <w:topLinePunct w:val="0"/>
        <w:autoSpaceDE/>
        <w:autoSpaceDN/>
        <w:bidi w:val="0"/>
        <w:adjustRightInd/>
        <w:snapToGrid/>
        <w:spacing w:line="360" w:lineRule="exact"/>
        <w:ind w:left="0" w:leftChars="0" w:right="160" w:rightChars="50" w:firstLine="50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我方承诺我们的投标文件中有关资格资信的证明文件、技术文件及相关陈述全部是真实的准确的，若有违背，我方将承担由此造成的一切后果。</w:t>
      </w:r>
    </w:p>
    <w:p>
      <w:pPr>
        <w:keepNext w:val="0"/>
        <w:keepLines w:val="0"/>
        <w:pageBreakBefore w:val="0"/>
        <w:widowControl w:val="0"/>
        <w:numPr>
          <w:ilvl w:val="0"/>
          <w:numId w:val="4"/>
        </w:numPr>
        <w:kinsoku/>
        <w:wordWrap/>
        <w:overflowPunct/>
        <w:topLinePunct w:val="0"/>
        <w:autoSpaceDE/>
        <w:autoSpaceDN/>
        <w:bidi w:val="0"/>
        <w:adjustRightInd/>
        <w:snapToGrid/>
        <w:spacing w:line="360" w:lineRule="exact"/>
        <w:ind w:left="0" w:leftChars="0" w:right="160" w:rightChars="50" w:firstLine="50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我方承诺我们的投标报价在投标有效期内固定不变。</w:t>
      </w:r>
    </w:p>
    <w:p>
      <w:pPr>
        <w:keepNext w:val="0"/>
        <w:keepLines w:val="0"/>
        <w:pageBreakBefore w:val="0"/>
        <w:widowControl w:val="0"/>
        <w:numPr>
          <w:ilvl w:val="0"/>
          <w:numId w:val="4"/>
        </w:numPr>
        <w:kinsoku/>
        <w:wordWrap/>
        <w:overflowPunct/>
        <w:topLinePunct w:val="0"/>
        <w:autoSpaceDE/>
        <w:autoSpaceDN/>
        <w:bidi w:val="0"/>
        <w:adjustRightInd/>
        <w:snapToGrid/>
        <w:spacing w:line="360" w:lineRule="exact"/>
        <w:ind w:left="0" w:leftChars="0" w:right="160" w:rightChars="50" w:firstLine="50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如果我方中标，我们将按招标文件规定的内容和投标文件的相关内容与招标人签订合同。</w:t>
      </w:r>
    </w:p>
    <w:p>
      <w:pPr>
        <w:keepNext w:val="0"/>
        <w:keepLines w:val="0"/>
        <w:pageBreakBefore w:val="0"/>
        <w:widowControl w:val="0"/>
        <w:numPr>
          <w:ilvl w:val="0"/>
          <w:numId w:val="4"/>
        </w:numPr>
        <w:kinsoku/>
        <w:wordWrap/>
        <w:overflowPunct/>
        <w:topLinePunct w:val="0"/>
        <w:autoSpaceDE/>
        <w:autoSpaceDN/>
        <w:bidi w:val="0"/>
        <w:adjustRightInd/>
        <w:snapToGrid/>
        <w:spacing w:line="360" w:lineRule="exact"/>
        <w:ind w:left="0" w:leftChars="0" w:right="160" w:rightChars="50" w:firstLine="50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如果我方中标，我方保证在招标文件规定的日期内交货；并保证我们的供货设备及相关服务满足招标文件要求，否则招标人可取消我方的中标资格或解除合同。</w:t>
      </w:r>
    </w:p>
    <w:p>
      <w:pPr>
        <w:keepNext w:val="0"/>
        <w:keepLines w:val="0"/>
        <w:pageBreakBefore w:val="0"/>
        <w:widowControl w:val="0"/>
        <w:numPr>
          <w:ilvl w:val="0"/>
          <w:numId w:val="4"/>
        </w:numPr>
        <w:kinsoku/>
        <w:wordWrap/>
        <w:overflowPunct/>
        <w:topLinePunct w:val="0"/>
        <w:autoSpaceDE/>
        <w:autoSpaceDN/>
        <w:bidi w:val="0"/>
        <w:adjustRightInd/>
        <w:snapToGrid/>
        <w:spacing w:line="360" w:lineRule="exact"/>
        <w:ind w:left="0" w:leftChars="0" w:right="160" w:rightChars="50" w:firstLine="50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我方已知晓</w:t>
      </w:r>
      <w:r>
        <w:rPr>
          <w:rFonts w:hint="eastAsia" w:ascii="宋体" w:hAnsi="宋体" w:eastAsia="宋体" w:cs="宋体"/>
          <w:color w:val="auto"/>
          <w:kern w:val="0"/>
          <w:sz w:val="21"/>
          <w:szCs w:val="21"/>
          <w:highlight w:val="none"/>
        </w:rPr>
        <w:t>本次招标为预估数量，实际数量可能会小于本招标预估数量，最后实际数量为准。</w:t>
      </w:r>
    </w:p>
    <w:p>
      <w:pPr>
        <w:keepNext w:val="0"/>
        <w:keepLines w:val="0"/>
        <w:pageBreakBefore w:val="0"/>
        <w:widowControl w:val="0"/>
        <w:kinsoku/>
        <w:wordWrap/>
        <w:overflowPunct/>
        <w:topLinePunct w:val="0"/>
        <w:autoSpaceDE/>
        <w:autoSpaceDN/>
        <w:bidi w:val="0"/>
        <w:adjustRightInd/>
        <w:snapToGrid/>
        <w:spacing w:line="360" w:lineRule="exact"/>
        <w:ind w:left="0" w:leftChars="0" w:right="160" w:rightChars="50" w:firstLine="50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二、按投标须知中有关“投标文件的组成”规定要求，提供的全部文件（</w:t>
      </w:r>
      <w:r>
        <w:rPr>
          <w:rFonts w:hint="eastAsia" w:ascii="宋体" w:hAnsi="宋体" w:eastAsia="宋体" w:cs="宋体"/>
          <w:b/>
          <w:bCs/>
          <w:color w:val="auto"/>
          <w:sz w:val="21"/>
          <w:szCs w:val="21"/>
          <w:highlight w:val="none"/>
        </w:rPr>
        <w:t>正本一份和副本</w:t>
      </w:r>
      <w:r>
        <w:rPr>
          <w:rFonts w:hint="eastAsia" w:ascii="宋体" w:hAnsi="宋体" w:eastAsia="宋体" w:cs="宋体"/>
          <w:b/>
          <w:bCs/>
          <w:color w:val="auto"/>
          <w:sz w:val="21"/>
          <w:szCs w:val="21"/>
          <w:highlight w:val="none"/>
          <w:lang w:val="en-US" w:eastAsia="zh-CN"/>
        </w:rPr>
        <w:t>二</w:t>
      </w:r>
      <w:r>
        <w:rPr>
          <w:rFonts w:hint="eastAsia" w:ascii="宋体" w:hAnsi="宋体" w:eastAsia="宋体" w:cs="宋体"/>
          <w:b/>
          <w:bCs/>
          <w:color w:val="auto"/>
          <w:sz w:val="21"/>
          <w:szCs w:val="21"/>
          <w:highlight w:val="none"/>
        </w:rPr>
        <w:t>份</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160" w:rightChars="50" w:firstLine="50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三</w:t>
      </w:r>
      <w:r>
        <w:rPr>
          <w:rFonts w:hint="eastAsia" w:ascii="宋体" w:hAnsi="宋体" w:eastAsia="宋体" w:cs="宋体"/>
          <w:color w:val="auto"/>
          <w:sz w:val="21"/>
          <w:szCs w:val="21"/>
          <w:highlight w:val="none"/>
        </w:rPr>
        <w:t>、本项目我方愿以</w:t>
      </w:r>
      <w:r>
        <w:rPr>
          <w:rFonts w:hint="eastAsia" w:ascii="宋体" w:hAnsi="宋体" w:eastAsia="宋体" w:cs="宋体"/>
          <w:b/>
          <w:color w:val="auto"/>
          <w:sz w:val="21"/>
          <w:szCs w:val="21"/>
          <w:highlight w:val="none"/>
        </w:rPr>
        <w:t>人民币</w:t>
      </w:r>
      <w:r>
        <w:rPr>
          <w:rFonts w:hint="eastAsia" w:ascii="宋体" w:hAnsi="宋体" w:eastAsia="宋体" w:cs="宋体"/>
          <w:b/>
          <w:color w:val="auto"/>
          <w:sz w:val="21"/>
          <w:szCs w:val="21"/>
          <w:highlight w:val="none"/>
          <w:u w:val="single"/>
        </w:rPr>
        <w:t xml:space="preserve">           </w:t>
      </w:r>
      <w:r>
        <w:rPr>
          <w:rFonts w:hint="eastAsia" w:ascii="宋体" w:hAnsi="宋体" w:eastAsia="宋体" w:cs="宋体"/>
          <w:b/>
          <w:color w:val="auto"/>
          <w:sz w:val="21"/>
          <w:szCs w:val="21"/>
          <w:highlight w:val="none"/>
        </w:rPr>
        <w:t>（大写）</w:t>
      </w:r>
      <w:r>
        <w:rPr>
          <w:rFonts w:hint="eastAsia" w:ascii="宋体" w:hAnsi="宋体" w:eastAsia="宋体" w:cs="宋体"/>
          <w:b/>
          <w:color w:val="auto"/>
          <w:sz w:val="21"/>
          <w:szCs w:val="21"/>
          <w:highlight w:val="none"/>
          <w:u w:val="single"/>
        </w:rPr>
        <w:t xml:space="preserve">         </w:t>
      </w:r>
      <w:r>
        <w:rPr>
          <w:rFonts w:hint="eastAsia" w:ascii="宋体" w:hAnsi="宋体" w:eastAsia="宋体" w:cs="宋体"/>
          <w:b/>
          <w:color w:val="auto"/>
          <w:sz w:val="21"/>
          <w:szCs w:val="21"/>
          <w:highlight w:val="none"/>
        </w:rPr>
        <w:t>（元）</w:t>
      </w:r>
      <w:r>
        <w:rPr>
          <w:rFonts w:hint="eastAsia" w:ascii="宋体" w:hAnsi="宋体" w:eastAsia="宋体" w:cs="宋体"/>
          <w:color w:val="auto"/>
          <w:sz w:val="21"/>
          <w:szCs w:val="21"/>
          <w:highlight w:val="none"/>
        </w:rPr>
        <w:t>的投标总报价(含税)承担本招标项目的供货，以及在质量保证期内的售后服务等工作内容，</w:t>
      </w:r>
      <w:r>
        <w:rPr>
          <w:rFonts w:hint="eastAsia" w:ascii="宋体" w:hAnsi="宋体" w:eastAsia="宋体" w:cs="宋体"/>
          <w:color w:val="auto"/>
          <w:sz w:val="21"/>
          <w:szCs w:val="21"/>
          <w:highlight w:val="none"/>
          <w:lang w:eastAsia="zh-CN"/>
        </w:rPr>
        <w:t>服务</w:t>
      </w:r>
      <w:r>
        <w:rPr>
          <w:rFonts w:hint="eastAsia" w:ascii="宋体" w:hAnsi="宋体" w:eastAsia="宋体" w:cs="宋体"/>
          <w:color w:val="auto"/>
          <w:sz w:val="21"/>
          <w:szCs w:val="21"/>
          <w:highlight w:val="none"/>
        </w:rPr>
        <w:t>期为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160" w:rightChars="50" w:firstLine="50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四</w:t>
      </w:r>
      <w:r>
        <w:rPr>
          <w:rFonts w:hint="eastAsia" w:ascii="宋体" w:hAnsi="宋体" w:eastAsia="宋体" w:cs="宋体"/>
          <w:color w:val="auto"/>
          <w:sz w:val="21"/>
          <w:szCs w:val="21"/>
          <w:highlight w:val="none"/>
        </w:rPr>
        <w:t>、我方将按招标文件的规定履行合同责任和义务。</w:t>
      </w:r>
    </w:p>
    <w:p>
      <w:pPr>
        <w:keepNext w:val="0"/>
        <w:keepLines w:val="0"/>
        <w:pageBreakBefore w:val="0"/>
        <w:widowControl w:val="0"/>
        <w:kinsoku/>
        <w:wordWrap/>
        <w:overflowPunct/>
        <w:topLinePunct w:val="0"/>
        <w:autoSpaceDE/>
        <w:autoSpaceDN/>
        <w:bidi w:val="0"/>
        <w:adjustRightInd/>
        <w:snapToGrid/>
        <w:spacing w:line="360" w:lineRule="exact"/>
        <w:ind w:left="0" w:leftChars="0" w:right="160" w:rightChars="50" w:firstLine="50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五</w:t>
      </w:r>
      <w:r>
        <w:rPr>
          <w:rFonts w:hint="eastAsia" w:ascii="宋体" w:hAnsi="宋体" w:eastAsia="宋体" w:cs="宋体"/>
          <w:color w:val="auto"/>
          <w:sz w:val="21"/>
          <w:szCs w:val="21"/>
          <w:highlight w:val="none"/>
        </w:rPr>
        <w:t>、我方已详细审查全部招标文件，包括修改文件（如有的话）以及全部参考资料和有关附件。我们完全理解上述文件的内容并同意放弃对上述文件的内容有不明及误解的追究权利。</w:t>
      </w:r>
    </w:p>
    <w:p>
      <w:pPr>
        <w:keepNext w:val="0"/>
        <w:keepLines w:val="0"/>
        <w:pageBreakBefore w:val="0"/>
        <w:widowControl w:val="0"/>
        <w:kinsoku/>
        <w:wordWrap/>
        <w:overflowPunct/>
        <w:topLinePunct w:val="0"/>
        <w:autoSpaceDE/>
        <w:autoSpaceDN/>
        <w:bidi w:val="0"/>
        <w:adjustRightInd/>
        <w:snapToGrid/>
        <w:spacing w:line="360" w:lineRule="exact"/>
        <w:ind w:left="160" w:leftChars="50" w:right="160" w:rightChars="50" w:firstLine="42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投标人：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（盖单位公章）</w:t>
      </w:r>
    </w:p>
    <w:p>
      <w:pPr>
        <w:keepNext w:val="0"/>
        <w:keepLines w:val="0"/>
        <w:pageBreakBefore w:val="0"/>
        <w:widowControl w:val="0"/>
        <w:kinsoku/>
        <w:wordWrap/>
        <w:overflowPunct/>
        <w:topLinePunct w:val="0"/>
        <w:autoSpaceDE/>
        <w:autoSpaceDN/>
        <w:bidi w:val="0"/>
        <w:adjustRightInd/>
        <w:snapToGrid/>
        <w:spacing w:line="360" w:lineRule="exact"/>
        <w:ind w:left="160" w:leftChars="50" w:right="160" w:rightChars="50" w:firstLine="42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法定代表人或授权委托人：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（签字或盖章）</w:t>
      </w:r>
    </w:p>
    <w:p>
      <w:pPr>
        <w:keepNext w:val="0"/>
        <w:keepLines w:val="0"/>
        <w:pageBreakBefore w:val="0"/>
        <w:widowControl w:val="0"/>
        <w:kinsoku/>
        <w:wordWrap/>
        <w:overflowPunct/>
        <w:topLinePunct w:val="0"/>
        <w:autoSpaceDE/>
        <w:autoSpaceDN/>
        <w:bidi w:val="0"/>
        <w:adjustRightInd/>
        <w:snapToGrid/>
        <w:spacing w:line="360" w:lineRule="exact"/>
        <w:ind w:left="160" w:leftChars="50" w:right="160" w:rightChars="50" w:firstLine="42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日期：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日 </w:t>
      </w:r>
    </w:p>
    <w:p>
      <w:pPr>
        <w:autoSpaceDE w:val="0"/>
        <w:autoSpaceDN w:val="0"/>
        <w:spacing w:line="360" w:lineRule="auto"/>
        <w:ind w:left="561" w:leftChars="50" w:right="160" w:rightChars="50" w:hanging="401"/>
        <w:jc w:val="center"/>
        <w:outlineLvl w:val="1"/>
        <w:rPr>
          <w:rFonts w:hint="eastAsia" w:ascii="宋体" w:hAnsi="宋体" w:eastAsia="宋体" w:cs="宋体"/>
          <w:b/>
          <w:color w:val="auto"/>
          <w:kern w:val="0"/>
          <w:sz w:val="21"/>
          <w:szCs w:val="21"/>
          <w:highlight w:val="none"/>
        </w:rPr>
      </w:pPr>
      <w:r>
        <w:rPr>
          <w:rFonts w:hint="eastAsia" w:ascii="宋体" w:hAnsi="宋体" w:eastAsia="宋体" w:cs="宋体"/>
          <w:color w:val="auto"/>
          <w:sz w:val="21"/>
          <w:szCs w:val="21"/>
          <w:highlight w:val="none"/>
        </w:rPr>
        <w:br w:type="page"/>
      </w:r>
      <w:bookmarkStart w:id="13" w:name="_Toc47017763"/>
      <w:bookmarkStart w:id="14" w:name="_Toc7180"/>
      <w:bookmarkStart w:id="15" w:name="_Toc12999"/>
      <w:r>
        <w:rPr>
          <w:rFonts w:hint="eastAsia" w:ascii="宋体" w:hAnsi="宋体" w:eastAsia="宋体" w:cs="宋体"/>
          <w:b/>
          <w:bCs/>
          <w:color w:val="auto"/>
          <w:kern w:val="0"/>
          <w:sz w:val="21"/>
          <w:szCs w:val="21"/>
          <w:highlight w:val="none"/>
        </w:rPr>
        <w:t>二.</w:t>
      </w:r>
      <w:bookmarkStart w:id="16" w:name="_Toc1725856"/>
      <w:bookmarkStart w:id="17" w:name="_Toc1725768"/>
      <w:r>
        <w:rPr>
          <w:rFonts w:hint="eastAsia" w:ascii="宋体" w:hAnsi="宋体" w:eastAsia="宋体" w:cs="宋体"/>
          <w:b/>
          <w:bCs/>
          <w:color w:val="auto"/>
          <w:kern w:val="0"/>
          <w:sz w:val="21"/>
          <w:szCs w:val="21"/>
          <w:highlight w:val="none"/>
        </w:rPr>
        <w:t>法定代表人身份证明及授权委托书</w:t>
      </w:r>
      <w:bookmarkEnd w:id="13"/>
      <w:bookmarkEnd w:id="14"/>
      <w:bookmarkEnd w:id="15"/>
      <w:bookmarkEnd w:id="16"/>
      <w:bookmarkEnd w:id="17"/>
    </w:p>
    <w:p>
      <w:pPr>
        <w:autoSpaceDE w:val="0"/>
        <w:autoSpaceDN w:val="0"/>
        <w:spacing w:line="360" w:lineRule="auto"/>
        <w:ind w:left="160" w:leftChars="50" w:right="160" w:rightChars="50"/>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法定代表人身份证明</w:t>
      </w:r>
    </w:p>
    <w:p>
      <w:pPr>
        <w:keepNext w:val="0"/>
        <w:keepLines w:val="0"/>
        <w:pageBreakBefore w:val="0"/>
        <w:widowControl w:val="0"/>
        <w:tabs>
          <w:tab w:val="left" w:pos="3928"/>
        </w:tabs>
        <w:kinsoku/>
        <w:overflowPunct/>
        <w:topLinePunct w:val="0"/>
        <w:autoSpaceDE w:val="0"/>
        <w:autoSpaceDN w:val="0"/>
        <w:bidi w:val="0"/>
        <w:adjustRightInd/>
        <w:snapToGrid/>
        <w:spacing w:line="240" w:lineRule="auto"/>
        <w:ind w:left="160" w:leftChars="50" w:right="160" w:rightChars="5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投标人名称：</w:t>
      </w:r>
      <w:r>
        <w:rPr>
          <w:rFonts w:hint="eastAsia" w:ascii="宋体" w:hAnsi="宋体" w:eastAsia="宋体" w:cs="宋体"/>
          <w:color w:val="auto"/>
          <w:kern w:val="0"/>
          <w:sz w:val="21"/>
          <w:szCs w:val="21"/>
          <w:highlight w:val="none"/>
          <w:u w:val="single"/>
        </w:rPr>
        <w:tab/>
      </w:r>
    </w:p>
    <w:p>
      <w:pPr>
        <w:keepNext w:val="0"/>
        <w:keepLines w:val="0"/>
        <w:pageBreakBefore w:val="0"/>
        <w:widowControl w:val="0"/>
        <w:tabs>
          <w:tab w:val="left" w:pos="2412"/>
          <w:tab w:val="left" w:pos="3883"/>
          <w:tab w:val="left" w:pos="5352"/>
          <w:tab w:val="left" w:pos="6869"/>
        </w:tabs>
        <w:kinsoku/>
        <w:overflowPunct/>
        <w:topLinePunct w:val="0"/>
        <w:autoSpaceDE w:val="0"/>
        <w:autoSpaceDN w:val="0"/>
        <w:bidi w:val="0"/>
        <w:adjustRightInd/>
        <w:snapToGrid/>
        <w:spacing w:line="240" w:lineRule="auto"/>
        <w:ind w:left="160" w:leftChars="50" w:right="160" w:rightChars="5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姓名：</w:t>
      </w:r>
      <w:r>
        <w:rPr>
          <w:rFonts w:hint="eastAsia" w:ascii="宋体" w:hAnsi="宋体" w:eastAsia="宋体" w:cs="宋体"/>
          <w:color w:val="auto"/>
          <w:kern w:val="0"/>
          <w:sz w:val="21"/>
          <w:szCs w:val="21"/>
          <w:highlight w:val="none"/>
          <w:u w:val="single"/>
        </w:rPr>
        <w:tab/>
      </w:r>
      <w:r>
        <w:rPr>
          <w:rFonts w:hint="eastAsia" w:ascii="宋体" w:hAnsi="宋体" w:eastAsia="宋体" w:cs="宋体"/>
          <w:color w:val="auto"/>
          <w:kern w:val="0"/>
          <w:sz w:val="21"/>
          <w:szCs w:val="21"/>
          <w:highlight w:val="none"/>
        </w:rPr>
        <w:t>性别：</w:t>
      </w:r>
      <w:r>
        <w:rPr>
          <w:rFonts w:hint="eastAsia" w:ascii="宋体" w:hAnsi="宋体" w:eastAsia="宋体" w:cs="宋体"/>
          <w:color w:val="auto"/>
          <w:kern w:val="0"/>
          <w:sz w:val="21"/>
          <w:szCs w:val="21"/>
          <w:highlight w:val="none"/>
          <w:u w:val="single"/>
        </w:rPr>
        <w:tab/>
      </w:r>
      <w:r>
        <w:rPr>
          <w:rFonts w:hint="eastAsia" w:ascii="宋体" w:hAnsi="宋体" w:eastAsia="宋体" w:cs="宋体"/>
          <w:color w:val="auto"/>
          <w:kern w:val="0"/>
          <w:sz w:val="21"/>
          <w:szCs w:val="21"/>
          <w:highlight w:val="none"/>
        </w:rPr>
        <w:t>年龄：</w:t>
      </w:r>
      <w:r>
        <w:rPr>
          <w:rFonts w:hint="eastAsia" w:ascii="宋体" w:hAnsi="宋体" w:eastAsia="宋体" w:cs="宋体"/>
          <w:color w:val="auto"/>
          <w:kern w:val="0"/>
          <w:sz w:val="21"/>
          <w:szCs w:val="21"/>
          <w:highlight w:val="none"/>
          <w:u w:val="single"/>
        </w:rPr>
        <w:tab/>
      </w:r>
      <w:r>
        <w:rPr>
          <w:rFonts w:hint="eastAsia" w:ascii="宋体" w:hAnsi="宋体" w:eastAsia="宋体" w:cs="宋体"/>
          <w:color w:val="auto"/>
          <w:kern w:val="0"/>
          <w:sz w:val="21"/>
          <w:szCs w:val="21"/>
          <w:highlight w:val="none"/>
        </w:rPr>
        <w:t>职务：</w:t>
      </w:r>
      <w:r>
        <w:rPr>
          <w:rFonts w:hint="eastAsia" w:ascii="宋体" w:hAnsi="宋体" w:eastAsia="宋体" w:cs="宋体"/>
          <w:color w:val="auto"/>
          <w:kern w:val="0"/>
          <w:sz w:val="21"/>
          <w:szCs w:val="21"/>
          <w:highlight w:val="none"/>
          <w:u w:val="single"/>
        </w:rPr>
        <w:tab/>
      </w:r>
    </w:p>
    <w:p>
      <w:pPr>
        <w:keepNext w:val="0"/>
        <w:keepLines w:val="0"/>
        <w:pageBreakBefore w:val="0"/>
        <w:widowControl w:val="0"/>
        <w:tabs>
          <w:tab w:val="left" w:pos="2832"/>
        </w:tabs>
        <w:kinsoku/>
        <w:overflowPunct/>
        <w:topLinePunct w:val="0"/>
        <w:autoSpaceDE w:val="0"/>
        <w:autoSpaceDN w:val="0"/>
        <w:bidi w:val="0"/>
        <w:adjustRightInd/>
        <w:snapToGrid/>
        <w:spacing w:line="240" w:lineRule="auto"/>
        <w:ind w:left="160" w:leftChars="50" w:right="160" w:rightChars="5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系</w:t>
      </w:r>
      <w:r>
        <w:rPr>
          <w:rFonts w:hint="eastAsia" w:ascii="宋体" w:hAnsi="宋体" w:eastAsia="宋体" w:cs="宋体"/>
          <w:color w:val="auto"/>
          <w:kern w:val="0"/>
          <w:sz w:val="21"/>
          <w:szCs w:val="21"/>
          <w:highlight w:val="none"/>
          <w:u w:val="single"/>
        </w:rPr>
        <w:tab/>
      </w:r>
      <w:r>
        <w:rPr>
          <w:rFonts w:hint="eastAsia" w:ascii="宋体" w:hAnsi="宋体" w:eastAsia="宋体" w:cs="宋体"/>
          <w:color w:val="auto"/>
          <w:kern w:val="0"/>
          <w:sz w:val="21"/>
          <w:szCs w:val="21"/>
          <w:highlight w:val="none"/>
        </w:rPr>
        <w:t>（投标人名称）的法定代表人（单位负责人）。</w:t>
      </w:r>
    </w:p>
    <w:p>
      <w:pPr>
        <w:keepNext w:val="0"/>
        <w:keepLines w:val="0"/>
        <w:pageBreakBefore w:val="0"/>
        <w:widowControl w:val="0"/>
        <w:kinsoku/>
        <w:overflowPunct/>
        <w:topLinePunct w:val="0"/>
        <w:autoSpaceDE w:val="0"/>
        <w:autoSpaceDN w:val="0"/>
        <w:bidi w:val="0"/>
        <w:adjustRightInd/>
        <w:snapToGrid/>
        <w:spacing w:line="240" w:lineRule="auto"/>
        <w:ind w:left="160" w:leftChars="50" w:right="160" w:rightChars="5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特此证明。</w:t>
      </w:r>
    </w:p>
    <w:p>
      <w:pPr>
        <w:keepNext w:val="0"/>
        <w:keepLines w:val="0"/>
        <w:pageBreakBefore w:val="0"/>
        <w:widowControl w:val="0"/>
        <w:kinsoku/>
        <w:overflowPunct/>
        <w:topLinePunct w:val="0"/>
        <w:autoSpaceDE w:val="0"/>
        <w:autoSpaceDN w:val="0"/>
        <w:bidi w:val="0"/>
        <w:adjustRightInd/>
        <w:snapToGrid/>
        <w:spacing w:line="240" w:lineRule="auto"/>
        <w:ind w:left="160" w:leftChars="50" w:right="160" w:rightChars="5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mc:AlternateContent>
          <mc:Choice Requires="wps">
            <w:drawing>
              <wp:anchor distT="0" distB="0" distL="114300" distR="114300" simplePos="0" relativeHeight="251659264" behindDoc="1" locked="0" layoutInCell="1" allowOverlap="1">
                <wp:simplePos x="0" y="0"/>
                <wp:positionH relativeFrom="column">
                  <wp:posOffset>118745</wp:posOffset>
                </wp:positionH>
                <wp:positionV relativeFrom="paragraph">
                  <wp:posOffset>73025</wp:posOffset>
                </wp:positionV>
                <wp:extent cx="5238115" cy="1593850"/>
                <wp:effectExtent l="4445" t="4445" r="15240" b="20955"/>
                <wp:wrapNone/>
                <wp:docPr id="1" name="矩形 1"/>
                <wp:cNvGraphicFramePr/>
                <a:graphic xmlns:a="http://schemas.openxmlformats.org/drawingml/2006/main">
                  <a:graphicData uri="http://schemas.microsoft.com/office/word/2010/wordprocessingShape">
                    <wps:wsp>
                      <wps:cNvSpPr/>
                      <wps:spPr>
                        <a:xfrm>
                          <a:off x="0" y="0"/>
                          <a:ext cx="5238115" cy="159385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rect id="_x0000_s1026" o:spid="_x0000_s1026" o:spt="1" style="position:absolute;left:0pt;margin-left:9.35pt;margin-top:5.75pt;height:125.5pt;width:412.45pt;z-index:-251657216;mso-width-relative:page;mso-height-relative:page;" fillcolor="#FFFFFF" filled="t" stroked="t" coordsize="21600,21600" o:gfxdata="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F2Cl52AAAAAkBAAAPAAAAAAAAAAEAIAAAACIAAABkcnMv&#10;ZG93bnJldi54bWxQSwECFAAUAAAACACHTuJAFwj2QgMCAAAqBAAADgAAAAAAAAABACAAAAAnAQAA&#10;ZHJzL2Uyb0RvYy54bWxQSwUGAAAAAAYABgBZAQAAnAUAAAAA&#10;">
                <v:fill on="t" focussize="0,0"/>
                <v:stroke color="#000000" joinstyle="miter"/>
                <v:imagedata o:title=""/>
                <o:lock v:ext="edit" aspectratio="f"/>
                <v:textbox>
                  <w:txbxContent>
                    <w:p/>
                  </w:txbxContent>
                </v:textbox>
              </v:rect>
            </w:pict>
          </mc:Fallback>
        </mc:AlternateContent>
      </w:r>
    </w:p>
    <w:p>
      <w:pPr>
        <w:keepNext w:val="0"/>
        <w:keepLines w:val="0"/>
        <w:pageBreakBefore w:val="0"/>
        <w:widowControl w:val="0"/>
        <w:kinsoku/>
        <w:overflowPunct/>
        <w:topLinePunct w:val="0"/>
        <w:autoSpaceDE w:val="0"/>
        <w:autoSpaceDN w:val="0"/>
        <w:bidi w:val="0"/>
        <w:adjustRightInd/>
        <w:snapToGrid/>
        <w:spacing w:line="240" w:lineRule="auto"/>
        <w:ind w:left="160" w:leftChars="50" w:right="160" w:rightChars="50"/>
        <w:jc w:val="left"/>
        <w:textAlignment w:val="auto"/>
        <w:rPr>
          <w:rFonts w:hint="eastAsia" w:ascii="宋体" w:hAnsi="宋体" w:eastAsia="宋体" w:cs="宋体"/>
          <w:color w:val="auto"/>
          <w:kern w:val="0"/>
          <w:sz w:val="21"/>
          <w:szCs w:val="21"/>
          <w:highlight w:val="none"/>
        </w:rPr>
      </w:pPr>
    </w:p>
    <w:p>
      <w:pPr>
        <w:keepNext w:val="0"/>
        <w:keepLines w:val="0"/>
        <w:pageBreakBefore w:val="0"/>
        <w:widowControl w:val="0"/>
        <w:kinsoku/>
        <w:overflowPunct/>
        <w:topLinePunct w:val="0"/>
        <w:autoSpaceDE w:val="0"/>
        <w:autoSpaceDN w:val="0"/>
        <w:bidi w:val="0"/>
        <w:adjustRightInd/>
        <w:snapToGrid/>
        <w:spacing w:line="240" w:lineRule="auto"/>
        <w:ind w:left="160" w:leftChars="50" w:right="160" w:rightChars="50" w:firstLine="1500" w:firstLineChars="6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附：法定代表人身份证复印件或扫描件（双面）。</w:t>
      </w:r>
    </w:p>
    <w:p>
      <w:pPr>
        <w:keepNext w:val="0"/>
        <w:keepLines w:val="0"/>
        <w:pageBreakBefore w:val="0"/>
        <w:widowControl w:val="0"/>
        <w:kinsoku/>
        <w:overflowPunct/>
        <w:topLinePunct w:val="0"/>
        <w:autoSpaceDE w:val="0"/>
        <w:autoSpaceDN w:val="0"/>
        <w:bidi w:val="0"/>
        <w:adjustRightInd/>
        <w:snapToGrid/>
        <w:spacing w:line="240" w:lineRule="auto"/>
        <w:ind w:right="160" w:rightChars="50"/>
        <w:jc w:val="left"/>
        <w:textAlignment w:val="auto"/>
        <w:rPr>
          <w:rFonts w:hint="eastAsia" w:ascii="宋体" w:hAnsi="宋体" w:eastAsia="宋体" w:cs="宋体"/>
          <w:color w:val="auto"/>
          <w:kern w:val="0"/>
          <w:sz w:val="21"/>
          <w:szCs w:val="21"/>
          <w:highlight w:val="none"/>
        </w:rPr>
      </w:pPr>
    </w:p>
    <w:p>
      <w:pPr>
        <w:keepNext w:val="0"/>
        <w:keepLines w:val="0"/>
        <w:pageBreakBefore w:val="0"/>
        <w:widowControl w:val="0"/>
        <w:kinsoku/>
        <w:overflowPunct/>
        <w:topLinePunct w:val="0"/>
        <w:autoSpaceDE w:val="0"/>
        <w:autoSpaceDN w:val="0"/>
        <w:bidi w:val="0"/>
        <w:adjustRightInd/>
        <w:snapToGrid/>
        <w:spacing w:line="240" w:lineRule="auto"/>
        <w:ind w:right="160" w:rightChars="50"/>
        <w:jc w:val="left"/>
        <w:textAlignment w:val="auto"/>
        <w:rPr>
          <w:rFonts w:hint="eastAsia" w:ascii="宋体" w:hAnsi="宋体" w:eastAsia="宋体" w:cs="宋体"/>
          <w:color w:val="auto"/>
          <w:kern w:val="0"/>
          <w:sz w:val="21"/>
          <w:szCs w:val="21"/>
          <w:highlight w:val="none"/>
        </w:rPr>
      </w:pPr>
    </w:p>
    <w:p>
      <w:pPr>
        <w:keepNext w:val="0"/>
        <w:keepLines w:val="0"/>
        <w:pageBreakBefore w:val="0"/>
        <w:widowControl w:val="0"/>
        <w:kinsoku/>
        <w:overflowPunct/>
        <w:topLinePunct w:val="0"/>
        <w:autoSpaceDE w:val="0"/>
        <w:autoSpaceDN w:val="0"/>
        <w:bidi w:val="0"/>
        <w:adjustRightInd/>
        <w:snapToGrid/>
        <w:spacing w:line="240" w:lineRule="auto"/>
        <w:ind w:right="160" w:rightChars="50"/>
        <w:jc w:val="left"/>
        <w:textAlignment w:val="auto"/>
        <w:rPr>
          <w:rFonts w:hint="eastAsia" w:ascii="宋体" w:hAnsi="宋体" w:eastAsia="宋体" w:cs="宋体"/>
          <w:color w:val="auto"/>
          <w:kern w:val="0"/>
          <w:sz w:val="21"/>
          <w:szCs w:val="21"/>
          <w:highlight w:val="none"/>
        </w:rPr>
      </w:pPr>
    </w:p>
    <w:p>
      <w:pPr>
        <w:keepNext w:val="0"/>
        <w:keepLines w:val="0"/>
        <w:pageBreakBefore w:val="0"/>
        <w:widowControl w:val="0"/>
        <w:kinsoku/>
        <w:overflowPunct/>
        <w:topLinePunct w:val="0"/>
        <w:autoSpaceDE w:val="0"/>
        <w:autoSpaceDN w:val="0"/>
        <w:bidi w:val="0"/>
        <w:adjustRightInd/>
        <w:snapToGrid/>
        <w:spacing w:line="240" w:lineRule="auto"/>
        <w:ind w:right="160" w:rightChars="5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注：本身份证明需由投标人加盖单位公章。</w:t>
      </w:r>
    </w:p>
    <w:p>
      <w:pPr>
        <w:keepNext w:val="0"/>
        <w:keepLines w:val="0"/>
        <w:pageBreakBefore w:val="0"/>
        <w:widowControl w:val="0"/>
        <w:tabs>
          <w:tab w:val="left" w:pos="6521"/>
        </w:tabs>
        <w:kinsoku/>
        <w:wordWrap w:val="0"/>
        <w:overflowPunct/>
        <w:topLinePunct w:val="0"/>
        <w:autoSpaceDE w:val="0"/>
        <w:autoSpaceDN w:val="0"/>
        <w:bidi w:val="0"/>
        <w:adjustRightInd/>
        <w:snapToGrid/>
        <w:spacing w:line="240" w:lineRule="auto"/>
        <w:ind w:left="160" w:leftChars="50" w:right="160" w:rightChars="50"/>
        <w:jc w:val="righ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投标人：</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（单位公章）</w:t>
      </w:r>
    </w:p>
    <w:p>
      <w:pPr>
        <w:keepNext w:val="0"/>
        <w:keepLines w:val="0"/>
        <w:pageBreakBefore w:val="0"/>
        <w:widowControl w:val="0"/>
        <w:tabs>
          <w:tab w:val="left" w:pos="5352"/>
          <w:tab w:val="left" w:pos="6192"/>
          <w:tab w:val="left" w:pos="7032"/>
        </w:tabs>
        <w:kinsoku/>
        <w:overflowPunct/>
        <w:topLinePunct w:val="0"/>
        <w:autoSpaceDE w:val="0"/>
        <w:autoSpaceDN w:val="0"/>
        <w:bidi w:val="0"/>
        <w:adjustRightInd/>
        <w:snapToGrid/>
        <w:spacing w:line="240" w:lineRule="auto"/>
        <w:ind w:left="160" w:leftChars="50" w:right="160" w:rightChars="50"/>
        <w:jc w:val="righ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年</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月</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日</w:t>
      </w:r>
    </w:p>
    <w:p>
      <w:pPr>
        <w:keepNext w:val="0"/>
        <w:keepLines w:val="0"/>
        <w:pageBreakBefore w:val="0"/>
        <w:widowControl w:val="0"/>
        <w:kinsoku/>
        <w:overflowPunct/>
        <w:topLinePunct w:val="0"/>
        <w:autoSpaceDE w:val="0"/>
        <w:autoSpaceDN w:val="0"/>
        <w:bidi w:val="0"/>
        <w:adjustRightInd/>
        <w:snapToGrid/>
        <w:spacing w:line="240" w:lineRule="auto"/>
        <w:ind w:left="160" w:leftChars="50" w:right="160" w:rightChars="50"/>
        <w:jc w:val="left"/>
        <w:textAlignment w:val="auto"/>
        <w:rPr>
          <w:rFonts w:hint="eastAsia" w:ascii="宋体" w:hAnsi="宋体" w:eastAsia="宋体" w:cs="宋体"/>
          <w:color w:val="auto"/>
          <w:kern w:val="0"/>
          <w:sz w:val="21"/>
          <w:szCs w:val="21"/>
          <w:highlight w:val="none"/>
        </w:rPr>
      </w:pPr>
    </w:p>
    <w:p>
      <w:pPr>
        <w:keepNext w:val="0"/>
        <w:keepLines w:val="0"/>
        <w:pageBreakBefore w:val="0"/>
        <w:widowControl w:val="0"/>
        <w:kinsoku/>
        <w:overflowPunct/>
        <w:topLinePunct w:val="0"/>
        <w:autoSpaceDE w:val="0"/>
        <w:autoSpaceDN w:val="0"/>
        <w:bidi w:val="0"/>
        <w:adjustRightInd/>
        <w:snapToGrid/>
        <w:spacing w:line="240" w:lineRule="auto"/>
        <w:ind w:left="160" w:leftChars="50" w:right="160" w:rightChars="5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注：法定代表人身份证明需按上述格式填写完整，不可缺少内容。在此基础上增加内容的不影响其有效性。</w:t>
      </w:r>
    </w:p>
    <w:p>
      <w:pPr>
        <w:widowControl/>
        <w:spacing w:line="360" w:lineRule="auto"/>
        <w:ind w:left="160" w:leftChars="50" w:right="160" w:rightChars="50"/>
        <w:jc w:val="left"/>
        <w:rPr>
          <w:rFonts w:hint="eastAsia" w:ascii="宋体" w:hAnsi="宋体" w:eastAsia="宋体" w:cs="宋体"/>
          <w:b/>
          <w:color w:val="auto"/>
          <w:kern w:val="0"/>
          <w:sz w:val="21"/>
          <w:szCs w:val="21"/>
          <w:highlight w:val="none"/>
        </w:rPr>
      </w:pPr>
      <w:bookmarkStart w:id="18" w:name="_bookmark158"/>
      <w:bookmarkEnd w:id="18"/>
      <w:r>
        <w:rPr>
          <w:rFonts w:hint="eastAsia" w:ascii="宋体" w:hAnsi="宋体" w:eastAsia="宋体" w:cs="宋体"/>
          <w:b/>
          <w:color w:val="auto"/>
          <w:kern w:val="0"/>
          <w:sz w:val="21"/>
          <w:szCs w:val="21"/>
          <w:highlight w:val="none"/>
        </w:rPr>
        <w:br w:type="page"/>
      </w:r>
    </w:p>
    <w:p>
      <w:pPr>
        <w:autoSpaceDE w:val="0"/>
        <w:autoSpaceDN w:val="0"/>
        <w:spacing w:line="360" w:lineRule="auto"/>
        <w:ind w:left="160" w:leftChars="50" w:right="160" w:rightChars="50"/>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授权委托书</w:t>
      </w:r>
    </w:p>
    <w:p>
      <w:pPr>
        <w:keepNext w:val="0"/>
        <w:keepLines w:val="0"/>
        <w:pageBreakBefore w:val="0"/>
        <w:widowControl w:val="0"/>
        <w:tabs>
          <w:tab w:val="left" w:pos="2421"/>
          <w:tab w:val="left" w:pos="5585"/>
        </w:tabs>
        <w:kinsoku/>
        <w:wordWrap/>
        <w:overflowPunct/>
        <w:topLinePunct w:val="0"/>
        <w:autoSpaceDE w:val="0"/>
        <w:autoSpaceDN w:val="0"/>
        <w:bidi w:val="0"/>
        <w:spacing w:line="240" w:lineRule="auto"/>
        <w:ind w:left="160" w:leftChars="50" w:right="160" w:rightChars="5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本人</w:t>
      </w:r>
      <w:r>
        <w:rPr>
          <w:rFonts w:hint="eastAsia" w:ascii="宋体" w:hAnsi="宋体" w:eastAsia="宋体" w:cs="宋体"/>
          <w:color w:val="auto"/>
          <w:kern w:val="0"/>
          <w:sz w:val="21"/>
          <w:szCs w:val="21"/>
          <w:highlight w:val="none"/>
          <w:u w:val="single"/>
        </w:rPr>
        <w:tab/>
      </w:r>
      <w:r>
        <w:rPr>
          <w:rFonts w:hint="eastAsia" w:ascii="宋体" w:hAnsi="宋体" w:eastAsia="宋体" w:cs="宋体"/>
          <w:color w:val="auto"/>
          <w:kern w:val="0"/>
          <w:sz w:val="21"/>
          <w:szCs w:val="21"/>
          <w:highlight w:val="none"/>
        </w:rPr>
        <w:t>（姓名）系</w:t>
      </w:r>
      <w:r>
        <w:rPr>
          <w:rFonts w:hint="eastAsia" w:ascii="宋体" w:hAnsi="宋体" w:eastAsia="宋体" w:cs="宋体"/>
          <w:color w:val="auto"/>
          <w:kern w:val="0"/>
          <w:sz w:val="21"/>
          <w:szCs w:val="21"/>
          <w:highlight w:val="none"/>
          <w:u w:val="single"/>
        </w:rPr>
        <w:tab/>
      </w:r>
      <w:r>
        <w:rPr>
          <w:rFonts w:hint="eastAsia" w:ascii="宋体" w:hAnsi="宋体" w:eastAsia="宋体" w:cs="宋体"/>
          <w:color w:val="auto"/>
          <w:kern w:val="0"/>
          <w:sz w:val="21"/>
          <w:szCs w:val="21"/>
          <w:highlight w:val="none"/>
        </w:rPr>
        <w:t>（投标人名称）的法定代表人（单</w:t>
      </w:r>
    </w:p>
    <w:p>
      <w:pPr>
        <w:keepNext w:val="0"/>
        <w:keepLines w:val="0"/>
        <w:pageBreakBefore w:val="0"/>
        <w:widowControl w:val="0"/>
        <w:tabs>
          <w:tab w:val="left" w:pos="3158"/>
        </w:tabs>
        <w:kinsoku/>
        <w:wordWrap/>
        <w:overflowPunct/>
        <w:topLinePunct w:val="0"/>
        <w:autoSpaceDE w:val="0"/>
        <w:autoSpaceDN w:val="0"/>
        <w:bidi w:val="0"/>
        <w:spacing w:line="240" w:lineRule="auto"/>
        <w:ind w:left="160" w:leftChars="50" w:right="160" w:rightChars="5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位负责人），现委托</w:t>
      </w:r>
      <w:r>
        <w:rPr>
          <w:rFonts w:hint="eastAsia" w:ascii="宋体" w:hAnsi="宋体" w:eastAsia="宋体" w:cs="宋体"/>
          <w:color w:val="auto"/>
          <w:kern w:val="0"/>
          <w:sz w:val="21"/>
          <w:szCs w:val="21"/>
          <w:highlight w:val="none"/>
          <w:u w:val="single"/>
        </w:rPr>
        <w:tab/>
      </w:r>
      <w:r>
        <w:rPr>
          <w:rFonts w:hint="eastAsia" w:ascii="宋体" w:hAnsi="宋体" w:eastAsia="宋体" w:cs="宋体"/>
          <w:color w:val="auto"/>
          <w:kern w:val="0"/>
          <w:sz w:val="21"/>
          <w:szCs w:val="21"/>
          <w:highlight w:val="none"/>
        </w:rPr>
        <w:t>（姓名）为我方代理人。代理人根据授权，以我方名义签署、澄清确认、递交、撤回、修改投标文件、签订合同和处理有关事宜，其法律后果由我方承担。</w:t>
      </w:r>
    </w:p>
    <w:p>
      <w:pPr>
        <w:keepNext w:val="0"/>
        <w:keepLines w:val="0"/>
        <w:pageBreakBefore w:val="0"/>
        <w:widowControl w:val="0"/>
        <w:tabs>
          <w:tab w:val="left" w:pos="3780"/>
          <w:tab w:val="left" w:pos="5585"/>
        </w:tabs>
        <w:kinsoku/>
        <w:wordWrap/>
        <w:overflowPunct/>
        <w:topLinePunct w:val="0"/>
        <w:autoSpaceDE w:val="0"/>
        <w:autoSpaceDN w:val="0"/>
        <w:bidi w:val="0"/>
        <w:spacing w:line="240" w:lineRule="auto"/>
        <w:ind w:left="160" w:leftChars="50" w:right="160" w:rightChars="5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委托期限：</w:t>
      </w:r>
      <w:r>
        <w:rPr>
          <w:rFonts w:hint="eastAsia" w:ascii="宋体" w:hAnsi="宋体" w:eastAsia="宋体" w:cs="宋体"/>
          <w:color w:val="auto"/>
          <w:kern w:val="0"/>
          <w:sz w:val="21"/>
          <w:szCs w:val="21"/>
          <w:highlight w:val="none"/>
          <w:u w:val="single"/>
        </w:rPr>
        <w:tab/>
      </w:r>
      <w:r>
        <w:rPr>
          <w:rFonts w:hint="eastAsia" w:ascii="宋体" w:hAnsi="宋体" w:eastAsia="宋体" w:cs="宋体"/>
          <w:color w:val="auto"/>
          <w:kern w:val="0"/>
          <w:sz w:val="21"/>
          <w:szCs w:val="21"/>
          <w:highlight w:val="none"/>
        </w:rPr>
        <w:t>。</w:t>
      </w:r>
    </w:p>
    <w:p>
      <w:pPr>
        <w:keepNext w:val="0"/>
        <w:keepLines w:val="0"/>
        <w:pageBreakBefore w:val="0"/>
        <w:widowControl w:val="0"/>
        <w:kinsoku/>
        <w:wordWrap/>
        <w:overflowPunct/>
        <w:topLinePunct w:val="0"/>
        <w:autoSpaceDE w:val="0"/>
        <w:autoSpaceDN w:val="0"/>
        <w:bidi w:val="0"/>
        <w:spacing w:line="240" w:lineRule="auto"/>
        <w:ind w:left="160" w:leftChars="50" w:right="160" w:rightChars="5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代理人无转委托权。</w:t>
      </w:r>
    </w:p>
    <w:p>
      <w:pPr>
        <w:keepNext w:val="0"/>
        <w:keepLines w:val="0"/>
        <w:pageBreakBefore w:val="0"/>
        <w:widowControl w:val="0"/>
        <w:kinsoku/>
        <w:wordWrap/>
        <w:overflowPunct/>
        <w:topLinePunct w:val="0"/>
        <w:autoSpaceDE w:val="0"/>
        <w:autoSpaceDN w:val="0"/>
        <w:bidi w:val="0"/>
        <w:spacing w:line="240" w:lineRule="auto"/>
        <w:ind w:left="160" w:leftChars="50" w:right="160" w:rightChars="50"/>
        <w:jc w:val="left"/>
        <w:textAlignment w:val="auto"/>
        <w:rPr>
          <w:rFonts w:hint="eastAsia" w:ascii="宋体" w:hAnsi="宋体" w:eastAsia="宋体" w:cs="宋体"/>
          <w:color w:val="auto"/>
          <w:kern w:val="0"/>
          <w:sz w:val="21"/>
          <w:szCs w:val="21"/>
          <w:highlight w:val="none"/>
        </w:rPr>
      </w:pPr>
    </w:p>
    <w:p>
      <w:pPr>
        <w:keepNext w:val="0"/>
        <w:keepLines w:val="0"/>
        <w:pageBreakBefore w:val="0"/>
        <w:widowControl w:val="0"/>
        <w:tabs>
          <w:tab w:val="left" w:pos="3216"/>
          <w:tab w:val="left" w:pos="3636"/>
          <w:tab w:val="left" w:pos="7241"/>
        </w:tabs>
        <w:kinsoku/>
        <w:wordWrap/>
        <w:overflowPunct/>
        <w:topLinePunct w:val="0"/>
        <w:autoSpaceDE w:val="0"/>
        <w:autoSpaceDN w:val="0"/>
        <w:bidi w:val="0"/>
        <w:spacing w:line="240" w:lineRule="auto"/>
        <w:ind w:left="160" w:leftChars="50" w:right="160" w:rightChars="5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  标  人：</w:t>
      </w:r>
      <w:r>
        <w:rPr>
          <w:rFonts w:hint="eastAsia" w:ascii="宋体" w:hAnsi="宋体" w:eastAsia="宋体" w:cs="宋体"/>
          <w:color w:val="auto"/>
          <w:kern w:val="0"/>
          <w:sz w:val="21"/>
          <w:szCs w:val="21"/>
          <w:highlight w:val="none"/>
          <w:u w:val="single"/>
          <w:lang w:val="en-US" w:eastAsia="zh-CN"/>
        </w:rPr>
        <w:t xml:space="preserve">                          </w:t>
      </w:r>
      <w:r>
        <w:rPr>
          <w:rFonts w:hint="eastAsia" w:ascii="宋体" w:hAnsi="宋体" w:eastAsia="宋体" w:cs="宋体"/>
          <w:color w:val="auto"/>
          <w:kern w:val="0"/>
          <w:sz w:val="21"/>
          <w:szCs w:val="21"/>
          <w:highlight w:val="none"/>
        </w:rPr>
        <w:t>（单位公章）</w:t>
      </w:r>
    </w:p>
    <w:p>
      <w:pPr>
        <w:keepNext w:val="0"/>
        <w:keepLines w:val="0"/>
        <w:pageBreakBefore w:val="0"/>
        <w:widowControl w:val="0"/>
        <w:tabs>
          <w:tab w:val="left" w:pos="7661"/>
        </w:tabs>
        <w:kinsoku/>
        <w:wordWrap/>
        <w:overflowPunct/>
        <w:topLinePunct w:val="0"/>
        <w:autoSpaceDE w:val="0"/>
        <w:autoSpaceDN w:val="0"/>
        <w:bidi w:val="0"/>
        <w:spacing w:line="240" w:lineRule="auto"/>
        <w:ind w:left="160" w:leftChars="50" w:right="160" w:rightChars="5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法定代表人（单位负责人）：</w:t>
      </w:r>
      <w:r>
        <w:rPr>
          <w:rFonts w:hint="eastAsia" w:ascii="宋体" w:hAnsi="宋体" w:eastAsia="宋体" w:cs="宋体"/>
          <w:color w:val="auto"/>
          <w:kern w:val="0"/>
          <w:sz w:val="21"/>
          <w:szCs w:val="21"/>
          <w:highlight w:val="none"/>
          <w:u w:val="single"/>
          <w:lang w:val="en-US" w:eastAsia="zh-CN"/>
        </w:rPr>
        <w:t xml:space="preserve">          </w:t>
      </w:r>
      <w:r>
        <w:rPr>
          <w:rFonts w:hint="eastAsia" w:ascii="宋体" w:hAnsi="宋体" w:eastAsia="宋体" w:cs="宋体"/>
          <w:color w:val="auto"/>
          <w:kern w:val="0"/>
          <w:sz w:val="21"/>
          <w:szCs w:val="21"/>
          <w:highlight w:val="none"/>
        </w:rPr>
        <w:t>（签字或盖章）</w:t>
      </w:r>
    </w:p>
    <w:p>
      <w:pPr>
        <w:keepNext w:val="0"/>
        <w:keepLines w:val="0"/>
        <w:pageBreakBefore w:val="0"/>
        <w:widowControl w:val="0"/>
        <w:tabs>
          <w:tab w:val="left" w:pos="8549"/>
        </w:tabs>
        <w:kinsoku/>
        <w:wordWrap/>
        <w:overflowPunct/>
        <w:topLinePunct w:val="0"/>
        <w:autoSpaceDE w:val="0"/>
        <w:autoSpaceDN w:val="0"/>
        <w:bidi w:val="0"/>
        <w:spacing w:line="240" w:lineRule="auto"/>
        <w:ind w:left="160" w:leftChars="50" w:right="160" w:rightChars="50"/>
        <w:jc w:val="left"/>
        <w:textAlignment w:val="auto"/>
        <w:rPr>
          <w:rFonts w:hint="default" w:ascii="宋体" w:hAnsi="宋体" w:eastAsia="宋体" w:cs="宋体"/>
          <w:color w:val="auto"/>
          <w:kern w:val="0"/>
          <w:sz w:val="21"/>
          <w:szCs w:val="21"/>
          <w:highlight w:val="none"/>
          <w:u w:val="single"/>
          <w:lang w:val="en-US" w:eastAsia="zh-CN"/>
        </w:rPr>
      </w:pPr>
      <w:r>
        <w:rPr>
          <w:rFonts w:hint="eastAsia" w:ascii="宋体" w:hAnsi="宋体" w:eastAsia="宋体" w:cs="宋体"/>
          <w:color w:val="auto"/>
          <w:kern w:val="0"/>
          <w:sz w:val="21"/>
          <w:szCs w:val="21"/>
          <w:highlight w:val="none"/>
        </w:rPr>
        <w:t>身份证号码：</w:t>
      </w:r>
      <w:r>
        <w:rPr>
          <w:rFonts w:hint="eastAsia" w:ascii="宋体" w:hAnsi="宋体" w:eastAsia="宋体" w:cs="宋体"/>
          <w:color w:val="auto"/>
          <w:kern w:val="0"/>
          <w:sz w:val="21"/>
          <w:szCs w:val="21"/>
          <w:highlight w:val="none"/>
          <w:u w:val="single"/>
          <w:lang w:val="en-US" w:eastAsia="zh-CN"/>
        </w:rPr>
        <w:t xml:space="preserve">                           </w:t>
      </w:r>
    </w:p>
    <w:p>
      <w:pPr>
        <w:keepNext w:val="0"/>
        <w:keepLines w:val="0"/>
        <w:pageBreakBefore w:val="0"/>
        <w:widowControl w:val="0"/>
        <w:tabs>
          <w:tab w:val="left" w:pos="7661"/>
        </w:tabs>
        <w:kinsoku/>
        <w:wordWrap/>
        <w:overflowPunct/>
        <w:topLinePunct w:val="0"/>
        <w:autoSpaceDE w:val="0"/>
        <w:autoSpaceDN w:val="0"/>
        <w:bidi w:val="0"/>
        <w:spacing w:line="240" w:lineRule="auto"/>
        <w:ind w:left="160" w:leftChars="50" w:right="160" w:rightChars="5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委托代理人</w:t>
      </w:r>
      <w:r>
        <w:rPr>
          <w:rFonts w:hint="eastAsia" w:ascii="宋体" w:hAnsi="宋体" w:eastAsia="宋体" w:cs="宋体"/>
          <w:color w:val="auto"/>
          <w:kern w:val="0"/>
          <w:sz w:val="21"/>
          <w:szCs w:val="21"/>
          <w:highlight w:val="none"/>
          <w:u w:val="single"/>
          <w:lang w:val="en-US" w:eastAsia="zh-CN"/>
        </w:rPr>
        <w:t xml:space="preserve">          </w:t>
      </w:r>
      <w:r>
        <w:rPr>
          <w:rFonts w:hint="eastAsia" w:ascii="宋体" w:hAnsi="宋体" w:eastAsia="宋体" w:cs="宋体"/>
          <w:color w:val="auto"/>
          <w:kern w:val="0"/>
          <w:sz w:val="21"/>
          <w:szCs w:val="21"/>
          <w:highlight w:val="none"/>
        </w:rPr>
        <w:t>（签字或盖章）</w:t>
      </w:r>
    </w:p>
    <w:p>
      <w:pPr>
        <w:keepNext w:val="0"/>
        <w:keepLines w:val="0"/>
        <w:pageBreakBefore w:val="0"/>
        <w:widowControl w:val="0"/>
        <w:tabs>
          <w:tab w:val="left" w:pos="8549"/>
        </w:tabs>
        <w:kinsoku/>
        <w:wordWrap/>
        <w:overflowPunct/>
        <w:topLinePunct w:val="0"/>
        <w:autoSpaceDE w:val="0"/>
        <w:autoSpaceDN w:val="0"/>
        <w:bidi w:val="0"/>
        <w:spacing w:line="240" w:lineRule="auto"/>
        <w:ind w:left="160" w:leftChars="50" w:right="160" w:rightChars="50"/>
        <w:jc w:val="left"/>
        <w:textAlignment w:val="auto"/>
        <w:rPr>
          <w:rFonts w:hint="default" w:ascii="宋体" w:hAnsi="宋体" w:eastAsia="宋体" w:cs="宋体"/>
          <w:color w:val="auto"/>
          <w:kern w:val="0"/>
          <w:sz w:val="21"/>
          <w:szCs w:val="21"/>
          <w:highlight w:val="none"/>
          <w:u w:val="single"/>
          <w:lang w:val="en-US" w:eastAsia="zh-CN"/>
        </w:rPr>
      </w:pPr>
      <w:r>
        <w:rPr>
          <w:rFonts w:hint="eastAsia" w:ascii="宋体" w:hAnsi="宋体" w:eastAsia="宋体" w:cs="宋体"/>
          <w:color w:val="auto"/>
          <w:kern w:val="0"/>
          <w:sz w:val="21"/>
          <w:szCs w:val="21"/>
          <w:highlight w:val="none"/>
        </w:rPr>
        <w:t>身份证号码：</w:t>
      </w:r>
      <w:r>
        <w:rPr>
          <w:rFonts w:hint="eastAsia" w:ascii="宋体" w:hAnsi="宋体" w:eastAsia="宋体" w:cs="宋体"/>
          <w:color w:val="auto"/>
          <w:kern w:val="0"/>
          <w:sz w:val="21"/>
          <w:szCs w:val="21"/>
          <w:highlight w:val="none"/>
          <w:u w:val="single"/>
          <w:lang w:val="en-US" w:eastAsia="zh-CN"/>
        </w:rPr>
        <w:t xml:space="preserve">                           </w:t>
      </w:r>
    </w:p>
    <w:p>
      <w:pPr>
        <w:keepNext w:val="0"/>
        <w:keepLines w:val="0"/>
        <w:pageBreakBefore w:val="0"/>
        <w:widowControl w:val="0"/>
        <w:tabs>
          <w:tab w:val="left" w:pos="6643"/>
          <w:tab w:val="left" w:pos="7589"/>
          <w:tab w:val="left" w:pos="8533"/>
        </w:tabs>
        <w:kinsoku/>
        <w:wordWrap/>
        <w:overflowPunct/>
        <w:topLinePunct w:val="0"/>
        <w:autoSpaceDE w:val="0"/>
        <w:autoSpaceDN w:val="0"/>
        <w:bidi w:val="0"/>
        <w:spacing w:line="240" w:lineRule="auto"/>
        <w:ind w:left="160" w:leftChars="50" w:right="160" w:rightChars="50" w:firstLine="250" w:firstLineChars="100"/>
        <w:jc w:val="righ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年</w:t>
      </w:r>
      <w:r>
        <w:rPr>
          <w:rFonts w:hint="eastAsia" w:ascii="宋体" w:hAnsi="宋体" w:eastAsia="宋体" w:cs="宋体"/>
          <w:color w:val="auto"/>
          <w:kern w:val="0"/>
          <w:sz w:val="21"/>
          <w:szCs w:val="21"/>
          <w:highlight w:val="none"/>
          <w:lang w:val="en-US" w:eastAsia="zh-CN"/>
        </w:rPr>
        <w:t xml:space="preserve"> </w:t>
      </w:r>
      <w:r>
        <w:rPr>
          <w:rFonts w:hint="eastAsia" w:ascii="宋体" w:hAnsi="宋体" w:eastAsia="宋体" w:cs="宋体"/>
          <w:color w:val="auto"/>
          <w:kern w:val="0"/>
          <w:sz w:val="21"/>
          <w:szCs w:val="21"/>
          <w:highlight w:val="none"/>
        </w:rPr>
        <w:t>月</w:t>
      </w:r>
      <w:r>
        <w:rPr>
          <w:rFonts w:hint="eastAsia" w:ascii="宋体" w:hAnsi="宋体" w:eastAsia="宋体" w:cs="宋体"/>
          <w:color w:val="auto"/>
          <w:kern w:val="0"/>
          <w:sz w:val="21"/>
          <w:szCs w:val="21"/>
          <w:highlight w:val="none"/>
          <w:lang w:val="en-US" w:eastAsia="zh-CN"/>
        </w:rPr>
        <w:t xml:space="preserve"> </w:t>
      </w:r>
      <w:r>
        <w:rPr>
          <w:rFonts w:hint="eastAsia" w:ascii="宋体" w:hAnsi="宋体" w:eastAsia="宋体" w:cs="宋体"/>
          <w:color w:val="auto"/>
          <w:kern w:val="0"/>
          <w:sz w:val="21"/>
          <w:szCs w:val="21"/>
          <w:highlight w:val="none"/>
        </w:rPr>
        <w:t>日</w:t>
      </w:r>
    </w:p>
    <w:p>
      <w:pPr>
        <w:keepNext w:val="0"/>
        <w:keepLines w:val="0"/>
        <w:pageBreakBefore w:val="0"/>
        <w:widowControl w:val="0"/>
        <w:kinsoku/>
        <w:wordWrap/>
        <w:overflowPunct/>
        <w:topLinePunct w:val="0"/>
        <w:autoSpaceDE w:val="0"/>
        <w:autoSpaceDN w:val="0"/>
        <w:bidi w:val="0"/>
        <w:spacing w:line="240" w:lineRule="auto"/>
        <w:ind w:left="160" w:leftChars="50" w:right="160" w:rightChars="50"/>
        <w:jc w:val="left"/>
        <w:textAlignment w:val="auto"/>
        <w:rPr>
          <w:rFonts w:hint="eastAsia" w:ascii="宋体" w:hAnsi="宋体" w:eastAsia="宋体" w:cs="宋体"/>
          <w:color w:val="auto"/>
          <w:kern w:val="0"/>
          <w:sz w:val="21"/>
          <w:szCs w:val="21"/>
          <w:highlight w:val="none"/>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36"/>
        <w:gridCol w:w="4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4036" w:type="dxa"/>
            <w:noWrap w:val="0"/>
            <w:vAlign w:val="top"/>
          </w:tcPr>
          <w:p>
            <w:pPr>
              <w:keepNext w:val="0"/>
              <w:keepLines w:val="0"/>
              <w:pageBreakBefore w:val="0"/>
              <w:widowControl w:val="0"/>
              <w:kinsoku/>
              <w:wordWrap/>
              <w:overflowPunct/>
              <w:topLinePunct w:val="0"/>
              <w:autoSpaceDE w:val="0"/>
              <w:autoSpaceDN w:val="0"/>
              <w:bidi w:val="0"/>
              <w:spacing w:line="240" w:lineRule="auto"/>
              <w:ind w:left="160" w:leftChars="50" w:right="160" w:rightChars="5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法定代表人身份证复印件或扫描件</w:t>
            </w:r>
          </w:p>
          <w:p>
            <w:pPr>
              <w:keepNext w:val="0"/>
              <w:keepLines w:val="0"/>
              <w:pageBreakBefore w:val="0"/>
              <w:widowControl w:val="0"/>
              <w:kinsoku/>
              <w:wordWrap/>
              <w:overflowPunct/>
              <w:topLinePunct w:val="0"/>
              <w:autoSpaceDE w:val="0"/>
              <w:autoSpaceDN w:val="0"/>
              <w:bidi w:val="0"/>
              <w:spacing w:line="240" w:lineRule="auto"/>
              <w:ind w:left="160" w:leftChars="50" w:right="160" w:rightChars="5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双面</w:t>
            </w:r>
          </w:p>
        </w:tc>
        <w:tc>
          <w:tcPr>
            <w:tcW w:w="4486" w:type="dxa"/>
            <w:noWrap w:val="0"/>
            <w:vAlign w:val="top"/>
          </w:tcPr>
          <w:p>
            <w:pPr>
              <w:keepNext w:val="0"/>
              <w:keepLines w:val="0"/>
              <w:pageBreakBefore w:val="0"/>
              <w:widowControl w:val="0"/>
              <w:kinsoku/>
              <w:wordWrap/>
              <w:overflowPunct/>
              <w:topLinePunct w:val="0"/>
              <w:autoSpaceDE w:val="0"/>
              <w:autoSpaceDN w:val="0"/>
              <w:bidi w:val="0"/>
              <w:spacing w:line="240" w:lineRule="auto"/>
              <w:ind w:left="160" w:leftChars="50" w:right="160" w:rightChars="5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委托代理人身份证复印件或扫描件</w:t>
            </w:r>
          </w:p>
          <w:p>
            <w:pPr>
              <w:keepNext w:val="0"/>
              <w:keepLines w:val="0"/>
              <w:pageBreakBefore w:val="0"/>
              <w:widowControl w:val="0"/>
              <w:kinsoku/>
              <w:wordWrap/>
              <w:overflowPunct/>
              <w:topLinePunct w:val="0"/>
              <w:autoSpaceDE w:val="0"/>
              <w:autoSpaceDN w:val="0"/>
              <w:bidi w:val="0"/>
              <w:spacing w:line="240" w:lineRule="auto"/>
              <w:ind w:left="160" w:leftChars="50" w:right="160" w:rightChars="5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双面</w:t>
            </w:r>
          </w:p>
        </w:tc>
      </w:tr>
    </w:tbl>
    <w:p>
      <w:pPr>
        <w:keepNext w:val="0"/>
        <w:keepLines w:val="0"/>
        <w:pageBreakBefore w:val="0"/>
        <w:widowControl w:val="0"/>
        <w:kinsoku/>
        <w:wordWrap/>
        <w:overflowPunct/>
        <w:topLinePunct w:val="0"/>
        <w:autoSpaceDE w:val="0"/>
        <w:autoSpaceDN w:val="0"/>
        <w:bidi w:val="0"/>
        <w:adjustRightInd w:val="0"/>
        <w:snapToGrid w:val="0"/>
        <w:spacing w:line="240" w:lineRule="auto"/>
        <w:ind w:left="160" w:leftChars="50" w:right="160" w:rightChars="50"/>
        <w:jc w:val="left"/>
        <w:textAlignment w:val="auto"/>
        <w:rPr>
          <w:rFonts w:hint="eastAsia" w:ascii="宋体" w:hAnsi="宋体" w:eastAsia="宋体" w:cs="宋体"/>
          <w:color w:val="auto"/>
          <w:kern w:val="0"/>
          <w:sz w:val="21"/>
          <w:szCs w:val="21"/>
          <w:highlight w:val="none"/>
        </w:rPr>
      </w:pPr>
    </w:p>
    <w:p>
      <w:pPr>
        <w:keepNext w:val="0"/>
        <w:keepLines w:val="0"/>
        <w:pageBreakBefore w:val="0"/>
        <w:widowControl w:val="0"/>
        <w:kinsoku/>
        <w:wordWrap/>
        <w:overflowPunct/>
        <w:topLinePunct w:val="0"/>
        <w:autoSpaceDE w:val="0"/>
        <w:autoSpaceDN w:val="0"/>
        <w:bidi w:val="0"/>
        <w:adjustRightInd w:val="0"/>
        <w:snapToGrid w:val="0"/>
        <w:spacing w:line="240" w:lineRule="auto"/>
        <w:ind w:left="160" w:leftChars="50" w:right="160" w:rightChars="5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注：</w:t>
      </w:r>
    </w:p>
    <w:p>
      <w:pPr>
        <w:keepNext w:val="0"/>
        <w:keepLines w:val="0"/>
        <w:pageBreakBefore w:val="0"/>
        <w:widowControl w:val="0"/>
        <w:kinsoku/>
        <w:wordWrap/>
        <w:overflowPunct/>
        <w:topLinePunct w:val="0"/>
        <w:autoSpaceDE w:val="0"/>
        <w:autoSpaceDN w:val="0"/>
        <w:bidi w:val="0"/>
        <w:adjustRightInd w:val="0"/>
        <w:snapToGrid w:val="0"/>
        <w:spacing w:line="240" w:lineRule="auto"/>
        <w:ind w:left="160" w:leftChars="50" w:right="160" w:rightChars="5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1、法定代表人参加投标活动并签署文件的不需要授权委托书，只需提供法定代表人身份证明；非法定代表人参加投标活动及签署文件的除提供法定代表人身份证明外还须提供授权委托书。</w:t>
      </w:r>
    </w:p>
    <w:p>
      <w:pPr>
        <w:keepNext w:val="0"/>
        <w:keepLines w:val="0"/>
        <w:pageBreakBefore w:val="0"/>
        <w:widowControl w:val="0"/>
        <w:kinsoku/>
        <w:wordWrap/>
        <w:overflowPunct/>
        <w:topLinePunct w:val="0"/>
        <w:bidi w:val="0"/>
        <w:spacing w:line="240" w:lineRule="auto"/>
        <w:ind w:left="160" w:leftChars="50" w:right="160" w:rightChars="5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2、法定代表人身份证明及授权委托书原件装入投标文件一并递交。</w:t>
      </w:r>
      <w:bookmarkStart w:id="19" w:name="_bookmark159"/>
      <w:bookmarkEnd w:id="19"/>
    </w:p>
    <w:p>
      <w:pPr>
        <w:widowControl/>
        <w:spacing w:line="360" w:lineRule="auto"/>
        <w:ind w:left="160" w:leftChars="50" w:right="160" w:rightChars="50"/>
        <w:jc w:val="left"/>
        <w:rPr>
          <w:rFonts w:hint="eastAsia" w:ascii="宋体" w:hAnsi="宋体" w:eastAsia="宋体" w:cs="宋体"/>
          <w:b/>
          <w:bCs/>
          <w:color w:val="auto"/>
          <w:kern w:val="0"/>
          <w:sz w:val="21"/>
          <w:szCs w:val="21"/>
          <w:highlight w:val="none"/>
        </w:rPr>
      </w:pPr>
      <w:bookmarkStart w:id="20" w:name="_bookmark160"/>
      <w:bookmarkEnd w:id="20"/>
      <w:bookmarkStart w:id="21" w:name="_Toc1725858"/>
      <w:bookmarkStart w:id="22" w:name="_Toc1725770"/>
    </w:p>
    <w:p>
      <w:pPr>
        <w:autoSpaceDE w:val="0"/>
        <w:autoSpaceDN w:val="0"/>
        <w:spacing w:line="360" w:lineRule="auto"/>
        <w:ind w:left="160" w:leftChars="50" w:right="160" w:rightChars="50" w:firstLine="500" w:firstLineChars="200"/>
        <w:jc w:val="center"/>
        <w:rPr>
          <w:rFonts w:hint="eastAsia" w:ascii="宋体" w:hAnsi="宋体" w:eastAsia="宋体" w:cs="宋体"/>
          <w:color w:val="auto"/>
          <w:sz w:val="21"/>
          <w:szCs w:val="21"/>
          <w:highlight w:val="yellow"/>
          <w:lang w:eastAsia="zh-CN"/>
        </w:rPr>
      </w:pPr>
      <w:bookmarkStart w:id="23" w:name="_Toc47017764"/>
      <w:bookmarkStart w:id="24" w:name="_Toc12160"/>
      <w:r>
        <w:rPr>
          <w:rFonts w:hint="eastAsia" w:ascii="宋体" w:hAnsi="宋体" w:eastAsia="宋体" w:cs="宋体"/>
          <w:b/>
          <w:bCs/>
          <w:color w:val="auto"/>
          <w:kern w:val="0"/>
          <w:sz w:val="21"/>
          <w:szCs w:val="21"/>
          <w:highlight w:val="none"/>
        </w:rPr>
        <w:br w:type="page"/>
      </w:r>
      <w:bookmarkEnd w:id="21"/>
      <w:bookmarkEnd w:id="22"/>
      <w:bookmarkEnd w:id="23"/>
      <w:bookmarkEnd w:id="24"/>
      <w:bookmarkStart w:id="25" w:name="_bookmark161"/>
      <w:bookmarkEnd w:id="25"/>
      <w:bookmarkStart w:id="26" w:name="_Toc1725772"/>
      <w:bookmarkStart w:id="27" w:name="_Toc1725860"/>
      <w:bookmarkStart w:id="28" w:name="_Toc13816"/>
      <w:bookmarkStart w:id="29" w:name="_Toc47017766"/>
      <w:r>
        <w:rPr>
          <w:rFonts w:hint="eastAsia" w:ascii="宋体" w:hAnsi="宋体" w:eastAsia="宋体" w:cs="宋体"/>
          <w:b/>
          <w:bCs/>
          <w:color w:val="auto"/>
          <w:sz w:val="21"/>
          <w:szCs w:val="21"/>
          <w:highlight w:val="none"/>
          <w:lang w:val="en-US" w:eastAsia="zh-CN"/>
        </w:rPr>
        <w:t>三</w:t>
      </w:r>
      <w:r>
        <w:rPr>
          <w:rFonts w:hint="eastAsia" w:ascii="宋体" w:hAnsi="宋体" w:eastAsia="宋体" w:cs="宋体"/>
          <w:b/>
          <w:bCs/>
          <w:color w:val="auto"/>
          <w:sz w:val="21"/>
          <w:szCs w:val="21"/>
          <w:highlight w:val="none"/>
        </w:rPr>
        <w:t>.</w:t>
      </w:r>
      <w:bookmarkEnd w:id="26"/>
      <w:bookmarkEnd w:id="27"/>
      <w:bookmarkEnd w:id="28"/>
      <w:r>
        <w:rPr>
          <w:rFonts w:hint="eastAsia" w:ascii="宋体" w:hAnsi="宋体" w:eastAsia="宋体" w:cs="宋体"/>
          <w:b/>
          <w:bCs/>
          <w:color w:val="auto"/>
          <w:sz w:val="21"/>
          <w:szCs w:val="21"/>
          <w:highlight w:val="none"/>
        </w:rPr>
        <w:t xml:space="preserve"> 投标货物分项报价明细表</w:t>
      </w:r>
      <w:bookmarkEnd w:id="29"/>
      <w:bookmarkStart w:id="30" w:name="_bookmark163"/>
      <w:bookmarkEnd w:id="30"/>
    </w:p>
    <w:p>
      <w:pPr>
        <w:keepNext w:val="0"/>
        <w:keepLines w:val="0"/>
        <w:pageBreakBefore w:val="0"/>
        <w:widowControl w:val="0"/>
        <w:kinsoku/>
        <w:wordWrap/>
        <w:overflowPunct/>
        <w:topLinePunct w:val="0"/>
        <w:bidi w:val="0"/>
        <w:adjustRightInd/>
        <w:snapToGrid/>
        <w:spacing w:line="240" w:lineRule="auto"/>
        <w:ind w:left="160" w:leftChars="50" w:right="160" w:rightChars="50" w:firstLine="420"/>
        <w:jc w:val="right"/>
        <w:textAlignment w:val="auto"/>
        <w:rPr>
          <w:rFonts w:hint="eastAsia" w:ascii="宋体" w:hAnsi="宋体" w:cs="宋体"/>
          <w:color w:val="auto"/>
          <w:szCs w:val="21"/>
          <w:highlight w:val="none"/>
        </w:rPr>
      </w:pPr>
    </w:p>
    <w:tbl>
      <w:tblPr>
        <w:tblStyle w:val="19"/>
        <w:tblW w:w="905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7"/>
        <w:gridCol w:w="1422"/>
        <w:gridCol w:w="1317"/>
        <w:gridCol w:w="885"/>
        <w:gridCol w:w="1170"/>
        <w:gridCol w:w="1680"/>
        <w:gridCol w:w="1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9056"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pacing w:val="-20"/>
                <w:sz w:val="21"/>
                <w:szCs w:val="21"/>
                <w:u w:val="none"/>
              </w:rPr>
            </w:pPr>
            <w:r>
              <w:rPr>
                <w:rFonts w:hint="eastAsia" w:ascii="宋体" w:hAnsi="宋体" w:eastAsia="宋体" w:cs="宋体"/>
                <w:b/>
                <w:bCs/>
                <w:i w:val="0"/>
                <w:iCs w:val="0"/>
                <w:color w:val="000000"/>
                <w:spacing w:val="-20"/>
                <w:kern w:val="0"/>
                <w:sz w:val="21"/>
                <w:szCs w:val="21"/>
                <w:u w:val="none"/>
                <w:lang w:val="en-US" w:eastAsia="zh-CN" w:bidi="ar"/>
              </w:rPr>
              <w:t>綦江区2022年丘陵山区高标准农田改造提升示范项目商品有机肥（袋装）采购报价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序号</w:t>
            </w:r>
          </w:p>
        </w:tc>
        <w:tc>
          <w:tcPr>
            <w:tcW w:w="1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名称</w:t>
            </w:r>
          </w:p>
        </w:tc>
        <w:tc>
          <w:tcPr>
            <w:tcW w:w="13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iCs w:val="0"/>
                <w:color w:val="000000"/>
                <w:spacing w:val="-20"/>
                <w:sz w:val="21"/>
                <w:szCs w:val="21"/>
                <w:u w:val="none"/>
                <w:lang w:val="en-US" w:eastAsia="zh-CN"/>
              </w:rPr>
            </w:pPr>
            <w:r>
              <w:rPr>
                <w:rFonts w:hint="eastAsia" w:ascii="宋体" w:hAnsi="宋体" w:eastAsia="宋体" w:cs="宋体"/>
                <w:i w:val="0"/>
                <w:iCs w:val="0"/>
                <w:color w:val="000000"/>
                <w:spacing w:val="-20"/>
                <w:sz w:val="21"/>
                <w:szCs w:val="21"/>
                <w:u w:val="none"/>
                <w:lang w:val="en-US" w:eastAsia="zh-CN"/>
              </w:rPr>
              <w:t>规格</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单位</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数量</w:t>
            </w:r>
          </w:p>
        </w:tc>
        <w:tc>
          <w:tcPr>
            <w:tcW w:w="16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单价（元）</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合价（元）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6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有机肥</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符合《有机有机肥NY/T 525-2021》</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iCs w:val="0"/>
                <w:color w:val="000000"/>
                <w:spacing w:val="-20"/>
                <w:sz w:val="21"/>
                <w:szCs w:val="21"/>
                <w:u w:val="none"/>
                <w:lang w:val="en-US" w:eastAsia="zh-CN"/>
              </w:rPr>
            </w:pPr>
            <w:r>
              <w:rPr>
                <w:rFonts w:hint="eastAsia" w:ascii="宋体" w:hAnsi="宋体" w:eastAsia="宋体" w:cs="宋体"/>
                <w:i w:val="0"/>
                <w:iCs w:val="0"/>
                <w:color w:val="000000"/>
                <w:spacing w:val="-20"/>
                <w:sz w:val="21"/>
                <w:szCs w:val="21"/>
                <w:u w:val="none"/>
                <w:lang w:val="en-US" w:eastAsia="zh-CN"/>
              </w:rPr>
              <w:t>t</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iCs w:val="0"/>
                <w:color w:val="000000"/>
                <w:spacing w:val="-20"/>
                <w:sz w:val="21"/>
                <w:szCs w:val="21"/>
                <w:u w:val="none"/>
                <w:lang w:val="en-US"/>
              </w:rPr>
            </w:pPr>
            <w:r>
              <w:rPr>
                <w:rFonts w:hint="eastAsia" w:ascii="宋体" w:hAnsi="宋体" w:eastAsia="宋体" w:cs="宋体"/>
                <w:i w:val="0"/>
                <w:iCs w:val="0"/>
                <w:color w:val="000000"/>
                <w:spacing w:val="-20"/>
                <w:kern w:val="0"/>
                <w:sz w:val="21"/>
                <w:szCs w:val="21"/>
                <w:u w:val="none"/>
                <w:lang w:val="en-US" w:eastAsia="zh-CN" w:bidi="ar"/>
              </w:rPr>
              <w:t>2370</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iCs w:val="0"/>
                <w:color w:val="000000"/>
                <w:spacing w:val="-20"/>
                <w:sz w:val="21"/>
                <w:szCs w:val="21"/>
                <w:u w:val="none"/>
                <w:lang w:val="en-US"/>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iCs w:val="0"/>
                <w:color w:val="000000"/>
                <w:spacing w:val="-20"/>
                <w:sz w:val="21"/>
                <w:szCs w:val="21"/>
                <w:u w:val="none"/>
                <w:lang w:val="en-US" w:eastAsia="zh-CN"/>
              </w:rPr>
            </w:pPr>
          </w:p>
        </w:tc>
      </w:tr>
    </w:tbl>
    <w:p>
      <w:pPr>
        <w:keepNext w:val="0"/>
        <w:keepLines w:val="0"/>
        <w:pageBreakBefore w:val="0"/>
        <w:widowControl w:val="0"/>
        <w:kinsoku/>
        <w:wordWrap/>
        <w:overflowPunct/>
        <w:topLinePunct w:val="0"/>
        <w:bidi w:val="0"/>
        <w:adjustRightInd/>
        <w:snapToGrid/>
        <w:spacing w:line="240" w:lineRule="auto"/>
        <w:ind w:left="160" w:leftChars="50" w:right="160" w:rightChars="50" w:firstLine="420"/>
        <w:jc w:val="right"/>
        <w:textAlignment w:val="auto"/>
        <w:rPr>
          <w:rFonts w:hint="eastAsia" w:ascii="宋体" w:hAnsi="宋体" w:cs="宋体"/>
          <w:color w:val="auto"/>
          <w:szCs w:val="21"/>
          <w:highlight w:val="none"/>
        </w:rPr>
      </w:pPr>
    </w:p>
    <w:p>
      <w:pPr>
        <w:keepNext w:val="0"/>
        <w:keepLines w:val="0"/>
        <w:pageBreakBefore w:val="0"/>
        <w:widowControl w:val="0"/>
        <w:kinsoku/>
        <w:wordWrap/>
        <w:overflowPunct/>
        <w:topLinePunct w:val="0"/>
        <w:bidi w:val="0"/>
        <w:adjustRightInd/>
        <w:snapToGrid/>
        <w:spacing w:line="240" w:lineRule="auto"/>
        <w:ind w:left="160" w:leftChars="50" w:right="160" w:rightChars="50" w:firstLine="420"/>
        <w:jc w:val="right"/>
        <w:textAlignment w:val="auto"/>
        <w:rPr>
          <w:rFonts w:hint="eastAsia" w:ascii="宋体" w:hAnsi="宋体" w:cs="宋体"/>
          <w:color w:val="auto"/>
          <w:szCs w:val="21"/>
          <w:highlight w:val="none"/>
        </w:rPr>
      </w:pPr>
    </w:p>
    <w:p>
      <w:pPr>
        <w:keepNext w:val="0"/>
        <w:keepLines w:val="0"/>
        <w:pageBreakBefore w:val="0"/>
        <w:widowControl w:val="0"/>
        <w:kinsoku/>
        <w:wordWrap/>
        <w:overflowPunct/>
        <w:topLinePunct w:val="0"/>
        <w:bidi w:val="0"/>
        <w:adjustRightInd/>
        <w:snapToGrid/>
        <w:spacing w:line="240" w:lineRule="auto"/>
        <w:ind w:left="160" w:leftChars="50" w:right="160" w:rightChars="50" w:firstLine="420"/>
        <w:jc w:val="right"/>
        <w:textAlignment w:val="auto"/>
        <w:rPr>
          <w:rFonts w:hint="eastAsia" w:ascii="宋体" w:hAnsi="宋体" w:eastAsia="宋体" w:cs="宋体"/>
          <w:color w:val="auto"/>
          <w:sz w:val="21"/>
          <w:szCs w:val="21"/>
          <w:highlight w:val="none"/>
        </w:rPr>
      </w:pPr>
      <w:r>
        <w:rPr>
          <w:rFonts w:hint="eastAsia" w:ascii="宋体" w:hAnsi="宋体" w:cs="宋体"/>
          <w:color w:val="auto"/>
          <w:szCs w:val="21"/>
          <w:highlight w:val="none"/>
        </w:rPr>
        <w:t xml:space="preserve"> </w:t>
      </w: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（盖单位公章）</w:t>
      </w:r>
    </w:p>
    <w:p>
      <w:pPr>
        <w:keepNext w:val="0"/>
        <w:keepLines w:val="0"/>
        <w:pageBreakBefore w:val="0"/>
        <w:widowControl w:val="0"/>
        <w:kinsoku/>
        <w:wordWrap/>
        <w:overflowPunct/>
        <w:topLinePunct w:val="0"/>
        <w:bidi w:val="0"/>
        <w:adjustRightInd/>
        <w:snapToGrid/>
        <w:spacing w:line="240" w:lineRule="auto"/>
        <w:ind w:left="160" w:leftChars="50" w:right="160" w:rightChars="50" w:firstLine="420"/>
        <w:jc w:val="righ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法定代表人或授权委托人：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（签字或盖章）</w:t>
      </w:r>
    </w:p>
    <w:p>
      <w:pPr>
        <w:keepNext w:val="0"/>
        <w:keepLines w:val="0"/>
        <w:pageBreakBefore w:val="0"/>
        <w:widowControl w:val="0"/>
        <w:kinsoku/>
        <w:wordWrap/>
        <w:overflowPunct/>
        <w:topLinePunct w:val="0"/>
        <w:autoSpaceDE w:val="0"/>
        <w:autoSpaceDN w:val="0"/>
        <w:bidi w:val="0"/>
        <w:adjustRightInd/>
        <w:snapToGrid/>
        <w:spacing w:line="240" w:lineRule="auto"/>
        <w:ind w:left="160" w:leftChars="50" w:right="160" w:rightChars="50" w:firstLine="250" w:firstLineChars="100"/>
        <w:jc w:val="righ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日期：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pStyle w:val="2"/>
        <w:rPr>
          <w:rFonts w:hint="default" w:eastAsia="宋体"/>
          <w:lang w:val="en-US" w:eastAsia="zh-CN"/>
        </w:rPr>
      </w:pPr>
      <w:r>
        <w:rPr>
          <w:rFonts w:hint="eastAsia" w:ascii="宋体" w:hAnsi="宋体" w:eastAsia="宋体" w:cs="宋体"/>
          <w:color w:val="auto"/>
          <w:sz w:val="21"/>
          <w:szCs w:val="21"/>
          <w:highlight w:val="none"/>
          <w:lang w:val="en-US" w:eastAsia="zh-CN"/>
        </w:rPr>
        <w:t>注：本表逐页加盖公章或签字。</w:t>
      </w:r>
    </w:p>
    <w:p>
      <w:pPr>
        <w:pStyle w:val="11"/>
        <w:spacing w:after="0" w:line="360" w:lineRule="auto"/>
        <w:ind w:left="854" w:leftChars="50" w:right="160" w:rightChars="50" w:hanging="694" w:hangingChars="278"/>
        <w:jc w:val="center"/>
        <w:rPr>
          <w:rFonts w:hint="eastAsia" w:ascii="宋体" w:hAnsi="宋体" w:eastAsia="宋体" w:cs="宋体"/>
          <w:b/>
          <w:bCs/>
          <w:color w:val="auto"/>
          <w:kern w:val="0"/>
          <w:sz w:val="21"/>
          <w:szCs w:val="21"/>
          <w:highlight w:val="none"/>
        </w:rPr>
      </w:pPr>
      <w:r>
        <w:rPr>
          <w:rFonts w:hint="eastAsia" w:ascii="宋体" w:hAnsi="宋体" w:eastAsia="宋体" w:cs="宋体"/>
          <w:color w:val="auto"/>
          <w:kern w:val="0"/>
          <w:sz w:val="21"/>
          <w:szCs w:val="21"/>
          <w:highlight w:val="none"/>
        </w:rPr>
        <w:br w:type="page"/>
      </w:r>
      <w:bookmarkStart w:id="31" w:name="_Toc1725773"/>
      <w:bookmarkStart w:id="32" w:name="_Toc47017767"/>
      <w:bookmarkStart w:id="33" w:name="_Toc1725861"/>
      <w:bookmarkStart w:id="34" w:name="_Toc11270"/>
      <w:r>
        <w:rPr>
          <w:rFonts w:hint="eastAsia" w:ascii="宋体" w:hAnsi="宋体" w:eastAsia="宋体" w:cs="宋体"/>
          <w:b/>
          <w:bCs/>
          <w:color w:val="auto"/>
          <w:kern w:val="0"/>
          <w:sz w:val="21"/>
          <w:szCs w:val="21"/>
          <w:highlight w:val="none"/>
          <w:lang w:val="en-US" w:eastAsia="zh-CN"/>
        </w:rPr>
        <w:t>四</w:t>
      </w:r>
      <w:r>
        <w:rPr>
          <w:rFonts w:hint="eastAsia" w:ascii="宋体" w:hAnsi="宋体" w:eastAsia="宋体" w:cs="宋体"/>
          <w:b/>
          <w:bCs/>
          <w:color w:val="auto"/>
          <w:kern w:val="0"/>
          <w:sz w:val="21"/>
          <w:szCs w:val="21"/>
          <w:highlight w:val="none"/>
        </w:rPr>
        <w:t>.资格审查资料</w:t>
      </w:r>
      <w:bookmarkEnd w:id="31"/>
      <w:bookmarkEnd w:id="32"/>
      <w:bookmarkEnd w:id="33"/>
      <w:bookmarkEnd w:id="34"/>
    </w:p>
    <w:p>
      <w:pPr>
        <w:autoSpaceDE w:val="0"/>
        <w:autoSpaceDN w:val="0"/>
        <w:spacing w:line="360" w:lineRule="auto"/>
        <w:ind w:left="160" w:leftChars="50" w:right="160" w:rightChars="50"/>
        <w:jc w:val="left"/>
        <w:rPr>
          <w:rFonts w:hint="eastAsia" w:ascii="宋体" w:hAnsi="宋体" w:eastAsia="宋体" w:cs="宋体"/>
          <w:b/>
          <w:color w:val="auto"/>
          <w:kern w:val="0"/>
          <w:sz w:val="21"/>
          <w:szCs w:val="21"/>
          <w:highlight w:val="none"/>
        </w:rPr>
      </w:pPr>
    </w:p>
    <w:p>
      <w:pPr>
        <w:widowControl/>
        <w:spacing w:line="360" w:lineRule="auto"/>
        <w:ind w:left="160" w:leftChars="50" w:right="160" w:rightChars="50"/>
        <w:jc w:val="center"/>
        <w:rPr>
          <w:rFonts w:hint="eastAsia" w:ascii="宋体" w:hAnsi="宋体" w:eastAsia="宋体" w:cs="宋体"/>
          <w:color w:val="auto"/>
          <w:kern w:val="0"/>
          <w:sz w:val="21"/>
          <w:szCs w:val="21"/>
          <w:highlight w:val="none"/>
        </w:rPr>
      </w:pPr>
      <w:bookmarkStart w:id="35" w:name="_bookmark164"/>
      <w:bookmarkEnd w:id="35"/>
      <w:r>
        <w:rPr>
          <w:rFonts w:hint="eastAsia" w:ascii="宋体" w:hAnsi="宋体" w:eastAsia="宋体" w:cs="宋体"/>
          <w:color w:val="auto"/>
          <w:kern w:val="0"/>
          <w:sz w:val="21"/>
          <w:szCs w:val="21"/>
          <w:highlight w:val="none"/>
        </w:rPr>
        <w:br w:type="page"/>
      </w:r>
      <w:bookmarkStart w:id="36" w:name="_Toc1725775"/>
      <w:r>
        <w:rPr>
          <w:rFonts w:hint="eastAsia" w:ascii="宋体" w:hAnsi="宋体" w:eastAsia="宋体" w:cs="宋体"/>
          <w:color w:val="auto"/>
          <w:kern w:val="0"/>
          <w:sz w:val="21"/>
          <w:szCs w:val="21"/>
          <w:highlight w:val="none"/>
        </w:rPr>
        <w:t>（1）营业执照</w:t>
      </w:r>
      <w:bookmarkEnd w:id="36"/>
    </w:p>
    <w:p>
      <w:pPr>
        <w:autoSpaceDE w:val="0"/>
        <w:autoSpaceDN w:val="0"/>
        <w:spacing w:line="360" w:lineRule="auto"/>
        <w:ind w:left="160" w:leftChars="50" w:right="160" w:rightChars="50"/>
        <w:jc w:val="left"/>
        <w:outlineLvl w:val="2"/>
        <w:rPr>
          <w:rFonts w:hint="eastAsia" w:ascii="宋体" w:hAnsi="宋体" w:eastAsia="宋体" w:cs="宋体"/>
          <w:color w:val="auto"/>
          <w:kern w:val="0"/>
          <w:sz w:val="21"/>
          <w:szCs w:val="21"/>
          <w:highlight w:val="none"/>
        </w:rPr>
      </w:pPr>
    </w:p>
    <w:p>
      <w:pPr>
        <w:widowControl/>
        <w:spacing w:line="360" w:lineRule="auto"/>
        <w:ind w:left="160" w:leftChars="50" w:right="160" w:rightChars="50"/>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br w:type="page"/>
      </w:r>
      <w:bookmarkStart w:id="37" w:name="_Toc1725776"/>
      <w:r>
        <w:rPr>
          <w:rFonts w:hint="eastAsia" w:ascii="宋体" w:hAnsi="宋体" w:eastAsia="宋体" w:cs="宋体"/>
          <w:color w:val="auto"/>
          <w:kern w:val="0"/>
          <w:sz w:val="21"/>
          <w:szCs w:val="21"/>
          <w:highlight w:val="none"/>
        </w:rPr>
        <w:t>（2）</w:t>
      </w:r>
      <w:bookmarkEnd w:id="37"/>
      <w:r>
        <w:rPr>
          <w:rFonts w:hint="eastAsia" w:ascii="宋体" w:hAnsi="宋体" w:eastAsia="宋体" w:cs="宋体"/>
          <w:color w:val="auto"/>
          <w:kern w:val="0"/>
          <w:sz w:val="21"/>
          <w:szCs w:val="21"/>
          <w:highlight w:val="none"/>
          <w:lang w:val="en-US" w:eastAsia="zh-CN"/>
        </w:rPr>
        <w:t>登记证</w:t>
      </w:r>
    </w:p>
    <w:p>
      <w:pPr>
        <w:autoSpaceDE w:val="0"/>
        <w:autoSpaceDN w:val="0"/>
        <w:spacing w:line="360" w:lineRule="auto"/>
        <w:ind w:left="160" w:leftChars="50" w:right="160" w:rightChars="50"/>
        <w:jc w:val="left"/>
        <w:outlineLvl w:val="2"/>
        <w:rPr>
          <w:rFonts w:hint="eastAsia" w:ascii="宋体" w:hAnsi="宋体" w:eastAsia="宋体" w:cs="宋体"/>
          <w:color w:val="auto"/>
          <w:kern w:val="0"/>
          <w:sz w:val="21"/>
          <w:szCs w:val="21"/>
          <w:highlight w:val="none"/>
        </w:rPr>
      </w:pPr>
    </w:p>
    <w:p>
      <w:pPr>
        <w:autoSpaceDE w:val="0"/>
        <w:autoSpaceDN w:val="0"/>
        <w:spacing w:line="360" w:lineRule="auto"/>
        <w:ind w:left="160" w:leftChars="50" w:right="160" w:rightChars="50"/>
        <w:jc w:val="left"/>
        <w:rPr>
          <w:rFonts w:hint="eastAsia" w:ascii="宋体" w:hAnsi="宋体" w:eastAsia="宋体" w:cs="宋体"/>
          <w:color w:val="auto"/>
          <w:kern w:val="0"/>
          <w:sz w:val="21"/>
          <w:szCs w:val="21"/>
          <w:highlight w:val="none"/>
        </w:rPr>
      </w:pPr>
    </w:p>
    <w:p>
      <w:pPr>
        <w:autoSpaceDE w:val="0"/>
        <w:autoSpaceDN w:val="0"/>
        <w:spacing w:line="360" w:lineRule="auto"/>
        <w:ind w:left="160" w:leftChars="50" w:right="160" w:rightChars="50"/>
        <w:jc w:val="left"/>
        <w:outlineLvl w:val="2"/>
        <w:rPr>
          <w:rFonts w:hint="eastAsia" w:ascii="宋体" w:hAnsi="宋体" w:eastAsia="宋体" w:cs="宋体"/>
          <w:color w:val="auto"/>
          <w:kern w:val="0"/>
          <w:sz w:val="21"/>
          <w:szCs w:val="21"/>
          <w:highlight w:val="none"/>
        </w:rPr>
      </w:pPr>
    </w:p>
    <w:p>
      <w:pPr>
        <w:autoSpaceDE w:val="0"/>
        <w:autoSpaceDN w:val="0"/>
        <w:spacing w:line="360" w:lineRule="auto"/>
        <w:ind w:left="160" w:leftChars="50" w:right="160" w:rightChars="50"/>
        <w:jc w:val="left"/>
        <w:rPr>
          <w:rFonts w:hint="eastAsia" w:ascii="宋体" w:hAnsi="宋体" w:eastAsia="宋体" w:cs="宋体"/>
          <w:color w:val="auto"/>
          <w:kern w:val="0"/>
          <w:sz w:val="21"/>
          <w:szCs w:val="21"/>
          <w:highlight w:val="none"/>
        </w:rPr>
      </w:pPr>
    </w:p>
    <w:p>
      <w:pPr>
        <w:widowControl/>
        <w:spacing w:line="360" w:lineRule="auto"/>
        <w:ind w:left="160" w:leftChars="50" w:right="160" w:rightChars="5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br w:type="page"/>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en-US" w:eastAsia="zh-CN"/>
        </w:rPr>
        <w:t>产品检验报告</w:t>
      </w:r>
      <w:r>
        <w:rPr>
          <w:rFonts w:hint="eastAsia" w:ascii="宋体" w:hAnsi="宋体" w:eastAsia="宋体" w:cs="宋体"/>
          <w:color w:val="auto"/>
          <w:kern w:val="0"/>
          <w:sz w:val="21"/>
          <w:szCs w:val="21"/>
          <w:highlight w:val="none"/>
        </w:rPr>
        <w:br w:type="page"/>
      </w:r>
      <w:bookmarkStart w:id="38" w:name="_bookmark166"/>
      <w:bookmarkEnd w:id="38"/>
      <w:bookmarkStart w:id="39" w:name="_Toc1725781"/>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信誉要求</w:t>
      </w:r>
      <w:bookmarkEnd w:id="39"/>
    </w:p>
    <w:p>
      <w:pPr>
        <w:spacing w:line="360" w:lineRule="auto"/>
        <w:ind w:left="160" w:leftChars="50" w:right="160" w:rightChars="50" w:firstLine="562"/>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信誉声明</w:t>
      </w:r>
    </w:p>
    <w:p>
      <w:pPr>
        <w:spacing w:line="360" w:lineRule="auto"/>
        <w:ind w:left="160" w:leftChars="50" w:right="160" w:rightChars="5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 xml:space="preserve">           （招标人）          </w:t>
      </w:r>
    </w:p>
    <w:p>
      <w:pPr>
        <w:tabs>
          <w:tab w:val="left" w:pos="0"/>
        </w:tabs>
        <w:adjustRightInd w:val="0"/>
        <w:snapToGrid w:val="0"/>
        <w:spacing w:line="360" w:lineRule="auto"/>
        <w:ind w:left="160" w:leftChars="50" w:right="160" w:rightChars="50"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兹声明本公司商业信誉良好，在</w:t>
      </w:r>
      <w:r>
        <w:rPr>
          <w:rFonts w:hint="eastAsia" w:ascii="宋体" w:hAnsi="宋体" w:eastAsia="宋体" w:cs="宋体"/>
          <w:color w:val="auto"/>
          <w:sz w:val="21"/>
          <w:szCs w:val="21"/>
          <w:highlight w:val="none"/>
          <w:lang w:eastAsia="zh-CN"/>
        </w:rPr>
        <w:t>2020年3月1日</w:t>
      </w:r>
      <w:r>
        <w:rPr>
          <w:rFonts w:hint="eastAsia" w:ascii="宋体" w:hAnsi="宋体" w:eastAsia="宋体" w:cs="宋体"/>
          <w:color w:val="auto"/>
          <w:sz w:val="21"/>
          <w:szCs w:val="21"/>
          <w:highlight w:val="none"/>
        </w:rPr>
        <w:t>至今</w:t>
      </w:r>
      <w:r>
        <w:rPr>
          <w:rFonts w:hint="eastAsia" w:ascii="宋体" w:hAnsi="宋体" w:eastAsia="宋体" w:cs="宋体"/>
          <w:color w:val="auto"/>
          <w:sz w:val="21"/>
          <w:szCs w:val="21"/>
          <w:highlight w:val="none"/>
          <w:lang w:eastAsia="zh-CN"/>
        </w:rPr>
        <w:t>不存在以下行为</w:t>
      </w:r>
      <w:r>
        <w:rPr>
          <w:rFonts w:hint="eastAsia" w:ascii="宋体" w:hAnsi="宋体" w:eastAsia="宋体" w:cs="宋体"/>
          <w:color w:val="auto"/>
          <w:sz w:val="21"/>
          <w:szCs w:val="21"/>
          <w:highlight w:val="none"/>
        </w:rPr>
        <w:t>：</w:t>
      </w:r>
    </w:p>
    <w:p>
      <w:pPr>
        <w:widowControl/>
        <w:autoSpaceDE w:val="0"/>
        <w:autoSpaceDN w:val="0"/>
        <w:snapToGrid w:val="0"/>
        <w:spacing w:line="360" w:lineRule="auto"/>
        <w:ind w:left="160" w:leftChars="50" w:right="160" w:rightChars="50" w:firstLine="422"/>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（1）与招标人存在利害关系且可能影响招标公正性；</w:t>
      </w:r>
    </w:p>
    <w:p>
      <w:pPr>
        <w:widowControl/>
        <w:autoSpaceDE w:val="0"/>
        <w:autoSpaceDN w:val="0"/>
        <w:snapToGrid w:val="0"/>
        <w:spacing w:line="360" w:lineRule="auto"/>
        <w:ind w:left="160" w:leftChars="50" w:right="160" w:rightChars="50" w:firstLine="422"/>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（2）与本招标项目的其他投标人为同一个单位负责人；</w:t>
      </w:r>
    </w:p>
    <w:p>
      <w:pPr>
        <w:widowControl/>
        <w:autoSpaceDE w:val="0"/>
        <w:autoSpaceDN w:val="0"/>
        <w:snapToGrid w:val="0"/>
        <w:spacing w:line="360" w:lineRule="auto"/>
        <w:ind w:left="160" w:leftChars="50" w:right="160" w:rightChars="50" w:firstLine="422"/>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（3）与本招标项目的其他投标人存在控股、管理关系；</w:t>
      </w:r>
    </w:p>
    <w:p>
      <w:pPr>
        <w:widowControl/>
        <w:autoSpaceDE w:val="0"/>
        <w:autoSpaceDN w:val="0"/>
        <w:snapToGrid w:val="0"/>
        <w:spacing w:line="360" w:lineRule="auto"/>
        <w:ind w:left="160" w:leftChars="50" w:right="160" w:rightChars="50" w:firstLine="422"/>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（4）为本招标项目提供过设计、编制技术规范和其他文件的咨询服务；</w:t>
      </w:r>
    </w:p>
    <w:p>
      <w:pPr>
        <w:widowControl/>
        <w:autoSpaceDE w:val="0"/>
        <w:autoSpaceDN w:val="0"/>
        <w:snapToGrid w:val="0"/>
        <w:spacing w:line="360" w:lineRule="auto"/>
        <w:ind w:left="160" w:leftChars="50" w:right="160" w:rightChars="50" w:firstLine="422"/>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（5）被依法暂停或者取消投标资格；</w:t>
      </w:r>
    </w:p>
    <w:p>
      <w:pPr>
        <w:widowControl/>
        <w:autoSpaceDE w:val="0"/>
        <w:autoSpaceDN w:val="0"/>
        <w:snapToGrid w:val="0"/>
        <w:spacing w:line="360" w:lineRule="auto"/>
        <w:ind w:left="160" w:leftChars="50" w:right="160" w:rightChars="50" w:firstLine="422"/>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（6）被责令停产停业、暂扣或者吊销许可证、暂扣或者吊销执照；</w:t>
      </w:r>
    </w:p>
    <w:p>
      <w:pPr>
        <w:widowControl/>
        <w:autoSpaceDE w:val="0"/>
        <w:autoSpaceDN w:val="0"/>
        <w:snapToGrid w:val="0"/>
        <w:spacing w:line="360" w:lineRule="auto"/>
        <w:ind w:left="160" w:leftChars="50" w:right="160" w:rightChars="50" w:firstLine="422"/>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（7）进入清算程序，或被宣告破产；</w:t>
      </w:r>
    </w:p>
    <w:p>
      <w:pPr>
        <w:widowControl/>
        <w:autoSpaceDE w:val="0"/>
        <w:autoSpaceDN w:val="0"/>
        <w:snapToGrid w:val="0"/>
        <w:spacing w:line="360" w:lineRule="auto"/>
        <w:ind w:left="160" w:leftChars="50" w:right="160" w:rightChars="50" w:firstLine="422"/>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（8）被工商行政管理机关在全国企业信用信息公示系统中列入严重违法失信企业名单；</w:t>
      </w:r>
    </w:p>
    <w:p>
      <w:pPr>
        <w:widowControl/>
        <w:autoSpaceDE w:val="0"/>
        <w:autoSpaceDN w:val="0"/>
        <w:snapToGrid w:val="0"/>
        <w:spacing w:line="360" w:lineRule="auto"/>
        <w:ind w:left="160" w:leftChars="50" w:right="160" w:rightChars="50" w:firstLine="422"/>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（9）被最高人民法院在“信用中国”网站（</w:t>
      </w:r>
      <w:r>
        <w:rPr>
          <w:rFonts w:hint="eastAsia" w:ascii="宋体" w:hAnsi="宋体" w:eastAsia="宋体" w:cs="宋体"/>
          <w:color w:val="auto"/>
          <w:kern w:val="0"/>
          <w:sz w:val="21"/>
          <w:szCs w:val="21"/>
          <w:highlight w:val="none"/>
        </w:rPr>
        <w:fldChar w:fldCharType="begin"/>
      </w:r>
      <w:r>
        <w:rPr>
          <w:rFonts w:hint="eastAsia" w:ascii="宋体" w:hAnsi="宋体" w:eastAsia="宋体" w:cs="宋体"/>
          <w:color w:val="auto"/>
          <w:kern w:val="0"/>
          <w:sz w:val="21"/>
          <w:szCs w:val="21"/>
          <w:highlight w:val="none"/>
        </w:rPr>
        <w:instrText xml:space="preserve"> HYPERLINK "http://www.creditchina.gov.cn/" \h </w:instrText>
      </w:r>
      <w:r>
        <w:rPr>
          <w:rFonts w:hint="eastAsia" w:ascii="宋体" w:hAnsi="宋体" w:eastAsia="宋体" w:cs="宋体"/>
          <w:color w:val="auto"/>
          <w:kern w:val="0"/>
          <w:sz w:val="21"/>
          <w:szCs w:val="21"/>
          <w:highlight w:val="none"/>
        </w:rPr>
        <w:fldChar w:fldCharType="separate"/>
      </w:r>
      <w:r>
        <w:rPr>
          <w:rFonts w:hint="eastAsia" w:ascii="宋体" w:hAnsi="宋体" w:eastAsia="宋体" w:cs="宋体"/>
          <w:color w:val="auto"/>
          <w:kern w:val="0"/>
          <w:sz w:val="21"/>
          <w:szCs w:val="21"/>
          <w:highlight w:val="none"/>
        </w:rPr>
        <w:t>www.creditchina.gov.cn</w:t>
      </w:r>
      <w:r>
        <w:rPr>
          <w:rFonts w:hint="eastAsia" w:ascii="宋体" w:hAnsi="宋体" w:eastAsia="宋体" w:cs="宋体"/>
          <w:color w:val="auto"/>
          <w:kern w:val="0"/>
          <w:sz w:val="21"/>
          <w:szCs w:val="21"/>
          <w:highlight w:val="none"/>
        </w:rPr>
        <w:fldChar w:fldCharType="end"/>
      </w:r>
      <w:r>
        <w:rPr>
          <w:rFonts w:hint="eastAsia" w:ascii="宋体" w:hAnsi="宋体" w:eastAsia="宋体" w:cs="宋体"/>
          <w:color w:val="auto"/>
          <w:kern w:val="0"/>
          <w:sz w:val="21"/>
          <w:szCs w:val="21"/>
          <w:highlight w:val="none"/>
        </w:rPr>
        <w:t>）中列入失信被执行人名单；</w:t>
      </w:r>
    </w:p>
    <w:p>
      <w:pPr>
        <w:widowControl/>
        <w:autoSpaceDE w:val="0"/>
        <w:autoSpaceDN w:val="0"/>
        <w:snapToGrid w:val="0"/>
        <w:spacing w:line="360" w:lineRule="auto"/>
        <w:ind w:left="160" w:leftChars="50" w:right="160" w:rightChars="50" w:firstLine="422"/>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（10）受到质量监管部门行政处罚；</w:t>
      </w:r>
    </w:p>
    <w:p>
      <w:pPr>
        <w:widowControl/>
        <w:autoSpaceDE w:val="0"/>
        <w:autoSpaceDN w:val="0"/>
        <w:snapToGrid w:val="0"/>
        <w:spacing w:line="360" w:lineRule="auto"/>
        <w:ind w:left="160" w:leftChars="50" w:right="160" w:rightChars="50" w:firstLine="422"/>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11</w:t>
      </w:r>
      <w:r>
        <w:rPr>
          <w:rFonts w:hint="eastAsia" w:ascii="宋体" w:hAnsi="宋体" w:eastAsia="宋体" w:cs="宋体"/>
          <w:color w:val="auto"/>
          <w:kern w:val="0"/>
          <w:sz w:val="21"/>
          <w:szCs w:val="21"/>
          <w:highlight w:val="none"/>
          <w:lang w:eastAsia="zh-CN"/>
        </w:rPr>
        <w:t>）法律法规规定的其它情形。</w:t>
      </w:r>
    </w:p>
    <w:p>
      <w:pPr>
        <w:widowControl/>
        <w:autoSpaceDE w:val="0"/>
        <w:autoSpaceDN w:val="0"/>
        <w:snapToGrid w:val="0"/>
        <w:spacing w:line="360" w:lineRule="auto"/>
        <w:ind w:left="160" w:leftChars="50" w:right="160" w:rightChars="50" w:firstLine="422"/>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本公司了解，虚假声明是严重的违法行为。本声明如有虚假，本公司愿意接受有关法律、法规和规章给予的处罚，并自愿承担被取消投标、中标资格、</w:t>
      </w:r>
      <w:r>
        <w:rPr>
          <w:rFonts w:hint="eastAsia" w:ascii="宋体" w:hAnsi="宋体" w:eastAsia="宋体" w:cs="宋体"/>
          <w:color w:val="auto"/>
          <w:kern w:val="0"/>
          <w:sz w:val="21"/>
          <w:szCs w:val="21"/>
          <w:highlight w:val="none"/>
          <w:lang w:eastAsia="zh-CN"/>
        </w:rPr>
        <w:t>投标保证金不予退还</w:t>
      </w:r>
      <w:r>
        <w:rPr>
          <w:rFonts w:hint="eastAsia" w:ascii="宋体" w:hAnsi="宋体" w:eastAsia="宋体" w:cs="宋体"/>
          <w:color w:val="auto"/>
          <w:kern w:val="0"/>
          <w:sz w:val="21"/>
          <w:szCs w:val="21"/>
          <w:highlight w:val="none"/>
        </w:rPr>
        <w:t>、解除合同以及赔偿本项目招标人损失的后果。</w:t>
      </w:r>
    </w:p>
    <w:p>
      <w:pPr>
        <w:widowControl/>
        <w:spacing w:line="360" w:lineRule="auto"/>
        <w:ind w:left="160" w:leftChars="50" w:right="160" w:rightChars="50" w:firstLine="42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特此声明。</w:t>
      </w:r>
    </w:p>
    <w:p>
      <w:pPr>
        <w:spacing w:line="360" w:lineRule="auto"/>
        <w:ind w:left="160" w:leftChars="50" w:right="160" w:rightChars="50" w:firstLine="420"/>
        <w:jc w:val="center"/>
        <w:rPr>
          <w:rFonts w:hint="eastAsia" w:ascii="宋体" w:hAnsi="宋体" w:eastAsia="宋体" w:cs="宋体"/>
          <w:color w:val="auto"/>
          <w:sz w:val="21"/>
          <w:szCs w:val="21"/>
          <w:highlight w:val="none"/>
        </w:rPr>
      </w:pPr>
      <w:bookmarkStart w:id="40" w:name="_bookmark168"/>
      <w:bookmarkEnd w:id="40"/>
      <w:r>
        <w:rPr>
          <w:rFonts w:hint="eastAsia" w:ascii="宋体" w:hAnsi="宋体" w:eastAsia="宋体" w:cs="宋体"/>
          <w:color w:val="auto"/>
          <w:sz w:val="21"/>
          <w:szCs w:val="21"/>
          <w:highlight w:val="none"/>
        </w:rPr>
        <w:t xml:space="preserve">              投标人：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（盖单位公章）</w:t>
      </w:r>
    </w:p>
    <w:p>
      <w:pPr>
        <w:spacing w:line="360" w:lineRule="auto"/>
        <w:ind w:left="160" w:leftChars="50" w:right="160" w:rightChars="50" w:firstLine="42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法定代表人或授权委托人：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（签字或盖章）</w:t>
      </w:r>
    </w:p>
    <w:p>
      <w:pPr>
        <w:autoSpaceDE w:val="0"/>
        <w:autoSpaceDN w:val="0"/>
        <w:spacing w:line="360" w:lineRule="auto"/>
        <w:ind w:left="2660" w:leftChars="50" w:right="160" w:rightChars="50" w:hanging="2500" w:hangingChars="1000"/>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日期：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widowControl/>
        <w:spacing w:line="360" w:lineRule="auto"/>
        <w:ind w:left="160" w:leftChars="50" w:right="160" w:rightChars="5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br w:type="page"/>
      </w:r>
    </w:p>
    <w:p>
      <w:pPr>
        <w:autoSpaceDE w:val="0"/>
        <w:autoSpaceDN w:val="0"/>
        <w:spacing w:line="360" w:lineRule="auto"/>
        <w:ind w:left="160" w:leftChars="50" w:right="160" w:rightChars="50"/>
        <w:jc w:val="center"/>
        <w:outlineLvl w:val="2"/>
        <w:rPr>
          <w:rFonts w:hint="eastAsia" w:ascii="宋体" w:hAnsi="宋体" w:eastAsia="宋体" w:cs="宋体"/>
          <w:color w:val="auto"/>
          <w:kern w:val="0"/>
          <w:sz w:val="21"/>
          <w:szCs w:val="21"/>
          <w:highlight w:val="none"/>
        </w:rPr>
      </w:pPr>
      <w:bookmarkStart w:id="41" w:name="_Toc1725783"/>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）其他资格审查资料</w:t>
      </w:r>
      <w:bookmarkEnd w:id="41"/>
    </w:p>
    <w:p>
      <w:pPr>
        <w:pStyle w:val="4"/>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br w:type="page"/>
      </w:r>
      <w:bookmarkStart w:id="42" w:name="_bookmark173"/>
      <w:bookmarkEnd w:id="42"/>
      <w:bookmarkStart w:id="43" w:name="_Toc1725787"/>
      <w:bookmarkStart w:id="44" w:name="_Toc47017768"/>
      <w:bookmarkStart w:id="45" w:name="_Toc20166"/>
      <w:bookmarkStart w:id="46" w:name="_Toc1725865"/>
      <w:bookmarkStart w:id="47" w:name="_Toc25150"/>
      <w:r>
        <w:rPr>
          <w:rFonts w:hint="eastAsia" w:ascii="宋体" w:hAnsi="宋体" w:eastAsia="宋体" w:cs="宋体"/>
          <w:b/>
          <w:bCs w:val="0"/>
          <w:color w:val="auto"/>
          <w:kern w:val="0"/>
          <w:sz w:val="21"/>
          <w:szCs w:val="21"/>
          <w:highlight w:val="none"/>
          <w:lang w:val="en-US" w:eastAsia="zh-CN"/>
        </w:rPr>
        <w:t>五</w:t>
      </w:r>
      <w:r>
        <w:rPr>
          <w:rFonts w:hint="eastAsia" w:ascii="宋体" w:hAnsi="宋体" w:eastAsia="宋体" w:cs="宋体"/>
          <w:b/>
          <w:bCs w:val="0"/>
          <w:color w:val="auto"/>
          <w:kern w:val="0"/>
          <w:sz w:val="21"/>
          <w:szCs w:val="21"/>
          <w:highlight w:val="none"/>
        </w:rPr>
        <w:t>.</w:t>
      </w:r>
      <w:bookmarkEnd w:id="43"/>
      <w:bookmarkEnd w:id="44"/>
      <w:bookmarkEnd w:id="45"/>
      <w:bookmarkEnd w:id="46"/>
      <w:r>
        <w:rPr>
          <w:rFonts w:hint="eastAsia" w:ascii="宋体" w:hAnsi="宋体" w:eastAsia="宋体" w:cs="宋体"/>
          <w:b/>
          <w:bCs w:val="0"/>
          <w:color w:val="auto"/>
          <w:sz w:val="21"/>
          <w:szCs w:val="21"/>
          <w:highlight w:val="none"/>
        </w:rPr>
        <w:t>其他资料</w:t>
      </w:r>
      <w:bookmarkEnd w:id="47"/>
    </w:p>
    <w:p>
      <w:pPr>
        <w:rPr>
          <w:rFonts w:hint="eastAsia" w:ascii="宋体" w:hAnsi="宋体" w:eastAsia="宋体" w:cs="宋体"/>
          <w:sz w:val="21"/>
          <w:szCs w:val="21"/>
        </w:rPr>
      </w:pPr>
    </w:p>
    <w:sectPr>
      <w:headerReference r:id="rId5" w:type="default"/>
      <w:footerReference r:id="rId6" w:type="default"/>
      <w:pgSz w:w="11906" w:h="16838"/>
      <w:pgMar w:top="1701" w:right="1247" w:bottom="1701" w:left="1361" w:header="851" w:footer="992" w:gutter="0"/>
      <w:pgNumType w:start="0"/>
      <w:cols w:space="720" w:num="1"/>
      <w:titlePg/>
      <w:docGrid w:type="linesAndChars" w:linePitch="516" w:charSpace="8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sz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jc w:val="cente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13"/>
                      <w:jc w:val="cente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both"/>
      <w:rPr>
        <w:rFonts w:ascii="方正仿宋_GBK" w:eastAsia="方正仿宋_GBK"/>
        <w:sz w:val="21"/>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501068"/>
    <w:multiLevelType w:val="singleLevel"/>
    <w:tmpl w:val="97501068"/>
    <w:lvl w:ilvl="0" w:tentative="0">
      <w:start w:val="3"/>
      <w:numFmt w:val="decimal"/>
      <w:suff w:val="nothing"/>
      <w:lvlText w:val="（%1）"/>
      <w:lvlJc w:val="left"/>
    </w:lvl>
  </w:abstractNum>
  <w:abstractNum w:abstractNumId="1">
    <w:nsid w:val="00000008"/>
    <w:multiLevelType w:val="multilevel"/>
    <w:tmpl w:val="00000008"/>
    <w:lvl w:ilvl="0" w:tentative="0">
      <w:start w:val="1"/>
      <w:numFmt w:val="chineseCountingThousand"/>
      <w:pStyle w:val="6"/>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61DAF62"/>
    <w:multiLevelType w:val="singleLevel"/>
    <w:tmpl w:val="561DAF62"/>
    <w:lvl w:ilvl="0" w:tentative="0">
      <w:start w:val="1"/>
      <w:numFmt w:val="chineseCounting"/>
      <w:suff w:val="nothing"/>
      <w:lvlText w:val="%1、"/>
      <w:lvlJc w:val="left"/>
    </w:lvl>
  </w:abstractNum>
  <w:abstractNum w:abstractNumId="3">
    <w:nsid w:val="561DAF72"/>
    <w:multiLevelType w:val="singleLevel"/>
    <w:tmpl w:val="561DAF72"/>
    <w:lvl w:ilvl="0" w:tentative="0">
      <w:start w:val="1"/>
      <w:numFmt w:val="decimal"/>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321"/>
  <w:drawingGridVerticalSpacing w:val="2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xNjc0ZjEyNGI0Nzc3Yzk1NWJkMDAyY2NiZmE2OWYifQ=="/>
  </w:docVars>
  <w:rsids>
    <w:rsidRoot w:val="005210F4"/>
    <w:rsid w:val="00002D07"/>
    <w:rsid w:val="00004246"/>
    <w:rsid w:val="00004B26"/>
    <w:rsid w:val="0000792E"/>
    <w:rsid w:val="00011595"/>
    <w:rsid w:val="00011707"/>
    <w:rsid w:val="00011D15"/>
    <w:rsid w:val="000158AB"/>
    <w:rsid w:val="00022DC9"/>
    <w:rsid w:val="00024F10"/>
    <w:rsid w:val="000346E6"/>
    <w:rsid w:val="00042967"/>
    <w:rsid w:val="00054B7E"/>
    <w:rsid w:val="00055874"/>
    <w:rsid w:val="000632D9"/>
    <w:rsid w:val="00066617"/>
    <w:rsid w:val="000774CC"/>
    <w:rsid w:val="0008031C"/>
    <w:rsid w:val="0008202D"/>
    <w:rsid w:val="00095198"/>
    <w:rsid w:val="000A2664"/>
    <w:rsid w:val="000B4E58"/>
    <w:rsid w:val="000B52D0"/>
    <w:rsid w:val="000B66AA"/>
    <w:rsid w:val="000C1A06"/>
    <w:rsid w:val="000D26FB"/>
    <w:rsid w:val="000D4494"/>
    <w:rsid w:val="000E1CF3"/>
    <w:rsid w:val="000E27D7"/>
    <w:rsid w:val="000E316D"/>
    <w:rsid w:val="000E584D"/>
    <w:rsid w:val="000F464C"/>
    <w:rsid w:val="00116C6C"/>
    <w:rsid w:val="00117342"/>
    <w:rsid w:val="00126BB0"/>
    <w:rsid w:val="00134996"/>
    <w:rsid w:val="001436EF"/>
    <w:rsid w:val="0014442F"/>
    <w:rsid w:val="00154536"/>
    <w:rsid w:val="00157CF6"/>
    <w:rsid w:val="00163145"/>
    <w:rsid w:val="0016323B"/>
    <w:rsid w:val="00165774"/>
    <w:rsid w:val="001808A3"/>
    <w:rsid w:val="001816DC"/>
    <w:rsid w:val="001966B6"/>
    <w:rsid w:val="001A5C6F"/>
    <w:rsid w:val="001C007D"/>
    <w:rsid w:val="001C38A4"/>
    <w:rsid w:val="001D1026"/>
    <w:rsid w:val="001D49AE"/>
    <w:rsid w:val="001D4C3C"/>
    <w:rsid w:val="001E380E"/>
    <w:rsid w:val="001E5E6B"/>
    <w:rsid w:val="001E695E"/>
    <w:rsid w:val="001F1778"/>
    <w:rsid w:val="001F1E9F"/>
    <w:rsid w:val="001F5256"/>
    <w:rsid w:val="001F6913"/>
    <w:rsid w:val="00201932"/>
    <w:rsid w:val="00201B61"/>
    <w:rsid w:val="0021421A"/>
    <w:rsid w:val="00214410"/>
    <w:rsid w:val="00215ED6"/>
    <w:rsid w:val="00222F51"/>
    <w:rsid w:val="00230BCB"/>
    <w:rsid w:val="002319DF"/>
    <w:rsid w:val="00237D8C"/>
    <w:rsid w:val="00244E57"/>
    <w:rsid w:val="0025290C"/>
    <w:rsid w:val="002574AB"/>
    <w:rsid w:val="002609EC"/>
    <w:rsid w:val="00276F81"/>
    <w:rsid w:val="00297314"/>
    <w:rsid w:val="002A7A4F"/>
    <w:rsid w:val="002A7E8D"/>
    <w:rsid w:val="002B5438"/>
    <w:rsid w:val="002C148B"/>
    <w:rsid w:val="002C1F07"/>
    <w:rsid w:val="002D4A9E"/>
    <w:rsid w:val="002D6D2C"/>
    <w:rsid w:val="002E788A"/>
    <w:rsid w:val="00300BE7"/>
    <w:rsid w:val="00304111"/>
    <w:rsid w:val="00305209"/>
    <w:rsid w:val="00310949"/>
    <w:rsid w:val="00311F2F"/>
    <w:rsid w:val="00315DA2"/>
    <w:rsid w:val="003175F5"/>
    <w:rsid w:val="00317F68"/>
    <w:rsid w:val="003203AA"/>
    <w:rsid w:val="00343D98"/>
    <w:rsid w:val="00345B30"/>
    <w:rsid w:val="00357B8D"/>
    <w:rsid w:val="00364B59"/>
    <w:rsid w:val="00385F18"/>
    <w:rsid w:val="00392B2E"/>
    <w:rsid w:val="003973C3"/>
    <w:rsid w:val="003A2C44"/>
    <w:rsid w:val="003B4262"/>
    <w:rsid w:val="003B5429"/>
    <w:rsid w:val="003B7E2B"/>
    <w:rsid w:val="003C0D8C"/>
    <w:rsid w:val="003C1146"/>
    <w:rsid w:val="003D4500"/>
    <w:rsid w:val="003D7F55"/>
    <w:rsid w:val="003F12B8"/>
    <w:rsid w:val="003F4F24"/>
    <w:rsid w:val="003F5D74"/>
    <w:rsid w:val="0040096D"/>
    <w:rsid w:val="004057B7"/>
    <w:rsid w:val="00405B09"/>
    <w:rsid w:val="00412D84"/>
    <w:rsid w:val="0041372A"/>
    <w:rsid w:val="004177E5"/>
    <w:rsid w:val="00425F78"/>
    <w:rsid w:val="00430252"/>
    <w:rsid w:val="004308F2"/>
    <w:rsid w:val="00431D89"/>
    <w:rsid w:val="004417FA"/>
    <w:rsid w:val="00443B5E"/>
    <w:rsid w:val="00451768"/>
    <w:rsid w:val="00453892"/>
    <w:rsid w:val="00453EC8"/>
    <w:rsid w:val="00457289"/>
    <w:rsid w:val="0046052C"/>
    <w:rsid w:val="00460BC4"/>
    <w:rsid w:val="004677E6"/>
    <w:rsid w:val="00472679"/>
    <w:rsid w:val="004726E7"/>
    <w:rsid w:val="004744BB"/>
    <w:rsid w:val="004763B7"/>
    <w:rsid w:val="00487AE1"/>
    <w:rsid w:val="00492FF6"/>
    <w:rsid w:val="004A0DE1"/>
    <w:rsid w:val="004A1965"/>
    <w:rsid w:val="004B1D64"/>
    <w:rsid w:val="004B2883"/>
    <w:rsid w:val="004B6DC1"/>
    <w:rsid w:val="004C0A69"/>
    <w:rsid w:val="004E111D"/>
    <w:rsid w:val="004E591F"/>
    <w:rsid w:val="004E5E47"/>
    <w:rsid w:val="004E7F1B"/>
    <w:rsid w:val="004F0B08"/>
    <w:rsid w:val="004F0F8A"/>
    <w:rsid w:val="005032BE"/>
    <w:rsid w:val="0052001E"/>
    <w:rsid w:val="005210F4"/>
    <w:rsid w:val="005237F6"/>
    <w:rsid w:val="0052438F"/>
    <w:rsid w:val="00535A53"/>
    <w:rsid w:val="00556654"/>
    <w:rsid w:val="0055673F"/>
    <w:rsid w:val="005603AE"/>
    <w:rsid w:val="00560D68"/>
    <w:rsid w:val="00562AAB"/>
    <w:rsid w:val="005630A9"/>
    <w:rsid w:val="00581406"/>
    <w:rsid w:val="005921F8"/>
    <w:rsid w:val="005A0A23"/>
    <w:rsid w:val="005A52F6"/>
    <w:rsid w:val="005A7842"/>
    <w:rsid w:val="005B297F"/>
    <w:rsid w:val="005B36D2"/>
    <w:rsid w:val="005C3275"/>
    <w:rsid w:val="005C59F9"/>
    <w:rsid w:val="005D250F"/>
    <w:rsid w:val="005D2B37"/>
    <w:rsid w:val="005D5AE2"/>
    <w:rsid w:val="005E1092"/>
    <w:rsid w:val="005E274D"/>
    <w:rsid w:val="005E718C"/>
    <w:rsid w:val="005F12F7"/>
    <w:rsid w:val="005F15D6"/>
    <w:rsid w:val="005F76F3"/>
    <w:rsid w:val="006053F3"/>
    <w:rsid w:val="006073F4"/>
    <w:rsid w:val="00610F5D"/>
    <w:rsid w:val="00613778"/>
    <w:rsid w:val="006228FE"/>
    <w:rsid w:val="006562FA"/>
    <w:rsid w:val="00656785"/>
    <w:rsid w:val="00661C05"/>
    <w:rsid w:val="006641FD"/>
    <w:rsid w:val="0066737C"/>
    <w:rsid w:val="00673DA8"/>
    <w:rsid w:val="00676570"/>
    <w:rsid w:val="00676FED"/>
    <w:rsid w:val="00677C14"/>
    <w:rsid w:val="00690714"/>
    <w:rsid w:val="00690C7A"/>
    <w:rsid w:val="006973CC"/>
    <w:rsid w:val="006A1173"/>
    <w:rsid w:val="006A4C4A"/>
    <w:rsid w:val="006C2BB9"/>
    <w:rsid w:val="006D1876"/>
    <w:rsid w:val="006D5304"/>
    <w:rsid w:val="006D76B1"/>
    <w:rsid w:val="006E1BD9"/>
    <w:rsid w:val="006E2DB5"/>
    <w:rsid w:val="006F0A8F"/>
    <w:rsid w:val="006F707A"/>
    <w:rsid w:val="007004F6"/>
    <w:rsid w:val="00714175"/>
    <w:rsid w:val="00720068"/>
    <w:rsid w:val="00730D05"/>
    <w:rsid w:val="007333FF"/>
    <w:rsid w:val="00736808"/>
    <w:rsid w:val="00740450"/>
    <w:rsid w:val="0075382B"/>
    <w:rsid w:val="00753882"/>
    <w:rsid w:val="00767459"/>
    <w:rsid w:val="00776F2B"/>
    <w:rsid w:val="00782FFD"/>
    <w:rsid w:val="0079325A"/>
    <w:rsid w:val="007937FF"/>
    <w:rsid w:val="00793C62"/>
    <w:rsid w:val="00797C82"/>
    <w:rsid w:val="007B2CD2"/>
    <w:rsid w:val="007B33CC"/>
    <w:rsid w:val="007C0FED"/>
    <w:rsid w:val="007C564A"/>
    <w:rsid w:val="007C7561"/>
    <w:rsid w:val="007C791A"/>
    <w:rsid w:val="007D2446"/>
    <w:rsid w:val="007D6548"/>
    <w:rsid w:val="007E1C3C"/>
    <w:rsid w:val="007E4CE5"/>
    <w:rsid w:val="007E4D34"/>
    <w:rsid w:val="007E7124"/>
    <w:rsid w:val="007F0152"/>
    <w:rsid w:val="007F2769"/>
    <w:rsid w:val="007F6730"/>
    <w:rsid w:val="00800648"/>
    <w:rsid w:val="00802622"/>
    <w:rsid w:val="00811F63"/>
    <w:rsid w:val="00812C75"/>
    <w:rsid w:val="0081338F"/>
    <w:rsid w:val="008239BC"/>
    <w:rsid w:val="00825893"/>
    <w:rsid w:val="00830EAF"/>
    <w:rsid w:val="00862B94"/>
    <w:rsid w:val="00867F9B"/>
    <w:rsid w:val="00872EB5"/>
    <w:rsid w:val="008773EC"/>
    <w:rsid w:val="00883F10"/>
    <w:rsid w:val="0088409C"/>
    <w:rsid w:val="00886D66"/>
    <w:rsid w:val="008874C7"/>
    <w:rsid w:val="0089098C"/>
    <w:rsid w:val="008912EC"/>
    <w:rsid w:val="008A4A06"/>
    <w:rsid w:val="008C2812"/>
    <w:rsid w:val="008E3582"/>
    <w:rsid w:val="00900417"/>
    <w:rsid w:val="00902304"/>
    <w:rsid w:val="00903F4F"/>
    <w:rsid w:val="00910F57"/>
    <w:rsid w:val="00911D9F"/>
    <w:rsid w:val="00912118"/>
    <w:rsid w:val="009241C5"/>
    <w:rsid w:val="00925B1D"/>
    <w:rsid w:val="00933743"/>
    <w:rsid w:val="00933FB9"/>
    <w:rsid w:val="009379ED"/>
    <w:rsid w:val="00937EE3"/>
    <w:rsid w:val="00943AA2"/>
    <w:rsid w:val="009502C7"/>
    <w:rsid w:val="00954B7B"/>
    <w:rsid w:val="009567B5"/>
    <w:rsid w:val="009664D0"/>
    <w:rsid w:val="00973EAE"/>
    <w:rsid w:val="00980F13"/>
    <w:rsid w:val="00984E95"/>
    <w:rsid w:val="00985AFE"/>
    <w:rsid w:val="00996DFB"/>
    <w:rsid w:val="009B0C9E"/>
    <w:rsid w:val="009B2799"/>
    <w:rsid w:val="009B7E7D"/>
    <w:rsid w:val="009C55A8"/>
    <w:rsid w:val="009E4896"/>
    <w:rsid w:val="009F125A"/>
    <w:rsid w:val="009F137F"/>
    <w:rsid w:val="009F3B99"/>
    <w:rsid w:val="009F639E"/>
    <w:rsid w:val="009F73D7"/>
    <w:rsid w:val="009F7944"/>
    <w:rsid w:val="00A02D90"/>
    <w:rsid w:val="00A04697"/>
    <w:rsid w:val="00A127B7"/>
    <w:rsid w:val="00A14131"/>
    <w:rsid w:val="00A1607C"/>
    <w:rsid w:val="00A16C8F"/>
    <w:rsid w:val="00A23699"/>
    <w:rsid w:val="00A3187C"/>
    <w:rsid w:val="00A326D2"/>
    <w:rsid w:val="00A4330C"/>
    <w:rsid w:val="00A44E8B"/>
    <w:rsid w:val="00A50708"/>
    <w:rsid w:val="00A6124F"/>
    <w:rsid w:val="00A643B9"/>
    <w:rsid w:val="00A6793E"/>
    <w:rsid w:val="00A67BE3"/>
    <w:rsid w:val="00A70411"/>
    <w:rsid w:val="00A73319"/>
    <w:rsid w:val="00A737A1"/>
    <w:rsid w:val="00A810C6"/>
    <w:rsid w:val="00A8177D"/>
    <w:rsid w:val="00A81ACB"/>
    <w:rsid w:val="00A81DBE"/>
    <w:rsid w:val="00A83E4A"/>
    <w:rsid w:val="00A85EEF"/>
    <w:rsid w:val="00A8644E"/>
    <w:rsid w:val="00A86E24"/>
    <w:rsid w:val="00A8734B"/>
    <w:rsid w:val="00A95DC2"/>
    <w:rsid w:val="00AA6785"/>
    <w:rsid w:val="00AB0A88"/>
    <w:rsid w:val="00AB48A7"/>
    <w:rsid w:val="00AC0081"/>
    <w:rsid w:val="00AC0285"/>
    <w:rsid w:val="00AC156B"/>
    <w:rsid w:val="00AC7D08"/>
    <w:rsid w:val="00AE0C45"/>
    <w:rsid w:val="00AE25CC"/>
    <w:rsid w:val="00AE52C0"/>
    <w:rsid w:val="00AE7F9E"/>
    <w:rsid w:val="00AF5522"/>
    <w:rsid w:val="00B00B34"/>
    <w:rsid w:val="00B02063"/>
    <w:rsid w:val="00B12CB0"/>
    <w:rsid w:val="00B208DC"/>
    <w:rsid w:val="00B26E14"/>
    <w:rsid w:val="00B318D8"/>
    <w:rsid w:val="00B324D3"/>
    <w:rsid w:val="00B4074E"/>
    <w:rsid w:val="00B43D96"/>
    <w:rsid w:val="00B53B45"/>
    <w:rsid w:val="00B54D5B"/>
    <w:rsid w:val="00B647FE"/>
    <w:rsid w:val="00B702BA"/>
    <w:rsid w:val="00B718F0"/>
    <w:rsid w:val="00B72C55"/>
    <w:rsid w:val="00B810F7"/>
    <w:rsid w:val="00B95436"/>
    <w:rsid w:val="00BA42CE"/>
    <w:rsid w:val="00BB7C3C"/>
    <w:rsid w:val="00BD2382"/>
    <w:rsid w:val="00BD79EF"/>
    <w:rsid w:val="00BE16E5"/>
    <w:rsid w:val="00BE25F0"/>
    <w:rsid w:val="00BE4AFA"/>
    <w:rsid w:val="00BE4C57"/>
    <w:rsid w:val="00BE5D29"/>
    <w:rsid w:val="00BE7C78"/>
    <w:rsid w:val="00BF3B49"/>
    <w:rsid w:val="00BF3D74"/>
    <w:rsid w:val="00C10AB3"/>
    <w:rsid w:val="00C11BE0"/>
    <w:rsid w:val="00C14901"/>
    <w:rsid w:val="00C1755F"/>
    <w:rsid w:val="00C17971"/>
    <w:rsid w:val="00C240DE"/>
    <w:rsid w:val="00C30836"/>
    <w:rsid w:val="00C31FD5"/>
    <w:rsid w:val="00C34451"/>
    <w:rsid w:val="00C4287C"/>
    <w:rsid w:val="00C44FD7"/>
    <w:rsid w:val="00C45FD7"/>
    <w:rsid w:val="00C617DE"/>
    <w:rsid w:val="00C7623E"/>
    <w:rsid w:val="00C76C4F"/>
    <w:rsid w:val="00C83A3B"/>
    <w:rsid w:val="00C92148"/>
    <w:rsid w:val="00C9229E"/>
    <w:rsid w:val="00C96B19"/>
    <w:rsid w:val="00CA16F9"/>
    <w:rsid w:val="00CB1AEE"/>
    <w:rsid w:val="00CB44C8"/>
    <w:rsid w:val="00CC4235"/>
    <w:rsid w:val="00CC62F5"/>
    <w:rsid w:val="00CC749D"/>
    <w:rsid w:val="00CE0E95"/>
    <w:rsid w:val="00CE2C0A"/>
    <w:rsid w:val="00CE60B1"/>
    <w:rsid w:val="00CF09B4"/>
    <w:rsid w:val="00CF37EF"/>
    <w:rsid w:val="00D02F76"/>
    <w:rsid w:val="00D067B5"/>
    <w:rsid w:val="00D06EEA"/>
    <w:rsid w:val="00D12A02"/>
    <w:rsid w:val="00D30E85"/>
    <w:rsid w:val="00D31C35"/>
    <w:rsid w:val="00D367CC"/>
    <w:rsid w:val="00D42C57"/>
    <w:rsid w:val="00D47913"/>
    <w:rsid w:val="00D742C4"/>
    <w:rsid w:val="00DA0807"/>
    <w:rsid w:val="00DA2416"/>
    <w:rsid w:val="00DB635A"/>
    <w:rsid w:val="00DC2105"/>
    <w:rsid w:val="00DD2DF3"/>
    <w:rsid w:val="00E03234"/>
    <w:rsid w:val="00E07AE4"/>
    <w:rsid w:val="00E10A83"/>
    <w:rsid w:val="00E15C09"/>
    <w:rsid w:val="00E26BF8"/>
    <w:rsid w:val="00E31F0F"/>
    <w:rsid w:val="00E363F4"/>
    <w:rsid w:val="00E41765"/>
    <w:rsid w:val="00E4567F"/>
    <w:rsid w:val="00E50442"/>
    <w:rsid w:val="00E65A95"/>
    <w:rsid w:val="00E7085A"/>
    <w:rsid w:val="00E80454"/>
    <w:rsid w:val="00E86BE0"/>
    <w:rsid w:val="00E933F1"/>
    <w:rsid w:val="00E93A1B"/>
    <w:rsid w:val="00E96143"/>
    <w:rsid w:val="00E96B35"/>
    <w:rsid w:val="00EB3C1B"/>
    <w:rsid w:val="00EC2B12"/>
    <w:rsid w:val="00EC3013"/>
    <w:rsid w:val="00EC31D7"/>
    <w:rsid w:val="00ED4A28"/>
    <w:rsid w:val="00EE2909"/>
    <w:rsid w:val="00F1400F"/>
    <w:rsid w:val="00F151B6"/>
    <w:rsid w:val="00F20C71"/>
    <w:rsid w:val="00F2308A"/>
    <w:rsid w:val="00F232C8"/>
    <w:rsid w:val="00F26132"/>
    <w:rsid w:val="00F3140D"/>
    <w:rsid w:val="00F36201"/>
    <w:rsid w:val="00F436F8"/>
    <w:rsid w:val="00F46C16"/>
    <w:rsid w:val="00F50534"/>
    <w:rsid w:val="00F5270F"/>
    <w:rsid w:val="00F53A18"/>
    <w:rsid w:val="00F569D5"/>
    <w:rsid w:val="00F73B6C"/>
    <w:rsid w:val="00F75167"/>
    <w:rsid w:val="00F821B4"/>
    <w:rsid w:val="00F90A34"/>
    <w:rsid w:val="00F9619A"/>
    <w:rsid w:val="00FA025F"/>
    <w:rsid w:val="00FA7582"/>
    <w:rsid w:val="00FB0DCF"/>
    <w:rsid w:val="00FB532C"/>
    <w:rsid w:val="00FC04E1"/>
    <w:rsid w:val="00FD12DC"/>
    <w:rsid w:val="00FE393A"/>
    <w:rsid w:val="00FF2763"/>
    <w:rsid w:val="00FF4CC2"/>
    <w:rsid w:val="00FF537F"/>
    <w:rsid w:val="014D2319"/>
    <w:rsid w:val="01B13F71"/>
    <w:rsid w:val="025053E3"/>
    <w:rsid w:val="03C72E81"/>
    <w:rsid w:val="06F6356D"/>
    <w:rsid w:val="09383E5F"/>
    <w:rsid w:val="09EB047D"/>
    <w:rsid w:val="0B01026C"/>
    <w:rsid w:val="0B543BB6"/>
    <w:rsid w:val="0BEB0554"/>
    <w:rsid w:val="0C397098"/>
    <w:rsid w:val="0DAC59EE"/>
    <w:rsid w:val="0E80148F"/>
    <w:rsid w:val="0E917891"/>
    <w:rsid w:val="11383D2A"/>
    <w:rsid w:val="122D2CFB"/>
    <w:rsid w:val="1443424E"/>
    <w:rsid w:val="155B33C7"/>
    <w:rsid w:val="16C04B66"/>
    <w:rsid w:val="1727485C"/>
    <w:rsid w:val="17E26210"/>
    <w:rsid w:val="18DF3448"/>
    <w:rsid w:val="1A002093"/>
    <w:rsid w:val="1A307936"/>
    <w:rsid w:val="1AE469FE"/>
    <w:rsid w:val="1C726002"/>
    <w:rsid w:val="1E8474D2"/>
    <w:rsid w:val="1FF41944"/>
    <w:rsid w:val="203B4696"/>
    <w:rsid w:val="21C569DD"/>
    <w:rsid w:val="2207095D"/>
    <w:rsid w:val="22F8223D"/>
    <w:rsid w:val="23A128D5"/>
    <w:rsid w:val="267049A2"/>
    <w:rsid w:val="26E86A6C"/>
    <w:rsid w:val="27036FA1"/>
    <w:rsid w:val="27A61BE0"/>
    <w:rsid w:val="2A461AE0"/>
    <w:rsid w:val="2B7E23ED"/>
    <w:rsid w:val="2BD655AA"/>
    <w:rsid w:val="2F3E2B8A"/>
    <w:rsid w:val="30B83816"/>
    <w:rsid w:val="314F5EB0"/>
    <w:rsid w:val="32DA0492"/>
    <w:rsid w:val="33F911DF"/>
    <w:rsid w:val="34B9436A"/>
    <w:rsid w:val="35094554"/>
    <w:rsid w:val="35452C16"/>
    <w:rsid w:val="364C2199"/>
    <w:rsid w:val="369260AD"/>
    <w:rsid w:val="36D57D43"/>
    <w:rsid w:val="39044346"/>
    <w:rsid w:val="39585E49"/>
    <w:rsid w:val="39813657"/>
    <w:rsid w:val="3AE01C7A"/>
    <w:rsid w:val="3CC571DC"/>
    <w:rsid w:val="3D5404B6"/>
    <w:rsid w:val="3DBB3FCF"/>
    <w:rsid w:val="3DF718EB"/>
    <w:rsid w:val="3E96253B"/>
    <w:rsid w:val="3ECF33C6"/>
    <w:rsid w:val="3F5405A3"/>
    <w:rsid w:val="40B23F76"/>
    <w:rsid w:val="413D1A37"/>
    <w:rsid w:val="45A4154B"/>
    <w:rsid w:val="47BB2372"/>
    <w:rsid w:val="49462205"/>
    <w:rsid w:val="4A9F30A7"/>
    <w:rsid w:val="4AFA77DB"/>
    <w:rsid w:val="4C660202"/>
    <w:rsid w:val="4CD35BF3"/>
    <w:rsid w:val="4D3A5AA0"/>
    <w:rsid w:val="4FCB6477"/>
    <w:rsid w:val="506D39BB"/>
    <w:rsid w:val="51EE6C25"/>
    <w:rsid w:val="52611AFB"/>
    <w:rsid w:val="535228BC"/>
    <w:rsid w:val="5510646B"/>
    <w:rsid w:val="5633688D"/>
    <w:rsid w:val="56683C9B"/>
    <w:rsid w:val="56CF2CD9"/>
    <w:rsid w:val="56EC1B81"/>
    <w:rsid w:val="572C5B54"/>
    <w:rsid w:val="5A3A2B60"/>
    <w:rsid w:val="5AF70AD1"/>
    <w:rsid w:val="5B4348A7"/>
    <w:rsid w:val="5CB563B6"/>
    <w:rsid w:val="5D0E08B4"/>
    <w:rsid w:val="5DFC012C"/>
    <w:rsid w:val="5E932A7A"/>
    <w:rsid w:val="5FB9575D"/>
    <w:rsid w:val="5FF414FE"/>
    <w:rsid w:val="605B54A0"/>
    <w:rsid w:val="6291640D"/>
    <w:rsid w:val="64A137DB"/>
    <w:rsid w:val="65C13E09"/>
    <w:rsid w:val="6665230C"/>
    <w:rsid w:val="6CC14A1B"/>
    <w:rsid w:val="6EE507B2"/>
    <w:rsid w:val="6F5F0AFC"/>
    <w:rsid w:val="73B13A3B"/>
    <w:rsid w:val="7447201F"/>
    <w:rsid w:val="74A215D5"/>
    <w:rsid w:val="75FA15FC"/>
    <w:rsid w:val="77E53565"/>
    <w:rsid w:val="7916535A"/>
    <w:rsid w:val="7AA2541C"/>
    <w:rsid w:val="7DF3469A"/>
    <w:rsid w:val="7E115D10"/>
    <w:rsid w:val="7E7949A5"/>
    <w:rsid w:val="7FEBAAB4"/>
    <w:rsid w:val="C33DB00B"/>
    <w:rsid w:val="F7EFC49B"/>
    <w:rsid w:val="FFFDF47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99"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8"/>
      <w:szCs w:val="28"/>
      <w:lang w:val="en-US" w:eastAsia="zh-CN" w:bidi="ar-SA"/>
    </w:rPr>
  </w:style>
  <w:style w:type="paragraph" w:styleId="3">
    <w:name w:val="heading 1"/>
    <w:basedOn w:val="1"/>
    <w:next w:val="1"/>
    <w:link w:val="70"/>
    <w:qFormat/>
    <w:uiPriority w:val="0"/>
    <w:pPr>
      <w:keepNext/>
      <w:keepLines/>
      <w:spacing w:before="340" w:after="330" w:line="578" w:lineRule="auto"/>
      <w:outlineLvl w:val="0"/>
    </w:pPr>
    <w:rPr>
      <w:rFonts w:eastAsia="宋体"/>
      <w:b/>
      <w:bCs/>
      <w:kern w:val="44"/>
      <w:sz w:val="44"/>
      <w:szCs w:val="44"/>
    </w:rPr>
  </w:style>
  <w:style w:type="paragraph" w:styleId="4">
    <w:name w:val="heading 2"/>
    <w:basedOn w:val="1"/>
    <w:next w:val="1"/>
    <w:link w:val="72"/>
    <w:qFormat/>
    <w:uiPriority w:val="0"/>
    <w:pPr>
      <w:adjustRightInd w:val="0"/>
      <w:snapToGrid w:val="0"/>
      <w:spacing w:beforeLines="50" w:afterLines="50" w:line="360" w:lineRule="auto"/>
      <w:jc w:val="center"/>
      <w:outlineLvl w:val="1"/>
    </w:pPr>
    <w:rPr>
      <w:rFonts w:ascii="宋体" w:hAnsi="宋体"/>
      <w:b/>
      <w:color w:val="000000"/>
      <w:kern w:val="0"/>
    </w:rPr>
  </w:style>
  <w:style w:type="paragraph" w:styleId="5">
    <w:name w:val="heading 3"/>
    <w:basedOn w:val="1"/>
    <w:next w:val="1"/>
    <w:qFormat/>
    <w:uiPriority w:val="0"/>
    <w:pPr>
      <w:keepNext/>
      <w:keepLines/>
      <w:spacing w:before="260" w:after="260" w:line="413" w:lineRule="auto"/>
      <w:outlineLvl w:val="2"/>
    </w:pPr>
    <w:rPr>
      <w:b/>
      <w:sz w:val="32"/>
    </w:rPr>
  </w:style>
  <w:style w:type="paragraph" w:styleId="6">
    <w:name w:val="heading 4"/>
    <w:basedOn w:val="1"/>
    <w:next w:val="1"/>
    <w:unhideWhenUsed/>
    <w:qFormat/>
    <w:uiPriority w:val="0"/>
    <w:pPr>
      <w:keepNext/>
      <w:keepLines/>
      <w:numPr>
        <w:ilvl w:val="0"/>
        <w:numId w:val="1"/>
      </w:numPr>
      <w:spacing w:line="377" w:lineRule="auto"/>
      <w:outlineLvl w:val="3"/>
    </w:pPr>
    <w:rPr>
      <w:rFonts w:ascii="Arial" w:hAnsi="Arial" w:eastAsia="黑体"/>
      <w:b/>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67"/>
    <w:qFormat/>
    <w:uiPriority w:val="0"/>
    <w:pPr>
      <w:spacing w:after="120"/>
    </w:pPr>
  </w:style>
  <w:style w:type="paragraph" w:styleId="7">
    <w:name w:val="Normal Indent"/>
    <w:basedOn w:val="1"/>
    <w:next w:val="1"/>
    <w:qFormat/>
    <w:uiPriority w:val="0"/>
    <w:pPr>
      <w:widowControl/>
      <w:ind w:firstLine="420"/>
      <w:jc w:val="left"/>
    </w:pPr>
    <w:rPr>
      <w:kern w:val="0"/>
      <w:sz w:val="20"/>
    </w:rPr>
  </w:style>
  <w:style w:type="paragraph" w:styleId="8">
    <w:name w:val="annotation text"/>
    <w:basedOn w:val="1"/>
    <w:semiHidden/>
    <w:qFormat/>
    <w:uiPriority w:val="0"/>
    <w:pPr>
      <w:jc w:val="left"/>
    </w:pPr>
  </w:style>
  <w:style w:type="paragraph" w:styleId="9">
    <w:name w:val="Body Text Indent"/>
    <w:basedOn w:val="1"/>
    <w:qFormat/>
    <w:uiPriority w:val="0"/>
    <w:pPr>
      <w:spacing w:after="120"/>
      <w:ind w:left="420" w:leftChars="200"/>
    </w:pPr>
  </w:style>
  <w:style w:type="paragraph" w:styleId="10">
    <w:name w:val="Date"/>
    <w:basedOn w:val="1"/>
    <w:next w:val="1"/>
    <w:qFormat/>
    <w:uiPriority w:val="0"/>
    <w:rPr>
      <w:sz w:val="24"/>
    </w:rPr>
  </w:style>
  <w:style w:type="paragraph" w:styleId="11">
    <w:name w:val="Body Text Indent 2"/>
    <w:basedOn w:val="1"/>
    <w:qFormat/>
    <w:uiPriority w:val="0"/>
    <w:pPr>
      <w:ind w:firstLine="480"/>
    </w:pPr>
    <w:rPr>
      <w:rFonts w:ascii="仿宋_GB2312"/>
      <w:sz w:val="30"/>
    </w:rPr>
  </w:style>
  <w:style w:type="paragraph" w:styleId="12">
    <w:name w:val="Balloon Text"/>
    <w:basedOn w:val="1"/>
    <w:qFormat/>
    <w:uiPriority w:val="0"/>
    <w:rPr>
      <w:sz w:val="18"/>
    </w:rPr>
  </w:style>
  <w:style w:type="paragraph" w:styleId="13">
    <w:name w:val="footer"/>
    <w:basedOn w:val="1"/>
    <w:next w:val="14"/>
    <w:qFormat/>
    <w:uiPriority w:val="0"/>
    <w:pPr>
      <w:tabs>
        <w:tab w:val="center" w:pos="4153"/>
        <w:tab w:val="right" w:pos="8306"/>
      </w:tabs>
      <w:snapToGrid w:val="0"/>
      <w:jc w:val="left"/>
    </w:pPr>
    <w:rPr>
      <w:sz w:val="18"/>
    </w:rPr>
  </w:style>
  <w:style w:type="paragraph" w:customStyle="1" w:styleId="14">
    <w:name w:val="正文缩进1"/>
    <w:next w:val="1"/>
    <w:qFormat/>
    <w:uiPriority w:val="0"/>
    <w:pPr>
      <w:wordWrap w:val="0"/>
      <w:ind w:left="3400"/>
      <w:jc w:val="both"/>
    </w:pPr>
    <w:rPr>
      <w:rFonts w:ascii="Times New Roman" w:hAnsi="Times New Roman" w:eastAsia="宋体" w:cs="Times New Roman"/>
      <w:sz w:val="21"/>
      <w:lang w:val="en-US" w:eastAsia="zh-CN" w:bidi="ar-SA"/>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rPr>
  </w:style>
  <w:style w:type="paragraph" w:styleId="16">
    <w:name w:val="Normal (Web)"/>
    <w:basedOn w:val="1"/>
    <w:qFormat/>
    <w:uiPriority w:val="99"/>
    <w:pPr>
      <w:widowControl/>
      <w:spacing w:before="100" w:beforeAutospacing="1" w:after="100" w:afterAutospacing="1"/>
      <w:jc w:val="left"/>
    </w:pPr>
    <w:rPr>
      <w:rFonts w:ascii="宋体" w:hAnsi="宋体"/>
      <w:kern w:val="0"/>
      <w:sz w:val="24"/>
    </w:rPr>
  </w:style>
  <w:style w:type="paragraph" w:styleId="17">
    <w:name w:val="annotation subject"/>
    <w:basedOn w:val="8"/>
    <w:next w:val="8"/>
    <w:qFormat/>
    <w:uiPriority w:val="0"/>
    <w:rPr>
      <w:b/>
    </w:rPr>
  </w:style>
  <w:style w:type="paragraph" w:styleId="18">
    <w:name w:val="Body Text First Indent"/>
    <w:basedOn w:val="2"/>
    <w:link w:val="68"/>
    <w:qFormat/>
    <w:uiPriority w:val="99"/>
    <w:pPr>
      <w:ind w:firstLine="420" w:firstLineChars="100"/>
    </w:p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0"/>
    <w:rPr>
      <w:b/>
    </w:rPr>
  </w:style>
  <w:style w:type="character" w:styleId="23">
    <w:name w:val="page number"/>
    <w:basedOn w:val="21"/>
    <w:qFormat/>
    <w:uiPriority w:val="0"/>
  </w:style>
  <w:style w:type="character" w:styleId="24">
    <w:name w:val="FollowedHyperlink"/>
    <w:basedOn w:val="21"/>
    <w:qFormat/>
    <w:uiPriority w:val="0"/>
    <w:rPr>
      <w:color w:val="800080"/>
      <w:u w:val="single"/>
    </w:rPr>
  </w:style>
  <w:style w:type="character" w:styleId="25">
    <w:name w:val="Emphasis"/>
    <w:basedOn w:val="21"/>
    <w:qFormat/>
    <w:uiPriority w:val="0"/>
    <w:rPr>
      <w:i/>
    </w:rPr>
  </w:style>
  <w:style w:type="character" w:styleId="26">
    <w:name w:val="Hyperlink"/>
    <w:basedOn w:val="21"/>
    <w:qFormat/>
    <w:uiPriority w:val="0"/>
    <w:rPr>
      <w:color w:val="0000FF"/>
      <w:u w:val="single"/>
    </w:rPr>
  </w:style>
  <w:style w:type="character" w:styleId="27">
    <w:name w:val="annotation reference"/>
    <w:basedOn w:val="21"/>
    <w:qFormat/>
    <w:uiPriority w:val="0"/>
    <w:rPr>
      <w:sz w:val="21"/>
    </w:rPr>
  </w:style>
  <w:style w:type="paragraph" w:customStyle="1" w:styleId="28">
    <w:name w:val="Char Char1 Char Char Char Char Char Char Char"/>
    <w:basedOn w:val="1"/>
    <w:qFormat/>
    <w:uiPriority w:val="0"/>
    <w:pPr>
      <w:pageBreakBefore/>
    </w:pPr>
    <w:rPr>
      <w:rFonts w:ascii="宋体" w:cs="宋体"/>
    </w:rPr>
  </w:style>
  <w:style w:type="paragraph" w:customStyle="1" w:styleId="29">
    <w:name w:val="Blockquote"/>
    <w:basedOn w:val="1"/>
    <w:qFormat/>
    <w:uiPriority w:val="0"/>
    <w:pPr>
      <w:autoSpaceDE w:val="0"/>
      <w:autoSpaceDN w:val="0"/>
      <w:adjustRightInd w:val="0"/>
      <w:spacing w:before="100" w:after="100"/>
      <w:ind w:left="360" w:right="360"/>
      <w:jc w:val="left"/>
    </w:pPr>
    <w:rPr>
      <w:kern w:val="0"/>
      <w:sz w:val="24"/>
    </w:rPr>
  </w:style>
  <w:style w:type="paragraph" w:customStyle="1" w:styleId="30">
    <w:name w:val="8899"/>
    <w:basedOn w:val="1"/>
    <w:qFormat/>
    <w:uiPriority w:val="0"/>
    <w:pPr>
      <w:widowControl/>
      <w:spacing w:before="120" w:after="120"/>
      <w:outlineLvl w:val="3"/>
    </w:pPr>
    <w:rPr>
      <w:rFonts w:hAnsi="华文中宋" w:eastAsia="华文中宋"/>
      <w:b/>
      <w:snapToGrid w:val="0"/>
      <w:kern w:val="0"/>
      <w:sz w:val="32"/>
      <w:szCs w:val="44"/>
    </w:rPr>
  </w:style>
  <w:style w:type="paragraph" w:customStyle="1" w:styleId="31">
    <w:name w:val="节"/>
    <w:next w:val="1"/>
    <w:qFormat/>
    <w:uiPriority w:val="0"/>
    <w:pPr>
      <w:widowControl w:val="0"/>
      <w:jc w:val="center"/>
    </w:pPr>
    <w:rPr>
      <w:rFonts w:ascii="黑体" w:hAnsi="华文中宋" w:eastAsia="黑体" w:cs="Times New Roman"/>
      <w:b/>
      <w:kern w:val="2"/>
      <w:sz w:val="32"/>
      <w:szCs w:val="24"/>
      <w:lang w:val="en-US" w:eastAsia="zh-CN" w:bidi="ar-SA"/>
    </w:rPr>
  </w:style>
  <w:style w:type="paragraph" w:customStyle="1" w:styleId="32">
    <w:name w:val="正文格式"/>
    <w:qFormat/>
    <w:uiPriority w:val="0"/>
    <w:pPr>
      <w:widowControl w:val="0"/>
      <w:jc w:val="both"/>
    </w:pPr>
    <w:rPr>
      <w:rFonts w:ascii="楷体_GB2312" w:hAnsi="宋体" w:eastAsia="楷体_GB2312" w:cs="Times New Roman"/>
      <w:bCs/>
      <w:snapToGrid w:val="0"/>
      <w:sz w:val="28"/>
      <w:szCs w:val="24"/>
      <w:lang w:val="en-US" w:eastAsia="zh-CN" w:bidi="ar-SA"/>
    </w:rPr>
  </w:style>
  <w:style w:type="paragraph" w:customStyle="1" w:styleId="33">
    <w:name w:val="样式 样式 正文小标题 + 首行缩进:  1 字符 + 首行缩进:  1 字符"/>
    <w:basedOn w:val="1"/>
    <w:qFormat/>
    <w:uiPriority w:val="0"/>
    <w:pPr>
      <w:spacing w:line="420" w:lineRule="exact"/>
      <w:ind w:firstLine="504" w:firstLineChars="180"/>
      <w:outlineLvl w:val="2"/>
    </w:pPr>
    <w:rPr>
      <w:rFonts w:ascii="仿宋_GB2312" w:hAnsi="宋体" w:eastAsia="楷体_GB2312" w:cs="宋体"/>
      <w:bCs/>
      <w:snapToGrid w:val="0"/>
      <w:kern w:val="44"/>
    </w:rPr>
  </w:style>
  <w:style w:type="paragraph" w:customStyle="1" w:styleId="34">
    <w:name w:val="样式 5号正文 + 首行缩进:  2 字符1"/>
    <w:basedOn w:val="1"/>
    <w:qFormat/>
    <w:uiPriority w:val="0"/>
    <w:pPr>
      <w:spacing w:line="520" w:lineRule="exact"/>
      <w:ind w:firstLine="588" w:firstLineChars="210"/>
    </w:pPr>
    <w:rPr>
      <w:rFonts w:ascii="仿宋_GB2312" w:hAnsi="宋体" w:eastAsia="楷体_GB2312"/>
      <w:kern w:val="44"/>
    </w:rPr>
  </w:style>
  <w:style w:type="paragraph" w:customStyle="1" w:styleId="35">
    <w:name w:val="样式 标题 2 + 字距调整二号"/>
    <w:basedOn w:val="4"/>
    <w:qFormat/>
    <w:uiPriority w:val="0"/>
    <w:pPr>
      <w:widowControl/>
      <w:snapToGrid/>
      <w:spacing w:beforeLines="0" w:afterLines="0" w:line="440" w:lineRule="exact"/>
      <w:ind w:firstLine="522" w:firstLineChars="174"/>
      <w:jc w:val="both"/>
      <w:textAlignment w:val="baseline"/>
    </w:pPr>
    <w:rPr>
      <w:rFonts w:ascii="Times New Roman" w:hAnsi="Times New Roman" w:eastAsia="楷体_GB2312"/>
      <w:b w:val="0"/>
      <w:snapToGrid w:val="0"/>
      <w:color w:val="auto"/>
      <w:kern w:val="44"/>
      <w:sz w:val="30"/>
      <w:szCs w:val="20"/>
    </w:rPr>
  </w:style>
  <w:style w:type="paragraph" w:customStyle="1" w:styleId="36">
    <w:name w:val="表体"/>
    <w:basedOn w:val="1"/>
    <w:next w:val="1"/>
    <w:qFormat/>
    <w:uiPriority w:val="0"/>
    <w:pPr>
      <w:spacing w:line="0" w:lineRule="atLeast"/>
      <w:jc w:val="center"/>
    </w:pPr>
    <w:rPr>
      <w:rFonts w:ascii="楷体_GB2312" w:hAnsi="楷体_GB2312" w:eastAsia="楷体_GB2312"/>
      <w:bCs/>
      <w:sz w:val="24"/>
      <w:szCs w:val="24"/>
    </w:rPr>
  </w:style>
  <w:style w:type="paragraph" w:customStyle="1" w:styleId="37">
    <w:name w:val="5号正文"/>
    <w:qFormat/>
    <w:uiPriority w:val="0"/>
    <w:pPr>
      <w:widowControl w:val="0"/>
      <w:spacing w:line="420" w:lineRule="exact"/>
      <w:ind w:firstLine="524" w:firstLineChars="187"/>
      <w:jc w:val="both"/>
    </w:pPr>
    <w:rPr>
      <w:rFonts w:ascii="楷体_GB2312" w:hAnsi="宋体" w:eastAsia="楷体_GB2312" w:cs="Times New Roman"/>
      <w:kern w:val="2"/>
      <w:sz w:val="28"/>
      <w:szCs w:val="28"/>
      <w:lang w:val="en-US" w:eastAsia="zh-CN" w:bidi="ar-SA"/>
    </w:rPr>
  </w:style>
  <w:style w:type="paragraph" w:customStyle="1" w:styleId="38">
    <w:name w:val="正文小标题"/>
    <w:basedOn w:val="32"/>
    <w:next w:val="32"/>
    <w:qFormat/>
    <w:uiPriority w:val="0"/>
    <w:pPr>
      <w:spacing w:line="460" w:lineRule="exact"/>
      <w:jc w:val="center"/>
      <w:outlineLvl w:val="2"/>
    </w:pPr>
    <w:rPr>
      <w:b/>
      <w:bCs w:val="0"/>
      <w:kern w:val="44"/>
    </w:rPr>
  </w:style>
  <w:style w:type="paragraph" w:customStyle="1" w:styleId="39">
    <w:name w:val="样式 样式 小四 行距: 1.5 倍行距 首行缩进:  2 字符 + 首行缩进:  2 字符"/>
    <w:basedOn w:val="1"/>
    <w:qFormat/>
    <w:uiPriority w:val="0"/>
    <w:pPr>
      <w:snapToGrid w:val="0"/>
      <w:spacing w:line="300" w:lineRule="auto"/>
      <w:ind w:firstLine="620"/>
    </w:pPr>
    <w:rPr>
      <w:rFonts w:ascii="楷体_GB2312" w:eastAsia="楷体_GB2312"/>
      <w:snapToGrid w:val="0"/>
      <w:kern w:val="0"/>
      <w:szCs w:val="21"/>
    </w:rPr>
  </w:style>
  <w:style w:type="paragraph" w:customStyle="1" w:styleId="40">
    <w:name w:val="样式 样式 标题 2 + (西文) Times New Roman (中文) 宋体 小三 首行缩进:  1.06 厘米 段前:...."/>
    <w:basedOn w:val="1"/>
    <w:qFormat/>
    <w:uiPriority w:val="0"/>
    <w:pPr>
      <w:keepNext/>
      <w:keepLines/>
      <w:adjustRightInd w:val="0"/>
      <w:spacing w:line="300" w:lineRule="auto"/>
      <w:jc w:val="center"/>
      <w:outlineLvl w:val="1"/>
    </w:pPr>
    <w:rPr>
      <w:rFonts w:ascii="楷体_GB2312" w:eastAsia="楷体_GB2312"/>
      <w:b/>
      <w:bCs/>
      <w:kern w:val="44"/>
      <w:szCs w:val="20"/>
    </w:rPr>
  </w:style>
  <w:style w:type="paragraph" w:customStyle="1" w:styleId="41">
    <w:name w:val="Definition Term"/>
    <w:basedOn w:val="1"/>
    <w:next w:val="42"/>
    <w:qFormat/>
    <w:uiPriority w:val="0"/>
    <w:pPr>
      <w:autoSpaceDE w:val="0"/>
      <w:autoSpaceDN w:val="0"/>
      <w:adjustRightInd w:val="0"/>
      <w:jc w:val="left"/>
    </w:pPr>
    <w:rPr>
      <w:rFonts w:eastAsia="宋体"/>
      <w:kern w:val="0"/>
      <w:sz w:val="24"/>
      <w:szCs w:val="20"/>
    </w:rPr>
  </w:style>
  <w:style w:type="paragraph" w:customStyle="1" w:styleId="42">
    <w:name w:val="Definition List"/>
    <w:basedOn w:val="1"/>
    <w:next w:val="41"/>
    <w:qFormat/>
    <w:uiPriority w:val="0"/>
    <w:pPr>
      <w:autoSpaceDE w:val="0"/>
      <w:autoSpaceDN w:val="0"/>
      <w:adjustRightInd w:val="0"/>
      <w:ind w:left="360"/>
      <w:jc w:val="left"/>
    </w:pPr>
    <w:rPr>
      <w:rFonts w:eastAsia="宋体"/>
      <w:kern w:val="0"/>
      <w:sz w:val="24"/>
      <w:szCs w:val="20"/>
    </w:rPr>
  </w:style>
  <w:style w:type="character" w:customStyle="1" w:styleId="43">
    <w:name w:val="Definition"/>
    <w:qFormat/>
    <w:uiPriority w:val="0"/>
    <w:rPr>
      <w:i/>
    </w:rPr>
  </w:style>
  <w:style w:type="paragraph" w:customStyle="1" w:styleId="44">
    <w:name w:val="H1"/>
    <w:basedOn w:val="1"/>
    <w:next w:val="1"/>
    <w:qFormat/>
    <w:uiPriority w:val="0"/>
    <w:pPr>
      <w:keepNext/>
      <w:autoSpaceDE w:val="0"/>
      <w:autoSpaceDN w:val="0"/>
      <w:adjustRightInd w:val="0"/>
      <w:spacing w:before="100" w:after="100"/>
      <w:jc w:val="left"/>
      <w:outlineLvl w:val="1"/>
    </w:pPr>
    <w:rPr>
      <w:rFonts w:eastAsia="宋体"/>
      <w:b/>
      <w:kern w:val="36"/>
      <w:sz w:val="48"/>
      <w:szCs w:val="20"/>
    </w:rPr>
  </w:style>
  <w:style w:type="paragraph" w:customStyle="1" w:styleId="45">
    <w:name w:val="H2"/>
    <w:basedOn w:val="1"/>
    <w:next w:val="1"/>
    <w:qFormat/>
    <w:uiPriority w:val="0"/>
    <w:pPr>
      <w:keepNext/>
      <w:autoSpaceDE w:val="0"/>
      <w:autoSpaceDN w:val="0"/>
      <w:adjustRightInd w:val="0"/>
      <w:spacing w:before="100" w:after="100"/>
      <w:jc w:val="left"/>
      <w:outlineLvl w:val="2"/>
    </w:pPr>
    <w:rPr>
      <w:rFonts w:eastAsia="宋体"/>
      <w:b/>
      <w:kern w:val="0"/>
      <w:sz w:val="36"/>
      <w:szCs w:val="20"/>
    </w:rPr>
  </w:style>
  <w:style w:type="paragraph" w:customStyle="1" w:styleId="46">
    <w:name w:val="H3"/>
    <w:basedOn w:val="1"/>
    <w:next w:val="1"/>
    <w:qFormat/>
    <w:uiPriority w:val="0"/>
    <w:pPr>
      <w:keepNext/>
      <w:autoSpaceDE w:val="0"/>
      <w:autoSpaceDN w:val="0"/>
      <w:adjustRightInd w:val="0"/>
      <w:spacing w:before="100" w:after="100"/>
      <w:jc w:val="left"/>
      <w:outlineLvl w:val="3"/>
    </w:pPr>
    <w:rPr>
      <w:rFonts w:eastAsia="宋体"/>
      <w:b/>
      <w:kern w:val="0"/>
      <w:szCs w:val="20"/>
    </w:rPr>
  </w:style>
  <w:style w:type="paragraph" w:customStyle="1" w:styleId="47">
    <w:name w:val="H4"/>
    <w:basedOn w:val="1"/>
    <w:next w:val="1"/>
    <w:qFormat/>
    <w:uiPriority w:val="0"/>
    <w:pPr>
      <w:keepNext/>
      <w:autoSpaceDE w:val="0"/>
      <w:autoSpaceDN w:val="0"/>
      <w:adjustRightInd w:val="0"/>
      <w:spacing w:before="100" w:after="100"/>
      <w:jc w:val="left"/>
      <w:outlineLvl w:val="4"/>
    </w:pPr>
    <w:rPr>
      <w:rFonts w:eastAsia="宋体"/>
      <w:b/>
      <w:kern w:val="0"/>
      <w:sz w:val="24"/>
      <w:szCs w:val="20"/>
    </w:rPr>
  </w:style>
  <w:style w:type="paragraph" w:customStyle="1" w:styleId="48">
    <w:name w:val="H5"/>
    <w:basedOn w:val="1"/>
    <w:next w:val="1"/>
    <w:qFormat/>
    <w:uiPriority w:val="0"/>
    <w:pPr>
      <w:keepNext/>
      <w:autoSpaceDE w:val="0"/>
      <w:autoSpaceDN w:val="0"/>
      <w:adjustRightInd w:val="0"/>
      <w:spacing w:before="100" w:after="100"/>
      <w:jc w:val="left"/>
      <w:outlineLvl w:val="5"/>
    </w:pPr>
    <w:rPr>
      <w:rFonts w:eastAsia="宋体"/>
      <w:b/>
      <w:kern w:val="0"/>
      <w:sz w:val="20"/>
      <w:szCs w:val="20"/>
    </w:rPr>
  </w:style>
  <w:style w:type="paragraph" w:customStyle="1" w:styleId="49">
    <w:name w:val="H6"/>
    <w:basedOn w:val="1"/>
    <w:next w:val="1"/>
    <w:qFormat/>
    <w:uiPriority w:val="0"/>
    <w:pPr>
      <w:keepNext/>
      <w:autoSpaceDE w:val="0"/>
      <w:autoSpaceDN w:val="0"/>
      <w:adjustRightInd w:val="0"/>
      <w:spacing w:before="100" w:after="100"/>
      <w:jc w:val="left"/>
      <w:outlineLvl w:val="6"/>
    </w:pPr>
    <w:rPr>
      <w:rFonts w:eastAsia="宋体"/>
      <w:b/>
      <w:kern w:val="0"/>
      <w:sz w:val="16"/>
      <w:szCs w:val="20"/>
    </w:rPr>
  </w:style>
  <w:style w:type="paragraph" w:customStyle="1" w:styleId="50">
    <w:name w:val="Address"/>
    <w:basedOn w:val="1"/>
    <w:next w:val="1"/>
    <w:qFormat/>
    <w:uiPriority w:val="0"/>
    <w:pPr>
      <w:autoSpaceDE w:val="0"/>
      <w:autoSpaceDN w:val="0"/>
      <w:adjustRightInd w:val="0"/>
      <w:jc w:val="left"/>
    </w:pPr>
    <w:rPr>
      <w:rFonts w:eastAsia="宋体"/>
      <w:i/>
      <w:kern w:val="0"/>
      <w:sz w:val="24"/>
      <w:szCs w:val="20"/>
    </w:rPr>
  </w:style>
  <w:style w:type="character" w:customStyle="1" w:styleId="51">
    <w:name w:val="CITE"/>
    <w:qFormat/>
    <w:uiPriority w:val="0"/>
    <w:rPr>
      <w:i/>
    </w:rPr>
  </w:style>
  <w:style w:type="character" w:customStyle="1" w:styleId="52">
    <w:name w:val="CODE"/>
    <w:qFormat/>
    <w:uiPriority w:val="0"/>
    <w:rPr>
      <w:rFonts w:ascii="Courier New" w:hAnsi="Courier New"/>
      <w:sz w:val="20"/>
    </w:rPr>
  </w:style>
  <w:style w:type="character" w:customStyle="1" w:styleId="53">
    <w:name w:val="Keyboard"/>
    <w:qFormat/>
    <w:uiPriority w:val="0"/>
    <w:rPr>
      <w:rFonts w:ascii="Courier New" w:hAnsi="Courier New"/>
      <w:b/>
      <w:sz w:val="20"/>
    </w:rPr>
  </w:style>
  <w:style w:type="paragraph" w:customStyle="1" w:styleId="5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宋体"/>
      <w:kern w:val="0"/>
      <w:sz w:val="20"/>
      <w:szCs w:val="20"/>
    </w:rPr>
  </w:style>
  <w:style w:type="paragraph" w:customStyle="1" w:styleId="55">
    <w:name w:val="z-Bottom of Form"/>
    <w:next w:val="1"/>
    <w:qFormat/>
    <w:uiPriority w:val="0"/>
    <w:pPr>
      <w:widowControl w:val="0"/>
      <w:pBdr>
        <w:top w:val="double" w:color="000000" w:sz="2" w:space="0"/>
      </w:pBdr>
      <w:autoSpaceDE w:val="0"/>
      <w:autoSpaceDN w:val="0"/>
      <w:adjustRightInd w:val="0"/>
      <w:jc w:val="center"/>
    </w:pPr>
    <w:rPr>
      <w:rFonts w:ascii="Arial" w:hAnsi="Arial" w:eastAsia="宋体" w:cs="Times New Roman"/>
      <w:vanish/>
      <w:sz w:val="16"/>
      <w:lang w:val="en-US" w:eastAsia="zh-CN" w:bidi="ar-SA"/>
    </w:rPr>
  </w:style>
  <w:style w:type="paragraph" w:customStyle="1" w:styleId="56">
    <w:name w:val="z-Top of Form"/>
    <w:next w:val="1"/>
    <w:qFormat/>
    <w:uiPriority w:val="0"/>
    <w:pPr>
      <w:widowControl w:val="0"/>
      <w:pBdr>
        <w:bottom w:val="double" w:color="000000" w:sz="2" w:space="0"/>
      </w:pBdr>
      <w:autoSpaceDE w:val="0"/>
      <w:autoSpaceDN w:val="0"/>
      <w:adjustRightInd w:val="0"/>
      <w:jc w:val="center"/>
    </w:pPr>
    <w:rPr>
      <w:rFonts w:ascii="Arial" w:hAnsi="Arial" w:eastAsia="宋体" w:cs="Times New Roman"/>
      <w:vanish/>
      <w:sz w:val="16"/>
      <w:lang w:val="en-US" w:eastAsia="zh-CN" w:bidi="ar-SA"/>
    </w:rPr>
  </w:style>
  <w:style w:type="character" w:customStyle="1" w:styleId="57">
    <w:name w:val="Sample"/>
    <w:qFormat/>
    <w:uiPriority w:val="0"/>
    <w:rPr>
      <w:rFonts w:ascii="Courier New" w:hAnsi="Courier New"/>
    </w:rPr>
  </w:style>
  <w:style w:type="character" w:customStyle="1" w:styleId="58">
    <w:name w:val="Typewriter"/>
    <w:qFormat/>
    <w:uiPriority w:val="0"/>
    <w:rPr>
      <w:rFonts w:ascii="Courier New" w:hAnsi="Courier New"/>
      <w:sz w:val="20"/>
    </w:rPr>
  </w:style>
  <w:style w:type="character" w:customStyle="1" w:styleId="59">
    <w:name w:val="Variable"/>
    <w:qFormat/>
    <w:uiPriority w:val="0"/>
    <w:rPr>
      <w:i/>
    </w:rPr>
  </w:style>
  <w:style w:type="character" w:customStyle="1" w:styleId="60">
    <w:name w:val="HTML Markup"/>
    <w:qFormat/>
    <w:uiPriority w:val="0"/>
    <w:rPr>
      <w:vanish/>
      <w:color w:val="FF0000"/>
    </w:rPr>
  </w:style>
  <w:style w:type="character" w:customStyle="1" w:styleId="61">
    <w:name w:val="Comment"/>
    <w:qFormat/>
    <w:uiPriority w:val="0"/>
    <w:rPr>
      <w:vanish/>
    </w:rPr>
  </w:style>
  <w:style w:type="paragraph" w:customStyle="1" w:styleId="62">
    <w:name w:val="xl22"/>
    <w:basedOn w:val="1"/>
    <w:qFormat/>
    <w:uiPriority w:val="0"/>
    <w:pPr>
      <w:widowControl/>
      <w:spacing w:before="100" w:beforeAutospacing="1" w:after="100" w:afterAutospacing="1"/>
      <w:jc w:val="center"/>
    </w:pPr>
    <w:rPr>
      <w:rFonts w:ascii="Arial Unicode MS" w:hAnsi="Arial Unicode MS" w:eastAsia="宋体"/>
      <w:kern w:val="0"/>
      <w:sz w:val="21"/>
      <w:szCs w:val="21"/>
    </w:rPr>
  </w:style>
  <w:style w:type="character" w:customStyle="1" w:styleId="63">
    <w:name w:val="招标正文 Char"/>
    <w:basedOn w:val="21"/>
    <w:link w:val="64"/>
    <w:qFormat/>
    <w:uiPriority w:val="0"/>
    <w:rPr>
      <w:rFonts w:ascii="宋体" w:hAnsi="宋体" w:eastAsia="宋体"/>
      <w:kern w:val="2"/>
      <w:sz w:val="21"/>
      <w:szCs w:val="21"/>
      <w:lang w:val="en-US" w:eastAsia="zh-CN" w:bidi="ar-SA"/>
    </w:rPr>
  </w:style>
  <w:style w:type="paragraph" w:customStyle="1" w:styleId="64">
    <w:name w:val="招标正文"/>
    <w:basedOn w:val="1"/>
    <w:link w:val="63"/>
    <w:qFormat/>
    <w:uiPriority w:val="0"/>
    <w:pPr>
      <w:spacing w:line="300" w:lineRule="auto"/>
      <w:ind w:firstLine="420" w:firstLineChars="200"/>
    </w:pPr>
    <w:rPr>
      <w:rFonts w:ascii="宋体" w:hAnsi="宋体" w:eastAsia="宋体"/>
      <w:sz w:val="21"/>
      <w:szCs w:val="21"/>
    </w:rPr>
  </w:style>
  <w:style w:type="paragraph" w:customStyle="1" w:styleId="65">
    <w:name w:val="Char1"/>
    <w:basedOn w:val="1"/>
    <w:qFormat/>
    <w:uiPriority w:val="0"/>
    <w:rPr>
      <w:rFonts w:ascii="Arial" w:hAnsi="Arial" w:cs="Arial"/>
      <w:sz w:val="20"/>
      <w:szCs w:val="20"/>
    </w:rPr>
  </w:style>
  <w:style w:type="character" w:customStyle="1" w:styleId="66">
    <w:name w:val="font21"/>
    <w:basedOn w:val="21"/>
    <w:qFormat/>
    <w:uiPriority w:val="0"/>
    <w:rPr>
      <w:rFonts w:hint="eastAsia" w:ascii="宋体" w:hAnsi="宋体" w:eastAsia="宋体" w:cs="宋体"/>
      <w:color w:val="000000"/>
      <w:sz w:val="24"/>
      <w:szCs w:val="24"/>
      <w:u w:val="none"/>
      <w:vertAlign w:val="superscript"/>
    </w:rPr>
  </w:style>
  <w:style w:type="character" w:customStyle="1" w:styleId="67">
    <w:name w:val="正文文本 字符"/>
    <w:basedOn w:val="21"/>
    <w:link w:val="2"/>
    <w:qFormat/>
    <w:uiPriority w:val="0"/>
    <w:rPr>
      <w:rFonts w:eastAsia="仿宋_GB2312"/>
      <w:kern w:val="2"/>
      <w:sz w:val="28"/>
      <w:szCs w:val="28"/>
    </w:rPr>
  </w:style>
  <w:style w:type="character" w:customStyle="1" w:styleId="68">
    <w:name w:val="正文文本首行缩进 字符"/>
    <w:basedOn w:val="67"/>
    <w:link w:val="18"/>
    <w:qFormat/>
    <w:uiPriority w:val="99"/>
    <w:rPr>
      <w:rFonts w:eastAsia="仿宋_GB2312"/>
      <w:kern w:val="2"/>
      <w:sz w:val="28"/>
      <w:szCs w:val="28"/>
    </w:rPr>
  </w:style>
  <w:style w:type="paragraph" w:styleId="69">
    <w:name w:val="List Paragraph"/>
    <w:basedOn w:val="1"/>
    <w:qFormat/>
    <w:uiPriority w:val="99"/>
    <w:pPr>
      <w:ind w:firstLine="420" w:firstLineChars="200"/>
    </w:pPr>
  </w:style>
  <w:style w:type="character" w:customStyle="1" w:styleId="70">
    <w:name w:val="标题 1 字符"/>
    <w:basedOn w:val="21"/>
    <w:link w:val="3"/>
    <w:qFormat/>
    <w:uiPriority w:val="0"/>
    <w:rPr>
      <w:b/>
      <w:bCs/>
      <w:kern w:val="44"/>
      <w:sz w:val="44"/>
      <w:szCs w:val="44"/>
    </w:rPr>
  </w:style>
  <w:style w:type="paragraph" w:customStyle="1" w:styleId="71">
    <w:name w:val="索引 51"/>
    <w:next w:val="1"/>
    <w:qFormat/>
    <w:uiPriority w:val="0"/>
    <w:pPr>
      <w:widowControl w:val="0"/>
      <w:ind w:left="1680"/>
      <w:jc w:val="both"/>
    </w:pPr>
    <w:rPr>
      <w:rFonts w:ascii="Calibri" w:hAnsi="Calibri" w:eastAsia="宋体" w:cs="Times New Roman"/>
      <w:kern w:val="2"/>
      <w:sz w:val="21"/>
      <w:szCs w:val="24"/>
      <w:lang w:val="en-US" w:eastAsia="zh-CN" w:bidi="ar-SA"/>
    </w:rPr>
  </w:style>
  <w:style w:type="character" w:customStyle="1" w:styleId="72">
    <w:name w:val="标题 2 字符"/>
    <w:link w:val="4"/>
    <w:qFormat/>
    <w:uiPriority w:val="0"/>
    <w:rPr>
      <w:rFonts w:ascii="宋体" w:hAnsi="宋体" w:eastAsia="仿宋_GB2312"/>
      <w:b/>
      <w:color w:val="000000"/>
      <w:sz w:val="28"/>
      <w:szCs w:val="28"/>
    </w:rPr>
  </w:style>
  <w:style w:type="paragraph" w:customStyle="1" w:styleId="73">
    <w:name w:val="样式 标题 3 + (中文) 黑体 小四 非加粗 段前: 7.8 磅 段后: 0 磅 行距: 固定值 20 磅"/>
    <w:basedOn w:val="5"/>
    <w:qFormat/>
    <w:uiPriority w:val="0"/>
    <w:pPr>
      <w:spacing w:before="0" w:after="0" w:line="400" w:lineRule="exact"/>
    </w:pPr>
    <w:rPr>
      <w:rFonts w:eastAsia="黑体" w:cs="宋体"/>
      <w:b w:val="0"/>
      <w:sz w:val="24"/>
    </w:rPr>
  </w:style>
  <w:style w:type="paragraph" w:customStyle="1" w:styleId="74">
    <w:name w:val="Heading3"/>
    <w:basedOn w:val="1"/>
    <w:next w:val="1"/>
    <w:qFormat/>
    <w:uiPriority w:val="99"/>
    <w:pPr>
      <w:spacing w:before="16"/>
      <w:jc w:val="left"/>
    </w:pPr>
    <w:rPr>
      <w:rFonts w:ascii="仿宋_GB2312" w:hAnsi="宋体" w:cs="仿宋_GB2312"/>
      <w:b/>
      <w:bCs/>
      <w:sz w:val="24"/>
      <w:szCs w:val="24"/>
    </w:rPr>
  </w:style>
  <w:style w:type="character" w:customStyle="1" w:styleId="75">
    <w:name w:val="font31"/>
    <w:basedOn w:val="21"/>
    <w:qFormat/>
    <w:uiPriority w:val="0"/>
    <w:rPr>
      <w:rFonts w:hint="eastAsia" w:ascii="宋体" w:hAnsi="宋体" w:eastAsia="宋体" w:cs="宋体"/>
      <w:color w:val="000000"/>
      <w:sz w:val="20"/>
      <w:szCs w:val="20"/>
      <w:u w:val="none"/>
      <w:vertAlign w:val="superscript"/>
    </w:rPr>
  </w:style>
  <w:style w:type="character" w:customStyle="1" w:styleId="76">
    <w:name w:val="font11"/>
    <w:basedOn w:val="21"/>
    <w:qFormat/>
    <w:uiPriority w:val="0"/>
    <w:rPr>
      <w:rFonts w:hint="eastAsia" w:ascii="宋体" w:hAnsi="宋体" w:eastAsia="宋体" w:cs="宋体"/>
      <w:color w:val="000000"/>
      <w:sz w:val="20"/>
      <w:szCs w:val="20"/>
      <w:u w:val="none"/>
    </w:rPr>
  </w:style>
  <w:style w:type="character" w:customStyle="1" w:styleId="77">
    <w:name w:val="font01"/>
    <w:basedOn w:val="21"/>
    <w:qFormat/>
    <w:uiPriority w:val="0"/>
    <w:rPr>
      <w:rFonts w:hint="eastAsia" w:ascii="宋体" w:hAnsi="宋体" w:eastAsia="宋体" w:cs="宋体"/>
      <w:color w:val="000000"/>
      <w:sz w:val="18"/>
      <w:szCs w:val="18"/>
      <w:u w:val="none"/>
      <w:vertAlign w:val="superscript"/>
    </w:rPr>
  </w:style>
  <w:style w:type="paragraph" w:customStyle="1" w:styleId="78">
    <w:name w:val="正文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lang w:val="en-US" w:eastAsia="zh-CN" w:bidi="ar-SA"/>
    </w:rPr>
  </w:style>
  <w:style w:type="paragraph" w:customStyle="1" w:styleId="79">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34</Pages>
  <Words>11458</Words>
  <Characters>11933</Characters>
  <Lines>81</Lines>
  <Paragraphs>22</Paragraphs>
  <TotalTime>4</TotalTime>
  <ScaleCrop>false</ScaleCrop>
  <LinksUpToDate>false</LinksUpToDate>
  <CharactersWithSpaces>12838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2022-11-21T23:10:00Z</dcterms:created>
  <dc:creator>user</dc:creator>
  <cp:lastModifiedBy>葉小偞</cp:lastModifiedBy>
  <cp:lastPrinted>2023-02-28T01:41:00Z</cp:lastPrinted>
  <dcterms:modified xsi:type="dcterms:W3CDTF">2023-03-02T07:47:37Z</dcterms:modified>
  <dc:title>元方新城A区1号楼工程</dc:title>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B7A4259F9FAE443CA9D2186A8EB54A45</vt:lpwstr>
  </property>
</Properties>
</file>