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eastAsia="宋体" w:cs="Times New Roman"/>
          <w:b/>
          <w:sz w:val="32"/>
          <w:szCs w:val="24"/>
        </w:rPr>
      </w:pPr>
    </w:p>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eastAsia="楷体_GB2312" w:cs="Times New Roman"/>
          <w:sz w:val="32"/>
          <w:szCs w:val="24"/>
        </w:rPr>
      </w:pPr>
      <w:r>
        <w:rPr>
          <w:rFonts w:hint="eastAsia" w:ascii="Times New Roman" w:hAnsi="Times New Roman" w:eastAsia="楷体_GB2312" w:cs="Times New Roman"/>
          <w:sz w:val="32"/>
          <w:szCs w:val="24"/>
          <w:lang w:eastAsia="zh-CN"/>
        </w:rPr>
        <w:t>渝</w:t>
      </w:r>
      <w:r>
        <w:rPr>
          <w:rFonts w:ascii="Times New Roman" w:hAnsi="Times New Roman" w:eastAsia="楷体_GB2312" w:cs="Times New Roman"/>
          <w:sz w:val="32"/>
          <w:szCs w:val="24"/>
        </w:rPr>
        <w:t>采矿出字〔20</w:t>
      </w:r>
      <w:r>
        <w:rPr>
          <w:rFonts w:hint="eastAsia" w:ascii="Times New Roman" w:hAnsi="Times New Roman" w:eastAsia="楷体_GB2312" w:cs="Times New Roman"/>
          <w:sz w:val="32"/>
          <w:szCs w:val="24"/>
          <w:lang w:val="en-US" w:eastAsia="zh-CN"/>
        </w:rPr>
        <w:t>21</w:t>
      </w:r>
      <w:r>
        <w:rPr>
          <w:rFonts w:ascii="Times New Roman" w:hAnsi="Times New Roman" w:eastAsia="楷体_GB2312" w:cs="Times New Roman"/>
          <w:sz w:val="32"/>
          <w:szCs w:val="24"/>
        </w:rPr>
        <w:t>〕</w:t>
      </w:r>
      <w:r>
        <w:rPr>
          <w:rFonts w:hint="eastAsia" w:ascii="Times New Roman" w:hAnsi="Times New Roman" w:eastAsia="楷体_GB2312" w:cs="Times New Roman"/>
          <w:sz w:val="32"/>
          <w:szCs w:val="24"/>
          <w:lang w:eastAsia="zh-CN"/>
        </w:rPr>
        <w:t>（綦江）</w:t>
      </w:r>
      <w:bookmarkStart w:id="0" w:name="_GoBack"/>
      <w:bookmarkEnd w:id="0"/>
      <w:r>
        <w:rPr>
          <w:rFonts w:ascii="Times New Roman" w:hAnsi="Times New Roman" w:eastAsia="楷体_GB2312" w:cs="Times New Roman"/>
          <w:sz w:val="32"/>
          <w:szCs w:val="24"/>
        </w:rPr>
        <w:t>第</w:t>
      </w:r>
      <w:r>
        <w:rPr>
          <w:rFonts w:hint="eastAsia" w:ascii="Times New Roman" w:hAnsi="Times New Roman" w:eastAsia="楷体_GB2312" w:cs="Times New Roman"/>
          <w:sz w:val="32"/>
          <w:szCs w:val="24"/>
          <w:u w:val="none"/>
          <w:lang w:val="en-US" w:eastAsia="zh-CN"/>
        </w:rPr>
        <w:t xml:space="preserve"> </w:t>
      </w:r>
      <w:r>
        <w:rPr>
          <w:rFonts w:ascii="Times New Roman" w:hAnsi="Times New Roman" w:eastAsia="楷体_GB2312" w:cs="Times New Roman"/>
          <w:sz w:val="32"/>
          <w:szCs w:val="24"/>
        </w:rPr>
        <w:t>号</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sz w:val="32"/>
          <w:szCs w:val="24"/>
        </w:rPr>
      </w:pP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sz w:val="32"/>
          <w:szCs w:val="32"/>
        </w:rPr>
        <w:t>重庆市綦江区</w:t>
      </w:r>
      <w:r>
        <w:rPr>
          <w:rFonts w:hint="eastAsia" w:ascii="Times New Roman" w:hAnsi="Times New Roman" w:eastAsia="仿宋_GB2312" w:cs="Times New Roman"/>
          <w:sz w:val="32"/>
          <w:szCs w:val="32"/>
          <w:lang w:eastAsia="zh-CN"/>
        </w:rPr>
        <w:t>规划和自然资源局</w:t>
      </w:r>
      <w:r>
        <w:rPr>
          <w:rFonts w:hint="eastAsia"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rPr>
        <w:t>綦江区古南街道</w:t>
      </w:r>
      <w:r>
        <w:rPr>
          <w:rFonts w:hint="eastAsia" w:ascii="Times New Roman" w:hAnsi="Times New Roman" w:eastAsia="仿宋_GB2312" w:cs="Times New Roman"/>
          <w:sz w:val="32"/>
          <w:szCs w:val="32"/>
          <w:lang w:eastAsia="zh-CN"/>
        </w:rPr>
        <w:t>南门路</w:t>
      </w:r>
      <w:r>
        <w:rPr>
          <w:rFonts w:hint="eastAsia" w:ascii="Times New Roman" w:hAnsi="Times New Roman" w:eastAsia="仿宋_GB2312" w:cs="Times New Roman"/>
          <w:sz w:val="32"/>
          <w:szCs w:val="32"/>
          <w:lang w:val="en-US" w:eastAsia="zh-CN"/>
        </w:rPr>
        <w:t>1号</w:t>
      </w:r>
      <w:r>
        <w:rPr>
          <w:rFonts w:hint="eastAsia"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 xml:space="preserve">陈晓军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43" w:firstLineChars="200"/>
        <w:outlineLvl w:val="9"/>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b/>
          <w:sz w:val="32"/>
          <w:szCs w:val="32"/>
          <w:lang w:val="en-US" w:eastAsia="zh-CN"/>
        </w:rPr>
        <w:t>职   务</w:t>
      </w:r>
      <w:r>
        <w:rPr>
          <w:rFonts w:hint="eastAsia" w:ascii="Times New Roman" w:hAnsi="Times New Roman" w:eastAsia="仿宋_GB2312" w:cs="Times New Roman"/>
          <w:sz w:val="32"/>
          <w:szCs w:val="32"/>
          <w:lang w:val="en-US" w:eastAsia="zh-CN"/>
        </w:rPr>
        <w:t>：法定代表人</w:t>
      </w:r>
      <w:r>
        <w:rPr>
          <w:rFonts w:hint="eastAsia" w:ascii="仿宋_GB2312"/>
          <w:szCs w:val="32"/>
          <w:lang w:val="en-US" w:eastAsia="zh-CN"/>
        </w:rPr>
        <w:t xml:space="preserve">   </w:t>
      </w:r>
      <w:r>
        <w:rPr>
          <w:rFonts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32"/>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keepNext w:val="0"/>
        <w:keepLines w:val="0"/>
        <w:pageBreakBefore w:val="0"/>
        <w:kinsoku/>
        <w:wordWrap/>
        <w:overflowPunct/>
        <w:topLinePunct w:val="0"/>
        <w:autoSpaceDE/>
        <w:autoSpaceDN/>
        <w:bidi w:val="0"/>
        <w:adjustRightInd/>
        <w:snapToGrid/>
        <w:spacing w:line="500" w:lineRule="exact"/>
        <w:ind w:firstLine="640" w:firstLineChars="200"/>
        <w:outlineLvl w:val="9"/>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根据《中华人民共和国矿产资源法》、《中华人民共和国合同法》、《重庆市矿产资源管理条例》等有关法律法规规定，双方本着平等、自愿、公平、诚实信用的原则，依法订立本合同。</w:t>
      </w:r>
    </w:p>
    <w:p>
      <w:pPr>
        <w:keepNext w:val="0"/>
        <w:keepLines w:val="0"/>
        <w:pageBreakBefore w:val="0"/>
        <w:kinsoku/>
        <w:wordWrap/>
        <w:overflowPunct/>
        <w:topLinePunct w:val="0"/>
        <w:autoSpaceDE/>
        <w:autoSpaceDN/>
        <w:bidi w:val="0"/>
        <w:adjustRightInd/>
        <w:snapToGrid/>
        <w:spacing w:line="500" w:lineRule="exact"/>
        <w:ind w:firstLine="619" w:firstLineChars="200"/>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iCs/>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本次出让采矿权属</w:t>
      </w:r>
      <w:r>
        <w:rPr>
          <w:rFonts w:hint="eastAsia" w:ascii="仿宋_GB2312"/>
          <w:color w:val="000000"/>
          <w:spacing w:val="-6"/>
          <w:szCs w:val="32"/>
          <w:u w:val="single"/>
          <w:lang w:val="en-US" w:eastAsia="zh-CN"/>
        </w:rPr>
        <w:t xml:space="preserve">      </w:t>
      </w:r>
      <w:r>
        <w:rPr>
          <w:rFonts w:hint="eastAsia" w:ascii="Times New Roman" w:hAnsi="Times New Roman" w:eastAsia="仿宋_GB2312" w:cs="Times New Roman"/>
          <w:spacing w:val="-6"/>
          <w:sz w:val="32"/>
          <w:szCs w:val="32"/>
        </w:rPr>
        <w:t>矿山采矿权。出让方以</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出让方式出让采矿权</w:t>
      </w:r>
      <w:r>
        <w:rPr>
          <w:rFonts w:ascii="Times New Roman" w:hAnsi="Times New Roman" w:eastAsia="仿宋_GB2312" w:cs="Times New Roman"/>
          <w:spacing w:val="-6"/>
          <w:sz w:val="32"/>
          <w:szCs w:val="32"/>
        </w:rPr>
        <w:t>：</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keepNext w:val="0"/>
        <w:keepLines w:val="0"/>
        <w:pageBreakBefore w:val="0"/>
        <w:kinsoku/>
        <w:wordWrap/>
        <w:overflowPunct/>
        <w:topLinePunct w:val="0"/>
        <w:autoSpaceDE/>
        <w:autoSpaceDN/>
        <w:bidi w:val="0"/>
        <w:adjustRightInd/>
        <w:snapToGrid/>
        <w:spacing w:line="500" w:lineRule="exact"/>
        <w:ind w:firstLine="619" w:firstLineChars="200"/>
        <w:outlineLvl w:val="9"/>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lang w:eastAsia="zh-CN"/>
        </w:rPr>
        <w:t>重庆市</w:t>
      </w:r>
      <w:r>
        <w:rPr>
          <w:rFonts w:hint="eastAsia" w:ascii="方正仿宋_GBK" w:hAnsi="方正仿宋_GBK" w:eastAsia="方正仿宋_GBK" w:cs="方正仿宋_GBK"/>
          <w:color w:val="000000"/>
          <w:sz w:val="32"/>
          <w:szCs w:val="32"/>
        </w:rPr>
        <w:t>綦江区石壕镇杉树湾</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矿山名称重庆市綦江区石壕镇石泉村建筑石料用灰岩采矿点</w:t>
      </w:r>
      <w:r>
        <w:rPr>
          <w:rFonts w:hint="eastAsia" w:eastAsia="仿宋_GB2312"/>
          <w:sz w:val="32"/>
          <w:szCs w:val="32"/>
          <w:lang w:val="en-US" w:eastAsia="zh-CN"/>
        </w:rPr>
        <w:t>(暂定名）</w:t>
      </w:r>
      <w:r>
        <w:rPr>
          <w:rFonts w:hint="eastAsia" w:ascii="Times New Roman" w:hAnsi="Times New Roman" w:eastAsia="仿宋_GB2312" w:cs="Times New Roman"/>
          <w:spacing w:val="-6"/>
          <w:sz w:val="32"/>
          <w:szCs w:val="32"/>
          <w:lang w:val="en-US" w:eastAsia="zh-CN"/>
        </w:rPr>
        <w:t xml:space="preserve"> </w:t>
      </w:r>
      <w:r>
        <w:rPr>
          <w:rFonts w:hint="eastAsia" w:ascii="宋体" w:hAnsi="宋体" w:eastAsia="宋体" w:cs="宋体"/>
          <w:kern w:val="0"/>
          <w:sz w:val="28"/>
          <w:szCs w:val="28"/>
          <w:u w:val="none"/>
        </w:rPr>
        <w:t>，</w:t>
      </w:r>
      <w:r>
        <w:rPr>
          <w:rFonts w:ascii="Times New Roman" w:hAnsi="Times New Roman" w:eastAsia="仿宋_GB2312" w:cs="Times New Roman"/>
          <w:spacing w:val="-6"/>
          <w:sz w:val="32"/>
          <w:szCs w:val="32"/>
        </w:rPr>
        <w:t>矿区面积</w:t>
      </w:r>
      <w:r>
        <w:rPr>
          <w:rFonts w:hint="eastAsia" w:ascii="Times New Roman" w:hAnsi="Times New Roman" w:eastAsia="方正仿宋_GBK" w:cs="Times New Roman"/>
          <w:color w:val="000000"/>
          <w:sz w:val="32"/>
          <w:szCs w:val="32"/>
          <w:lang w:val="en-US" w:eastAsia="zh-CN"/>
        </w:rPr>
        <w:t>0.2685</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出让矿种为</w:t>
      </w:r>
      <w:r>
        <w:rPr>
          <w:rFonts w:hint="eastAsia" w:eastAsia="仿宋_GB2312"/>
          <w:sz w:val="32"/>
          <w:szCs w:val="32"/>
          <w:lang w:eastAsia="zh-CN"/>
        </w:rPr>
        <w:t>建筑石料用灰岩</w:t>
      </w:r>
      <w:r>
        <w:rPr>
          <w:rFonts w:ascii="Times New Roman" w:hAnsi="Times New Roman" w:eastAsia="仿宋_GB2312" w:cs="Times New Roman"/>
          <w:sz w:val="32"/>
          <w:szCs w:val="32"/>
        </w:rPr>
        <w:t>，资源储量</w:t>
      </w:r>
      <w:r>
        <w:rPr>
          <w:rFonts w:hint="eastAsia" w:ascii="Times New Roman" w:hAnsi="Times New Roman" w:eastAsia="方正仿宋_GBK" w:cs="Times New Roman"/>
          <w:color w:val="000000"/>
          <w:sz w:val="32"/>
          <w:szCs w:val="32"/>
          <w:lang w:val="en-US" w:eastAsia="zh-CN"/>
        </w:rPr>
        <w:t>1133.6</w:t>
      </w:r>
      <w:r>
        <w:rPr>
          <w:rFonts w:ascii="Times New Roman" w:hAnsi="Times New Roman" w:eastAsia="仿宋_GB2312" w:cs="Times New Roman"/>
          <w:sz w:val="32"/>
          <w:szCs w:val="32"/>
        </w:rPr>
        <w:t>万吨。矿区范围拐点坐标表</w:t>
      </w:r>
      <w:r>
        <w:rPr>
          <w:rFonts w:hint="eastAsia" w:ascii="Times New Roman" w:hAnsi="Times New Roman" w:eastAsia="仿宋_GB2312" w:cs="Times New Roman"/>
          <w:sz w:val="32"/>
          <w:szCs w:val="32"/>
        </w:rPr>
        <w:t>如下（2000坐标系）：</w:t>
      </w:r>
    </w:p>
    <w:tbl>
      <w:tblPr>
        <w:tblStyle w:val="9"/>
        <w:tblW w:w="8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875"/>
        <w:gridCol w:w="1875"/>
        <w:gridCol w:w="780"/>
        <w:gridCol w:w="182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拐点</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X坐标</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Y坐标</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拐点</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X坐标</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500" w:lineRule="exact"/>
              <w:jc w:val="center"/>
              <w:outlineLvl w:val="9"/>
              <w:rPr>
                <w:rFonts w:ascii="Times New Roman" w:hAnsi="Times New Roman" w:cs="Times New Roman"/>
                <w:kern w:val="0"/>
                <w:szCs w:val="21"/>
              </w:rPr>
            </w:pPr>
            <w:r>
              <w:rPr>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1</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3158058.04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36370227.92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9</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方正仿宋_GBK" w:hAnsi="方正仿宋_GBK" w:eastAsia="方正仿宋_GBK" w:cs="方正仿宋_GBK"/>
                <w:color w:val="000000"/>
                <w:kern w:val="0"/>
                <w:sz w:val="20"/>
                <w:szCs w:val="20"/>
                <w:lang w:bidi="ar"/>
              </w:rPr>
            </w:pPr>
            <w:r>
              <w:rPr>
                <w:rFonts w:hint="eastAsia" w:ascii="仿宋_GB2312" w:hAnsi="宋体" w:eastAsia="仿宋_GB2312" w:cs="宋体"/>
                <w:color w:val="000000"/>
                <w:kern w:val="0"/>
                <w:szCs w:val="21"/>
              </w:rPr>
              <w:t xml:space="preserve">3157954.36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方正仿宋_GBK" w:hAnsi="方正仿宋_GBK" w:eastAsia="方正仿宋_GBK" w:cs="方正仿宋_GBK"/>
                <w:color w:val="000000"/>
                <w:kern w:val="0"/>
                <w:sz w:val="20"/>
                <w:szCs w:val="20"/>
                <w:lang w:bidi="ar"/>
              </w:rPr>
            </w:pPr>
            <w:r>
              <w:rPr>
                <w:rFonts w:hint="eastAsia" w:ascii="仿宋_GB2312" w:hAnsi="宋体" w:eastAsia="仿宋_GB2312" w:cs="宋体"/>
                <w:color w:val="000000"/>
                <w:kern w:val="0"/>
                <w:szCs w:val="21"/>
              </w:rPr>
              <w:t xml:space="preserve">36369825.59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2</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3158355.80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36369949.85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10</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3157857.32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36369922.99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3</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 xml:space="preserve">3158343.59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36369874.35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11</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 xml:space="preserve">3157897.60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cs="Times New Roman"/>
                <w:kern w:val="0"/>
                <w:szCs w:val="21"/>
              </w:rPr>
            </w:pPr>
            <w:r>
              <w:rPr>
                <w:rFonts w:hint="eastAsia" w:ascii="仿宋_GB2312" w:hAnsi="宋体" w:eastAsia="仿宋_GB2312" w:cs="宋体"/>
                <w:color w:val="000000"/>
                <w:kern w:val="0"/>
                <w:szCs w:val="21"/>
              </w:rPr>
              <w:t xml:space="preserve">36369958.27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4</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3158446.02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36369727.80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12</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3157835.58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36370074.66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5</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3158406.32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36369568.11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13</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3157782.86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36370031.88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6</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3158255.36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36369491.63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14</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3157710.50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36370088.95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7</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3158088.36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36369610.63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15</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3157750.00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36370166.11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olor w:val="auto"/>
                <w:kern w:val="0"/>
                <w:sz w:val="24"/>
                <w:szCs w:val="24"/>
                <w:lang w:val="en-US" w:eastAsia="zh-CN"/>
              </w:rPr>
            </w:pPr>
            <w:r>
              <w:rPr>
                <w:rFonts w:hint="eastAsia" w:ascii="仿宋_GB2312" w:hAnsi="宋体" w:eastAsia="仿宋_GB2312" w:cs="宋体"/>
                <w:color w:val="000000"/>
                <w:kern w:val="0"/>
                <w:szCs w:val="21"/>
              </w:rPr>
              <w:t>8</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3158141.26 </w:t>
            </w:r>
          </w:p>
        </w:tc>
        <w:tc>
          <w:tcPr>
            <w:tcW w:w="18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36369714.40 </w:t>
            </w:r>
          </w:p>
        </w:tc>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 w:hAnsi="宋体" w:eastAsia="仿宋" w:cs="宋体"/>
                <w:color w:val="333333"/>
                <w:kern w:val="0"/>
                <w:sz w:val="24"/>
                <w:szCs w:val="24"/>
                <w:lang w:val="en-US" w:eastAsia="zh-CN"/>
              </w:rPr>
            </w:pPr>
            <w:r>
              <w:rPr>
                <w:rFonts w:hint="eastAsia" w:ascii="仿宋_GB2312" w:hAnsi="宋体" w:eastAsia="仿宋_GB2312" w:cs="宋体"/>
                <w:color w:val="000000"/>
                <w:kern w:val="0"/>
                <w:szCs w:val="21"/>
              </w:rPr>
              <w:t>16</w:t>
            </w:r>
          </w:p>
        </w:tc>
        <w:tc>
          <w:tcPr>
            <w:tcW w:w="182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3157801.96 </w:t>
            </w:r>
          </w:p>
        </w:tc>
        <w:tc>
          <w:tcPr>
            <w:tcW w:w="174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宋体" w:cs="Times New Roman"/>
                <w:color w:val="000000"/>
                <w:kern w:val="0"/>
                <w:sz w:val="20"/>
                <w:szCs w:val="20"/>
              </w:rPr>
            </w:pPr>
            <w:r>
              <w:rPr>
                <w:rFonts w:hint="eastAsia" w:ascii="仿宋_GB2312" w:hAnsi="宋体" w:eastAsia="仿宋_GB2312" w:cs="宋体"/>
                <w:color w:val="000000"/>
                <w:kern w:val="0"/>
                <w:szCs w:val="21"/>
              </w:rPr>
              <w:t xml:space="preserve">36370234.66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8834"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00" w:lineRule="exact"/>
              <w:jc w:val="center"/>
              <w:textAlignment w:val="center"/>
              <w:outlineLvl w:val="9"/>
              <w:rPr>
                <w:rFonts w:hint="eastAsia" w:ascii="Times New Roman" w:hAnsi="Times New Roman" w:cs="Times New Roman" w:eastAsiaTheme="minorEastAsia"/>
                <w:kern w:val="0"/>
                <w:szCs w:val="21"/>
                <w:lang w:val="en-US" w:eastAsia="zh-CN"/>
              </w:rPr>
            </w:pPr>
            <w:r>
              <w:rPr>
                <w:rFonts w:hint="eastAsia" w:ascii="Times New Roman" w:hAnsi="Times New Roman" w:cs="Times New Roman"/>
                <w:kern w:val="0"/>
                <w:szCs w:val="21"/>
              </w:rPr>
              <w:t>标高：+</w:t>
            </w:r>
            <w:r>
              <w:rPr>
                <w:rFonts w:hint="eastAsia" w:ascii="Times New Roman" w:hAnsi="Times New Roman" w:cs="Times New Roman"/>
                <w:kern w:val="0"/>
                <w:szCs w:val="21"/>
                <w:lang w:val="en-US" w:eastAsia="zh-CN"/>
              </w:rPr>
              <w:t>1045</w:t>
            </w:r>
            <w:r>
              <w:rPr>
                <w:rFonts w:hint="eastAsia" w:ascii="Times New Roman" w:hAnsi="Times New Roman" w:cs="Times New Roman"/>
                <w:kern w:val="0"/>
                <w:szCs w:val="21"/>
              </w:rPr>
              <w:t>m~+</w:t>
            </w:r>
            <w:r>
              <w:rPr>
                <w:rFonts w:hint="eastAsia" w:ascii="Times New Roman" w:hAnsi="Times New Roman" w:cs="Times New Roman"/>
                <w:kern w:val="0"/>
                <w:szCs w:val="21"/>
                <w:lang w:val="en-US" w:eastAsia="zh-CN"/>
              </w:rPr>
              <w:t>950</w:t>
            </w:r>
            <w:r>
              <w:rPr>
                <w:rFonts w:hint="eastAsia" w:ascii="Times New Roman" w:hAnsi="Times New Roman" w:cs="Times New Roman"/>
                <w:kern w:val="0"/>
                <w:szCs w:val="21"/>
              </w:rPr>
              <w:t>m</w:t>
            </w:r>
          </w:p>
        </w:tc>
      </w:tr>
    </w:tbl>
    <w:p>
      <w:pPr>
        <w:keepNext w:val="0"/>
        <w:keepLines w:val="0"/>
        <w:pageBreakBefore w:val="0"/>
        <w:kinsoku/>
        <w:wordWrap/>
        <w:overflowPunct/>
        <w:topLinePunct w:val="0"/>
        <w:autoSpaceDE/>
        <w:autoSpaceDN/>
        <w:bidi w:val="0"/>
        <w:adjustRightInd/>
        <w:snapToGrid/>
        <w:spacing w:line="500" w:lineRule="exact"/>
        <w:ind w:firstLine="619" w:firstLineChars="200"/>
        <w:jc w:val="left"/>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方正仿宋_GBK" w:cs="Times New Roman"/>
          <w:color w:val="000000"/>
          <w:sz w:val="32"/>
          <w:szCs w:val="32"/>
          <w:u w:val="single"/>
          <w:lang w:val="en-US" w:eastAsia="zh-CN"/>
        </w:rPr>
        <w:t>16.2</w:t>
      </w:r>
      <w:r>
        <w:rPr>
          <w:rFonts w:hint="eastAsia" w:ascii="Times New Roman" w:hAnsi="Times New Roman" w:eastAsia="仿宋_GB2312" w:cs="Times New Roman"/>
          <w:spacing w:val="-6"/>
          <w:sz w:val="32"/>
          <w:szCs w:val="32"/>
          <w:u w:val="single"/>
          <w:lang w:val="en-US" w:eastAsia="zh-CN"/>
        </w:rPr>
        <w:t>年</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自签订采矿权出让合同之日起计算（自</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日起至</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hint="eastAsia" w:ascii="Times New Roman" w:hAnsi="Times New Roman" w:eastAsia="仿宋_GB2312" w:cs="Times New Roman"/>
          <w:spacing w:val="-6"/>
          <w:sz w:val="32"/>
          <w:szCs w:val="32"/>
        </w:rPr>
        <w:t>日止）。</w:t>
      </w:r>
    </w:p>
    <w:p>
      <w:pPr>
        <w:keepNext w:val="0"/>
        <w:keepLines w:val="0"/>
        <w:pageBreakBefore w:val="0"/>
        <w:kinsoku/>
        <w:wordWrap/>
        <w:overflowPunct/>
        <w:topLinePunct w:val="0"/>
        <w:autoSpaceDE/>
        <w:autoSpaceDN/>
        <w:bidi w:val="0"/>
        <w:adjustRightInd/>
        <w:snapToGrid/>
        <w:spacing w:line="500" w:lineRule="exact"/>
        <w:ind w:firstLine="619" w:firstLineChars="200"/>
        <w:jc w:val="left"/>
        <w:outlineLvl w:val="9"/>
        <w:rPr>
          <w:rFonts w:hint="eastAsia" w:ascii="Times New Roman" w:hAnsi="Times New Roman" w:eastAsia="仿宋_GB2312" w:cs="Times New Roman"/>
          <w:sz w:val="32"/>
          <w:szCs w:val="32"/>
          <w:lang w:eastAsia="zh-CN"/>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种方式缴纳采矿权出让收益：</w:t>
      </w:r>
    </w:p>
    <w:p>
      <w:pPr>
        <w:keepNext w:val="0"/>
        <w:keepLines w:val="0"/>
        <w:pageBreakBefore w:val="0"/>
        <w:kinsoku/>
        <w:wordWrap/>
        <w:overflowPunct/>
        <w:topLinePunct w:val="0"/>
        <w:autoSpaceDE/>
        <w:autoSpaceDN/>
        <w:bidi w:val="0"/>
        <w:adjustRightInd/>
        <w:snapToGrid/>
        <w:spacing w:line="500" w:lineRule="exact"/>
        <w:ind w:firstLine="612" w:firstLineChars="199"/>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hint="eastAsia" w:ascii="Times New Roman" w:hAnsi="Times New Roman" w:eastAsia="仿宋" w:cs="Times New Roman"/>
          <w:spacing w:val="-6"/>
          <w:sz w:val="32"/>
          <w:szCs w:val="32"/>
          <w:u w:val="single"/>
          <w:lang w:val="en-US" w:eastAsia="zh-CN"/>
        </w:rPr>
        <w:t xml:space="preserve">  个工作日</w:t>
      </w:r>
      <w:r>
        <w:rPr>
          <w:rFonts w:ascii="Times New Roman" w:hAnsi="Times New Roman" w:eastAsia="仿宋_GB2312" w:cs="Times New Roman"/>
          <w:spacing w:val="-6"/>
          <w:sz w:val="32"/>
          <w:szCs w:val="32"/>
        </w:rPr>
        <w:t>内，缴清采矿权出让收益人民币大写</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（小写：￥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keepNext w:val="0"/>
        <w:keepLines w:val="0"/>
        <w:pageBreakBefore w:val="0"/>
        <w:kinsoku/>
        <w:wordWrap/>
        <w:overflowPunct/>
        <w:topLinePunct w:val="0"/>
        <w:autoSpaceDE/>
        <w:autoSpaceDN/>
        <w:bidi w:val="0"/>
        <w:adjustRightInd/>
        <w:snapToGrid/>
        <w:spacing w:line="500" w:lineRule="exact"/>
        <w:ind w:firstLine="612" w:firstLineChars="199"/>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期向出让方支付采矿权出让收益：</w:t>
      </w:r>
    </w:p>
    <w:p>
      <w:pPr>
        <w:keepNext w:val="0"/>
        <w:keepLines w:val="0"/>
        <w:pageBreakBefore w:val="0"/>
        <w:kinsoku/>
        <w:wordWrap/>
        <w:overflowPunct/>
        <w:topLinePunct w:val="0"/>
        <w:autoSpaceDE/>
        <w:autoSpaceDN/>
        <w:bidi w:val="0"/>
        <w:adjustRightInd/>
        <w:snapToGrid/>
        <w:spacing w:line="500" w:lineRule="exact"/>
        <w:ind w:firstLine="612" w:firstLineChars="199"/>
        <w:outlineLvl w:val="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万元）。</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受让方应在本合同签订之日起6个月内持本合同、采矿权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支付凭证及法律法规规定的要件资料，按规定向出让方申请办理采矿权登记；出让方应在受理采矿登记申请之日起40日内，依法办理采矿权登记，颁发采矿许可证。</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ascii="Times New Roman" w:hAnsi="Times New Roman" w:eastAsia="仿宋_GB2312" w:cs="Times New Roman"/>
          <w:spacing w:val="-6"/>
          <w:sz w:val="32"/>
          <w:szCs w:val="32"/>
        </w:rPr>
        <w:t>受让方在申请采矿登记前，应按照国家和重庆市绿色矿山建设标准，委托或自行编制《绿色矿山建设实施方案》，经受让方加盖印章、法定代表人和技术负责人签字，向所在地区县（自治县）矿产资源主管部门报备，作为接受监督检查和第三方评估的依据。</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受让方应按照《绿色矿山建设实施方案》确定的建设内容和建设时序，开展绿色矿山建设，</w:t>
      </w:r>
      <w:r>
        <w:rPr>
          <w:rFonts w:hint="eastAsia" w:ascii="Times New Roman" w:hAnsi="Times New Roman" w:eastAsia="仿宋_GB2312" w:cs="Times New Roman"/>
          <w:spacing w:val="-6"/>
          <w:sz w:val="32"/>
          <w:szCs w:val="32"/>
          <w:lang w:eastAsia="zh-CN"/>
        </w:rPr>
        <w:t>矿山企业投产时，同步建</w:t>
      </w:r>
      <w:r>
        <w:rPr>
          <w:rFonts w:hint="eastAsia" w:ascii="Times New Roman" w:hAnsi="Times New Roman" w:eastAsia="仿宋_GB2312" w:cs="Times New Roman"/>
          <w:spacing w:val="-6"/>
          <w:sz w:val="32"/>
          <w:szCs w:val="32"/>
        </w:rPr>
        <w:t>成绿色矿山并通过绿色矿山第三方评估。</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受让方取得采矿许可证、投入采矿生产满一年后，可以将本合同约定的采矿权依法进行转让；如需将该宗采矿权进行抵押的，应按照合同约定缴清全部采矿权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r>
        <w:rPr>
          <w:rFonts w:hint="eastAsia" w:ascii="Times New Roman" w:hAnsi="Times New Roman" w:eastAsia="仿宋_GB2312" w:cs="Times New Roman"/>
          <w:spacing w:val="-6"/>
          <w:sz w:val="32"/>
          <w:szCs w:val="32"/>
          <w:lang w:eastAsia="zh-CN"/>
        </w:rPr>
        <w:t>，</w:t>
      </w:r>
      <w:r>
        <w:rPr>
          <w:rFonts w:hint="eastAsia" w:ascii="Times New Roman" w:hAnsi="Times New Roman" w:eastAsia="仿宋_GB2312" w:cs="Times New Roman"/>
          <w:spacing w:val="-6"/>
          <w:sz w:val="32"/>
          <w:szCs w:val="32"/>
        </w:rPr>
        <w:t>转让后的采矿权出让年限为本合同约定出让年限的剩余年限。</w:t>
      </w:r>
    </w:p>
    <w:p>
      <w:pPr>
        <w:keepNext w:val="0"/>
        <w:keepLines w:val="0"/>
        <w:pageBreakBefore w:val="0"/>
        <w:numPr>
          <w:ilvl w:val="0"/>
          <w:numId w:val="1"/>
        </w:numPr>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矿产资源主管部门的监督检查；依法缴纳采矿权使用费；遵守国家和重庆市的有关矿山环境保护与恢复治理、劳动安全、水土保持、土地复垦等法律、法规和规定。</w:t>
      </w:r>
    </w:p>
    <w:p>
      <w:pPr>
        <w:keepNext w:val="0"/>
        <w:keepLines w:val="0"/>
        <w:pageBreakBefore w:val="0"/>
        <w:numPr>
          <w:ilvl w:val="0"/>
          <w:numId w:val="1"/>
        </w:numPr>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本合同签订后30日内，受让方应按照出让的矿区范围按规范要求自行埋设界桩或者设置地面标志。受让方应承担保护界桩或地面标志的责任，不得擅自改动，界桩或地面标志遭到破坏或移动时，受让方应当及时复界测量，恢复界桩，并向规划资源主管部门提出书面报告。</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本合同约定的采矿权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在采矿权出让年限内，国家</w:t>
      </w:r>
      <w:r>
        <w:rPr>
          <w:rFonts w:hint="eastAsia" w:ascii="Times New Roman" w:hAnsi="Times New Roman" w:eastAsia="仿宋_GB2312" w:cs="Times New Roman"/>
          <w:spacing w:val="-6"/>
          <w:sz w:val="32"/>
          <w:szCs w:val="32"/>
          <w:lang w:eastAsia="zh-CN"/>
        </w:rPr>
        <w:t>、</w:t>
      </w: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lang w:eastAsia="zh-CN"/>
        </w:rPr>
        <w:t>和綦江区</w:t>
      </w:r>
      <w:r>
        <w:rPr>
          <w:rFonts w:ascii="Times New Roman" w:hAnsi="Times New Roman" w:eastAsia="仿宋_GB2312" w:cs="Times New Roman"/>
          <w:spacing w:val="-6"/>
          <w:sz w:val="32"/>
          <w:szCs w:val="32"/>
        </w:rPr>
        <w:t>政府有新的规定时，按新规定执行。</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keepNext w:val="0"/>
        <w:keepLines w:val="0"/>
        <w:pageBreakBefore w:val="0"/>
        <w:kinsoku/>
        <w:wordWrap/>
        <w:overflowPunct/>
        <w:topLinePunct w:val="0"/>
        <w:autoSpaceDE/>
        <w:autoSpaceDN/>
        <w:bidi w:val="0"/>
        <w:adjustRightInd/>
        <w:snapToGrid/>
        <w:spacing w:line="500" w:lineRule="exact"/>
        <w:ind w:firstLine="608"/>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超过6个月的，出让方有权解除合同、收回采矿权、撤销采矿许可证，不退还受让方已缴纳的采矿权出让收益。双方另有约定除外。</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受让方未在本合同约定时间内，按照法律法规规定的要件资料申请采矿登记的，出让方有权解除合同，不退还受让方已缴纳的采矿权出让收益。双方另有约定的除外。</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的2‰按日向受让方支付违约金。</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延期颁发采矿许可证超过6个月，受让方有权解除合同，出让方应返还受让方已缴纳的采矿权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受让方应当自领取采矿许可证之日起</w:t>
      </w:r>
      <w:r>
        <w:rPr>
          <w:rFonts w:hint="eastAsia" w:ascii="Times New Roman" w:hAnsi="Times New Roman" w:eastAsia="仿宋_GB2312" w:cs="Times New Roman"/>
          <w:spacing w:val="-6"/>
          <w:sz w:val="32"/>
          <w:szCs w:val="32"/>
          <w:lang w:val="en-US" w:eastAsia="zh-CN"/>
        </w:rPr>
        <w:t>6个月</w:t>
      </w:r>
      <w:r>
        <w:rPr>
          <w:rFonts w:ascii="Times New Roman" w:hAnsi="Times New Roman" w:eastAsia="仿宋_GB2312" w:cs="Times New Roman"/>
          <w:spacing w:val="-6"/>
          <w:sz w:val="32"/>
          <w:szCs w:val="32"/>
        </w:rPr>
        <w:t>内进行建设或生产。逾期未进行建设和生产的，出让方可以依法无偿收回采矿权。</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w:t>
      </w:r>
      <w:r>
        <w:rPr>
          <w:rFonts w:hint="eastAsia" w:ascii="Times New Roman" w:hAnsi="Times New Roman" w:eastAsia="仿宋_GB2312" w:cs="Times New Roman"/>
          <w:b/>
          <w:spacing w:val="-6"/>
          <w:sz w:val="32"/>
          <w:szCs w:val="32"/>
          <w:lang w:eastAsia="zh-CN"/>
        </w:rPr>
        <w:t>二十</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受让方未按本合同约定按期建成绿色矿山及通过绿色矿山第三方评估的，出让方有权要求受让方限期整改，并可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keepNext w:val="0"/>
        <w:keepLines w:val="0"/>
        <w:pageBreakBefore w:val="0"/>
        <w:kinsoku/>
        <w:wordWrap/>
        <w:overflowPunct/>
        <w:topLinePunct w:val="0"/>
        <w:autoSpaceDE/>
        <w:autoSpaceDN/>
        <w:bidi w:val="0"/>
        <w:adjustRightInd/>
        <w:snapToGrid/>
        <w:spacing w:line="500" w:lineRule="exact"/>
        <w:ind w:firstLine="607"/>
        <w:outlineLvl w:val="9"/>
        <w:rPr>
          <w:rFonts w:hint="eastAsia" w:ascii="Times New Roman" w:hAnsi="Times New Roman" w:eastAsia="仿宋_GB2312" w:cs="Times New Roman"/>
          <w:spacing w:val="-6"/>
          <w:sz w:val="32"/>
          <w:szCs w:val="32"/>
          <w:lang w:val="en-US" w:eastAsia="zh-CN"/>
        </w:rPr>
      </w:pPr>
      <w:r>
        <w:rPr>
          <w:rFonts w:hint="eastAsia" w:ascii="Times New Roman" w:hAnsi="Times New Roman" w:eastAsia="仿宋_GB2312" w:cs="Times New Roman"/>
          <w:spacing w:val="-6"/>
          <w:sz w:val="32"/>
          <w:szCs w:val="32"/>
          <w:lang w:eastAsia="zh-CN"/>
        </w:rPr>
        <w:t>第二十一</w:t>
      </w:r>
      <w:r>
        <w:rPr>
          <w:rFonts w:hint="eastAsia" w:ascii="Times New Roman" w:hAnsi="Times New Roman" w:eastAsia="仿宋_GB2312" w:cs="Times New Roman"/>
          <w:spacing w:val="-6"/>
          <w:sz w:val="32"/>
          <w:szCs w:val="32"/>
          <w:lang w:val="en-US" w:eastAsia="zh-CN"/>
        </w:rPr>
        <w:t xml:space="preserve">  </w:t>
      </w:r>
      <w:r>
        <w:rPr>
          <w:rFonts w:hint="eastAsia" w:ascii="Times New Roman" w:hAnsi="Times New Roman" w:eastAsia="仿宋_GB2312" w:cs="Times New Roman"/>
          <w:color w:val="000000" w:themeColor="text1"/>
          <w:spacing w:val="-6"/>
          <w:sz w:val="32"/>
          <w:szCs w:val="32"/>
          <w:lang w:val="en-US" w:eastAsia="zh-CN"/>
          <w14:textFill>
            <w14:solidFill>
              <w14:schemeClr w14:val="tx1"/>
            </w14:solidFill>
          </w14:textFill>
        </w:rPr>
        <w:t>因受让方责任导致采矿许可证被依法吊销、撤销或注销的，本出让合同终止，采矿权收归国有，出让方不退还受让方已缴纳的采矿权出让收益，并依法追缴受让方欠缴的采矿权出让收益。</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二</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三</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四</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本合同双方当事人同意，就因一方违约而提起的任何诉讼而发出的传票和通知，只要发送至本合同中所填写的通讯地址，即视为送达。上述地址的变更非经提前通知对方，对对方不生效。</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五</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本合同未尽事宜，从其法律、法规规定，也可由双方签订补充协议作为合同附件，与本合同具有同等法律效力。</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六</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因履行本合同发生争议，由争议双方协商解决，协商不成的，向出让方所在地人民法院起诉。</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七</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本合同经双方法定代表人或其授权委托代理人签字（章）后生效。</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八</w:t>
      </w:r>
      <w:r>
        <w:rPr>
          <w:rFonts w:ascii="Times New Roman" w:hAnsi="Times New Roman" w:eastAsia="仿宋_GB2312" w:cs="Times New Roman"/>
          <w:b/>
          <w:spacing w:val="-6"/>
          <w:sz w:val="32"/>
          <w:szCs w:val="32"/>
        </w:rPr>
        <w:t xml:space="preserve">条 </w:t>
      </w:r>
      <w:r>
        <w:rPr>
          <w:rFonts w:ascii="Times New Roman" w:hAnsi="Times New Roman" w:eastAsia="仿宋_GB2312" w:cs="Times New Roman"/>
          <w:spacing w:val="-6"/>
          <w:sz w:val="32"/>
          <w:szCs w:val="32"/>
        </w:rPr>
        <w:t xml:space="preserve"> 本合同采用汉字书写，一式</w:t>
      </w:r>
      <w:r>
        <w:rPr>
          <w:rFonts w:hint="eastAsia" w:ascii="Times New Roman" w:hAnsi="Times New Roman" w:eastAsia="仿宋_GB2312" w:cs="Times New Roman"/>
          <w:spacing w:val="-6"/>
          <w:sz w:val="32"/>
          <w:szCs w:val="32"/>
          <w:lang w:eastAsia="zh-CN"/>
        </w:rPr>
        <w:t>贰</w:t>
      </w:r>
      <w:r>
        <w:rPr>
          <w:rFonts w:ascii="Times New Roman" w:hAnsi="Times New Roman" w:eastAsia="仿宋_GB2312" w:cs="Times New Roman"/>
          <w:spacing w:val="-6"/>
          <w:sz w:val="32"/>
          <w:szCs w:val="32"/>
        </w:rPr>
        <w:t>份，具有同等法律效力，双方各执</w:t>
      </w:r>
      <w:r>
        <w:rPr>
          <w:rFonts w:hint="eastAsia" w:ascii="Times New Roman" w:hAnsi="Times New Roman" w:eastAsia="仿宋_GB2312" w:cs="Times New Roman"/>
          <w:spacing w:val="-6"/>
          <w:sz w:val="32"/>
          <w:szCs w:val="32"/>
          <w:lang w:eastAsia="zh-CN"/>
        </w:rPr>
        <w:t>壹</w:t>
      </w:r>
      <w:r>
        <w:rPr>
          <w:rFonts w:ascii="Times New Roman" w:hAnsi="Times New Roman" w:eastAsia="仿宋_GB2312" w:cs="Times New Roman"/>
          <w:spacing w:val="-6"/>
          <w:sz w:val="32"/>
          <w:szCs w:val="32"/>
        </w:rPr>
        <w:t>份。</w:t>
      </w:r>
    </w:p>
    <w:p>
      <w:pPr>
        <w:keepNext w:val="0"/>
        <w:keepLines w:val="0"/>
        <w:pageBreakBefore w:val="0"/>
        <w:kinsoku/>
        <w:wordWrap/>
        <w:overflowPunct/>
        <w:topLinePunct w:val="0"/>
        <w:autoSpaceDE/>
        <w:autoSpaceDN/>
        <w:bidi w:val="0"/>
        <w:adjustRightInd/>
        <w:snapToGrid/>
        <w:spacing w:line="500" w:lineRule="exact"/>
        <w:ind w:firstLine="607"/>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w:t>
      </w:r>
      <w:r>
        <w:rPr>
          <w:rFonts w:hint="eastAsia" w:ascii="Times New Roman" w:hAnsi="Times New Roman" w:eastAsia="仿宋_GB2312" w:cs="Times New Roman"/>
          <w:b/>
          <w:spacing w:val="-6"/>
          <w:sz w:val="32"/>
          <w:szCs w:val="32"/>
          <w:lang w:eastAsia="zh-CN"/>
        </w:rPr>
        <w:t>九</w:t>
      </w:r>
      <w:r>
        <w:rPr>
          <w:rFonts w:ascii="Times New Roman" w:hAnsi="Times New Roman" w:eastAsia="仿宋_GB2312" w:cs="Times New Roman"/>
          <w:b/>
          <w:spacing w:val="-6"/>
          <w:sz w:val="32"/>
          <w:szCs w:val="32"/>
        </w:rPr>
        <w:t>条</w:t>
      </w:r>
      <w:r>
        <w:rPr>
          <w:rFonts w:ascii="Times New Roman" w:hAnsi="Times New Roman" w:eastAsia="仿宋_GB2312" w:cs="Times New Roman"/>
          <w:spacing w:val="-6"/>
          <w:sz w:val="32"/>
          <w:szCs w:val="32"/>
        </w:rPr>
        <w:t xml:space="preserve">  本合同于</w:t>
      </w:r>
      <w:r>
        <w:rPr>
          <w:rFonts w:hint="eastAsia" w:ascii="Times New Roman" w:hAnsi="Times New Roman" w:eastAsia="仿宋_GB2312" w:cs="Times New Roman"/>
          <w:spacing w:val="-6"/>
          <w:sz w:val="32"/>
          <w:szCs w:val="32"/>
          <w:u w:val="single"/>
          <w:lang w:val="en-US" w:eastAsia="zh-CN"/>
        </w:rPr>
        <w:t>2021</w:t>
      </w:r>
      <w:r>
        <w:rPr>
          <w:rFonts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lang w:val="en-US" w:eastAsia="zh-CN"/>
        </w:rPr>
        <w:t xml:space="preserve">   </w:t>
      </w:r>
      <w:r>
        <w:rPr>
          <w:rFonts w:ascii="Times New Roman" w:hAnsi="Times New Roman" w:eastAsia="仿宋_GB2312" w:cs="Times New Roman"/>
          <w:spacing w:val="-6"/>
          <w:sz w:val="32"/>
          <w:szCs w:val="32"/>
        </w:rPr>
        <w:t>日在</w:t>
      </w: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规划和自然资源局签订。</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b/>
          <w:spacing w:val="-6"/>
          <w:sz w:val="32"/>
          <w:szCs w:val="32"/>
        </w:rPr>
      </w:pP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keepNext w:val="0"/>
        <w:keepLines w:val="0"/>
        <w:pageBreakBefore w:val="0"/>
        <w:kinsoku/>
        <w:wordWrap/>
        <w:overflowPunct/>
        <w:topLinePunct w:val="0"/>
        <w:autoSpaceDE/>
        <w:autoSpaceDN/>
        <w:bidi w:val="0"/>
        <w:adjustRightInd/>
        <w:snapToGrid/>
        <w:spacing w:line="500" w:lineRule="exact"/>
        <w:outlineLvl w:val="9"/>
        <w:rPr>
          <w:rFonts w:hint="eastAsia" w:ascii="Times New Roman" w:hAnsi="Times New Roman" w:eastAsia="仿宋_GB2312" w:cs="Times New Roman"/>
          <w:sz w:val="32"/>
          <w:szCs w:val="32"/>
          <w:lang w:val="en-US" w:eastAsia="zh-CN"/>
        </w:rPr>
      </w:pPr>
      <w:r>
        <w:rPr>
          <w:rFonts w:ascii="Times New Roman" w:hAnsi="Times New Roman" w:eastAsia="仿宋_GB2312" w:cs="Times New Roman"/>
          <w:spacing w:val="-6"/>
          <w:sz w:val="32"/>
          <w:szCs w:val="32"/>
          <w:u w:val="none"/>
        </w:rPr>
        <w:t>重庆市</w:t>
      </w:r>
      <w:r>
        <w:rPr>
          <w:rFonts w:hint="eastAsia" w:ascii="Times New Roman" w:hAnsi="Times New Roman" w:eastAsia="仿宋_GB2312" w:cs="Times New Roman"/>
          <w:spacing w:val="-6"/>
          <w:sz w:val="32"/>
          <w:szCs w:val="32"/>
          <w:u w:val="none"/>
          <w:lang w:eastAsia="zh-CN"/>
        </w:rPr>
        <w:t>綦江区</w:t>
      </w:r>
      <w:r>
        <w:rPr>
          <w:rFonts w:ascii="Times New Roman" w:hAnsi="Times New Roman" w:eastAsia="仿宋_GB2312" w:cs="Times New Roman"/>
          <w:spacing w:val="-6"/>
          <w:sz w:val="32"/>
          <w:szCs w:val="32"/>
        </w:rPr>
        <w:t xml:space="preserve">规划和自然资源局  </w:t>
      </w:r>
      <w:r>
        <w:rPr>
          <w:rFonts w:hint="eastAsia" w:ascii="Times New Roman" w:hAnsi="Times New Roman" w:eastAsia="仿宋_GB2312" w:cs="Times New Roman"/>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 xml:space="preserve">（签章）  </w:t>
      </w:r>
      <w:r>
        <w:rPr>
          <w:rFonts w:ascii="Times New Roman" w:hAnsi="Times New Roman" w:eastAsia="仿宋_GB2312" w:cs="Times New Roman"/>
          <w:spacing w:val="-6"/>
          <w:sz w:val="32"/>
          <w:szCs w:val="32"/>
        </w:rPr>
        <w:t xml:space="preserve">                          </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hint="eastAsia" w:ascii="Times New Roman" w:hAnsi="Times New Roman" w:eastAsia="仿宋_GB2312" w:cs="Times New Roman"/>
          <w:b/>
          <w:spacing w:val="-6"/>
          <w:sz w:val="32"/>
          <w:szCs w:val="32"/>
          <w:lang w:val="en-US" w:eastAsia="zh-CN"/>
        </w:rPr>
        <w:t>85890022</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keepNext w:val="0"/>
        <w:keepLines w:val="0"/>
        <w:pageBreakBefore w:val="0"/>
        <w:kinsoku/>
        <w:wordWrap/>
        <w:overflowPunct/>
        <w:topLinePunct w:val="0"/>
        <w:autoSpaceDE/>
        <w:autoSpaceDN/>
        <w:bidi w:val="0"/>
        <w:adjustRightInd/>
        <w:snapToGrid/>
        <w:spacing w:line="500" w:lineRule="exact"/>
        <w:outlineLvl w:val="9"/>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8B23A"/>
    <w:multiLevelType w:val="singleLevel"/>
    <w:tmpl w:val="3CC8B23A"/>
    <w:lvl w:ilvl="0" w:tentative="0">
      <w:start w:val="1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7F6"/>
    <w:rsid w:val="000034BC"/>
    <w:rsid w:val="00007B58"/>
    <w:rsid w:val="000111C4"/>
    <w:rsid w:val="0001167B"/>
    <w:rsid w:val="0002099C"/>
    <w:rsid w:val="00021B35"/>
    <w:rsid w:val="00030D7F"/>
    <w:rsid w:val="000369A1"/>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2660"/>
    <w:rsid w:val="00120BFE"/>
    <w:rsid w:val="0012287B"/>
    <w:rsid w:val="00126705"/>
    <w:rsid w:val="00132EF8"/>
    <w:rsid w:val="00135B85"/>
    <w:rsid w:val="00135C8B"/>
    <w:rsid w:val="00137731"/>
    <w:rsid w:val="00145D44"/>
    <w:rsid w:val="00154DE2"/>
    <w:rsid w:val="001555F4"/>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F7E98"/>
    <w:rsid w:val="00200529"/>
    <w:rsid w:val="00202E28"/>
    <w:rsid w:val="00204448"/>
    <w:rsid w:val="00205310"/>
    <w:rsid w:val="002171C9"/>
    <w:rsid w:val="0022160B"/>
    <w:rsid w:val="00223B4F"/>
    <w:rsid w:val="002356C2"/>
    <w:rsid w:val="00241D9A"/>
    <w:rsid w:val="00242A3C"/>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6BD5"/>
    <w:rsid w:val="00300854"/>
    <w:rsid w:val="0030707C"/>
    <w:rsid w:val="00307B31"/>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849FF"/>
    <w:rsid w:val="00391B03"/>
    <w:rsid w:val="00396D5C"/>
    <w:rsid w:val="003A09CE"/>
    <w:rsid w:val="003A25E1"/>
    <w:rsid w:val="003A33BA"/>
    <w:rsid w:val="003A6F37"/>
    <w:rsid w:val="003B5677"/>
    <w:rsid w:val="003C2A4A"/>
    <w:rsid w:val="003D1986"/>
    <w:rsid w:val="003E02F4"/>
    <w:rsid w:val="003E5534"/>
    <w:rsid w:val="003F006B"/>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505F32"/>
    <w:rsid w:val="005131C0"/>
    <w:rsid w:val="00514AF1"/>
    <w:rsid w:val="00517364"/>
    <w:rsid w:val="0051772E"/>
    <w:rsid w:val="0053068E"/>
    <w:rsid w:val="00530C43"/>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42E2"/>
    <w:rsid w:val="006673A9"/>
    <w:rsid w:val="00667C19"/>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47A6"/>
    <w:rsid w:val="00735E50"/>
    <w:rsid w:val="00753C6B"/>
    <w:rsid w:val="0076280D"/>
    <w:rsid w:val="00765A06"/>
    <w:rsid w:val="007722DB"/>
    <w:rsid w:val="0078664B"/>
    <w:rsid w:val="007935E6"/>
    <w:rsid w:val="00794650"/>
    <w:rsid w:val="007971F1"/>
    <w:rsid w:val="007A4162"/>
    <w:rsid w:val="007A4636"/>
    <w:rsid w:val="007B0C8D"/>
    <w:rsid w:val="007B5CAC"/>
    <w:rsid w:val="007C0D30"/>
    <w:rsid w:val="007D4516"/>
    <w:rsid w:val="007D4E3F"/>
    <w:rsid w:val="007D58CF"/>
    <w:rsid w:val="007D6685"/>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8AB"/>
    <w:rsid w:val="00846A84"/>
    <w:rsid w:val="0084736B"/>
    <w:rsid w:val="00851968"/>
    <w:rsid w:val="00852F2A"/>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960CF"/>
    <w:rsid w:val="00EB0E05"/>
    <w:rsid w:val="00EB10F1"/>
    <w:rsid w:val="00EB1BE5"/>
    <w:rsid w:val="00EB2140"/>
    <w:rsid w:val="00EB34B2"/>
    <w:rsid w:val="00EB4F29"/>
    <w:rsid w:val="00EB5C55"/>
    <w:rsid w:val="00EE14D6"/>
    <w:rsid w:val="00EE28D5"/>
    <w:rsid w:val="00EE4845"/>
    <w:rsid w:val="00EE7E6A"/>
    <w:rsid w:val="00EF1959"/>
    <w:rsid w:val="00EF3210"/>
    <w:rsid w:val="00EF370C"/>
    <w:rsid w:val="00EF3AD4"/>
    <w:rsid w:val="00F044E0"/>
    <w:rsid w:val="00F073E8"/>
    <w:rsid w:val="00F07F09"/>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48A9"/>
    <w:rsid w:val="00F57BE2"/>
    <w:rsid w:val="00F625BB"/>
    <w:rsid w:val="00F65139"/>
    <w:rsid w:val="00F7262C"/>
    <w:rsid w:val="00F7655C"/>
    <w:rsid w:val="00F80103"/>
    <w:rsid w:val="00F90239"/>
    <w:rsid w:val="00F91752"/>
    <w:rsid w:val="00F91940"/>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461D59"/>
    <w:rsid w:val="082851DB"/>
    <w:rsid w:val="0D5D461D"/>
    <w:rsid w:val="15F378DF"/>
    <w:rsid w:val="212538E1"/>
    <w:rsid w:val="2CA0102E"/>
    <w:rsid w:val="30FA3458"/>
    <w:rsid w:val="35E34B47"/>
    <w:rsid w:val="36136AAF"/>
    <w:rsid w:val="37C84415"/>
    <w:rsid w:val="37CD2196"/>
    <w:rsid w:val="4277100A"/>
    <w:rsid w:val="4D7A7542"/>
    <w:rsid w:val="57614F3B"/>
    <w:rsid w:val="5F0C4F24"/>
    <w:rsid w:val="651B4C9F"/>
    <w:rsid w:val="67C3105C"/>
    <w:rsid w:val="685C295D"/>
    <w:rsid w:val="724A6329"/>
    <w:rsid w:val="72E41D5F"/>
    <w:rsid w:val="78032087"/>
    <w:rsid w:val="78811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qFormat/>
    <w:uiPriority w:val="22"/>
    <w:rPr>
      <w:b/>
      <w:bCs/>
    </w:rPr>
  </w:style>
  <w:style w:type="character" w:styleId="7">
    <w:name w:val="page number"/>
    <w:basedOn w:val="5"/>
    <w:qFormat/>
    <w:uiPriority w:val="0"/>
  </w:style>
  <w:style w:type="character" w:styleId="8">
    <w:name w:val="Hyperlink"/>
    <w:basedOn w:val="5"/>
    <w:unhideWhenUsed/>
    <w:qFormat/>
    <w:uiPriority w:val="99"/>
    <w:rPr>
      <w:color w:val="0563C1" w:themeColor="hyperlink"/>
      <w:u w:val="single"/>
      <w14:textFill>
        <w14:solidFill>
          <w14:schemeClr w14:val="hlink"/>
        </w14:solidFill>
      </w14:textFill>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1">
    <w:name w:val="页眉 字符"/>
    <w:basedOn w:val="5"/>
    <w:link w:val="4"/>
    <w:qFormat/>
    <w:uiPriority w:val="99"/>
    <w:rPr>
      <w:sz w:val="18"/>
      <w:szCs w:val="18"/>
    </w:rPr>
  </w:style>
  <w:style w:type="character" w:customStyle="1" w:styleId="12">
    <w:name w:val="页脚 字符"/>
    <w:basedOn w:val="5"/>
    <w:link w:val="3"/>
    <w:qFormat/>
    <w:uiPriority w:val="99"/>
    <w:rPr>
      <w:sz w:val="18"/>
      <w:szCs w:val="18"/>
    </w:rPr>
  </w:style>
  <w:style w:type="table" w:customStyle="1" w:styleId="13">
    <w:name w:val="网格型1"/>
    <w:basedOn w:val="9"/>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paragraph" w:styleId="14">
    <w:name w:val="List Paragraph"/>
    <w:basedOn w:val="1"/>
    <w:qFormat/>
    <w:uiPriority w:val="34"/>
    <w:pPr>
      <w:ind w:firstLine="420" w:firstLineChars="200"/>
    </w:pPr>
  </w:style>
  <w:style w:type="character" w:customStyle="1" w:styleId="15">
    <w:name w:val="批注框文本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利用事务中心</Company>
  <Pages>6</Pages>
  <Words>517</Words>
  <Characters>2951</Characters>
  <Lines>24</Lines>
  <Paragraphs>6</Paragraphs>
  <TotalTime>0</TotalTime>
  <ScaleCrop>false</ScaleCrop>
  <LinksUpToDate>false</LinksUpToDate>
  <CharactersWithSpaces>3462</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王雷雨</cp:lastModifiedBy>
  <cp:lastPrinted>2021-02-05T02:43:00Z</cp:lastPrinted>
  <dcterms:modified xsi:type="dcterms:W3CDTF">2021-06-03T08:19:30Z</dcterms:modified>
  <cp:revision>670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