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24"/>
        </w:rPr>
      </w:pPr>
      <w:r>
        <w:rPr>
          <w:rFonts w:ascii="Times New Roman" w:hAnsi="Times New Roman" w:eastAsia="方正小标宋_GBK" w:cs="Times New Roman"/>
          <w:sz w:val="44"/>
          <w:szCs w:val="24"/>
        </w:rPr>
        <w:t>重庆市采矿权出让合同</w:t>
      </w:r>
    </w:p>
    <w:p>
      <w:pPr>
        <w:spacing w:line="560" w:lineRule="exact"/>
        <w:jc w:val="center"/>
        <w:rPr>
          <w:rFonts w:ascii="Times New Roman" w:hAnsi="Times New Roman" w:eastAsia="宋体" w:cs="Times New Roman"/>
          <w:b/>
          <w:sz w:val="32"/>
          <w:szCs w:val="24"/>
        </w:rPr>
      </w:pPr>
    </w:p>
    <w:p>
      <w:pPr>
        <w:spacing w:line="560" w:lineRule="exact"/>
        <w:jc w:val="center"/>
        <w:rPr>
          <w:rFonts w:hint="eastAsia" w:ascii="Times New Roman" w:hAnsi="Times New Roman" w:eastAsia="楷体_GB2312" w:cs="Times New Roman"/>
          <w:sz w:val="32"/>
          <w:szCs w:val="24"/>
          <w:lang w:eastAsia="zh-CN"/>
        </w:rPr>
      </w:pPr>
      <w:r>
        <w:rPr>
          <w:rFonts w:hint="eastAsia" w:ascii="Times New Roman" w:hAnsi="Times New Roman" w:eastAsia="楷体_GB2312" w:cs="Times New Roman"/>
          <w:sz w:val="32"/>
          <w:szCs w:val="24"/>
          <w:lang w:eastAsia="zh-CN"/>
        </w:rPr>
        <w:t>渝采矿出字〔2021〕（綦江）第</w:t>
      </w:r>
      <w:r>
        <w:rPr>
          <w:rFonts w:hint="eastAsia" w:ascii="Times New Roman" w:hAnsi="Times New Roman" w:eastAsia="楷体_GB2312" w:cs="Times New Roman"/>
          <w:sz w:val="32"/>
          <w:szCs w:val="24"/>
          <w:lang w:val="en-US" w:eastAsia="zh-CN"/>
        </w:rPr>
        <w:t xml:space="preserve"> </w:t>
      </w:r>
      <w:r>
        <w:rPr>
          <w:rFonts w:hint="eastAsia" w:ascii="Times New Roman" w:hAnsi="Times New Roman" w:eastAsia="楷体_GB2312" w:cs="Times New Roman"/>
          <w:sz w:val="32"/>
          <w:szCs w:val="24"/>
          <w:lang w:eastAsia="zh-CN"/>
        </w:rPr>
        <w:t>号</w:t>
      </w:r>
      <w:r>
        <w:rPr>
          <w:rFonts w:hint="eastAsia" w:ascii="Times New Roman" w:hAnsi="Times New Roman" w:eastAsia="楷体_GB2312" w:cs="Times New Roman"/>
          <w:sz w:val="32"/>
          <w:szCs w:val="24"/>
          <w:lang w:val="en-US" w:eastAsia="zh-CN"/>
        </w:rPr>
        <w:t xml:space="preserve"> </w:t>
      </w:r>
    </w:p>
    <w:p>
      <w:pPr>
        <w:spacing w:line="560" w:lineRule="exact"/>
        <w:rPr>
          <w:rFonts w:ascii="Times New Roman" w:hAnsi="Times New Roman" w:eastAsia="仿宋_GB2312" w:cs="Times New Roman"/>
          <w:sz w:val="32"/>
          <w:szCs w:val="24"/>
        </w:rPr>
      </w:pP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出  让  方：</w:t>
      </w:r>
      <w:r>
        <w:rPr>
          <w:rFonts w:hint="eastAsia" w:ascii="Times New Roman" w:hAnsi="Times New Roman" w:eastAsia="仿宋_GB2312" w:cs="Times New Roman"/>
          <w:sz w:val="32"/>
          <w:szCs w:val="32"/>
        </w:rPr>
        <w:t>重庆市綦江区</w:t>
      </w:r>
      <w:r>
        <w:rPr>
          <w:rFonts w:hint="eastAsia" w:ascii="Times New Roman" w:hAnsi="Times New Roman" w:eastAsia="仿宋_GB2312" w:cs="Times New Roman"/>
          <w:sz w:val="32"/>
          <w:szCs w:val="32"/>
          <w:lang w:eastAsia="zh-CN"/>
        </w:rPr>
        <w:t>规划和自然资源局</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rPr>
        <w:t>綦江区古南街道</w:t>
      </w:r>
      <w:r>
        <w:rPr>
          <w:rFonts w:hint="eastAsia" w:ascii="Times New Roman" w:hAnsi="Times New Roman" w:eastAsia="仿宋_GB2312" w:cs="Times New Roman"/>
          <w:sz w:val="32"/>
          <w:szCs w:val="32"/>
          <w:lang w:eastAsia="zh-CN"/>
        </w:rPr>
        <w:t>南门路</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sz w:val="32"/>
          <w:szCs w:val="32"/>
        </w:rPr>
        <w:t xml:space="preserve"> </w:t>
      </w:r>
      <w:bookmarkStart w:id="0" w:name="_GoBack"/>
      <w:bookmarkEnd w:id="0"/>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sz w:val="32"/>
          <w:szCs w:val="32"/>
        </w:rPr>
        <w:t xml:space="preserve">陈晓军 </w:t>
      </w:r>
      <w:r>
        <w:rPr>
          <w:rFonts w:ascii="Times New Roman" w:hAnsi="Times New Roman" w:eastAsia="仿宋_GB2312" w:cs="Times New Roman"/>
          <w:sz w:val="32"/>
          <w:szCs w:val="32"/>
        </w:rPr>
        <w:t xml:space="preserve">           </w:t>
      </w:r>
      <w:r>
        <w:rPr>
          <w:rFonts w:ascii="Times New Roman" w:hAnsi="Times New Roman" w:eastAsia="仿宋_GB2312" w:cs="Times New Roman"/>
          <w:b/>
          <w:sz w:val="32"/>
          <w:szCs w:val="32"/>
        </w:rPr>
        <w:t>职   务：</w:t>
      </w:r>
      <w:r>
        <w:rPr>
          <w:rFonts w:ascii="Times New Roman" w:hAnsi="Times New Roman" w:eastAsia="仿宋_GB2312" w:cs="Times New Roman"/>
          <w:sz w:val="32"/>
          <w:szCs w:val="32"/>
        </w:rPr>
        <w:t>局  长</w:t>
      </w:r>
    </w:p>
    <w:p>
      <w:pPr>
        <w:spacing w:line="560" w:lineRule="exact"/>
        <w:ind w:firstLine="632"/>
        <w:rPr>
          <w:rFonts w:ascii="Times New Roman" w:hAnsi="Times New Roman" w:eastAsia="仿宋_GB2312" w:cs="Times New Roman"/>
          <w:sz w:val="32"/>
          <w:szCs w:val="32"/>
        </w:rPr>
      </w:pPr>
    </w:p>
    <w:p>
      <w:pPr>
        <w:spacing w:line="560" w:lineRule="exact"/>
        <w:ind w:firstLine="632"/>
        <w:rPr>
          <w:rFonts w:hint="eastAsia" w:ascii="Times New Roman" w:hAnsi="Times New Roman" w:eastAsia="仿宋_GB2312" w:cs="Times New Roman"/>
          <w:sz w:val="32"/>
          <w:szCs w:val="32"/>
        </w:rPr>
      </w:pPr>
      <w:r>
        <w:rPr>
          <w:rFonts w:ascii="Times New Roman" w:hAnsi="Times New Roman" w:eastAsia="仿宋_GB2312" w:cs="Times New Roman"/>
          <w:b/>
          <w:sz w:val="32"/>
          <w:szCs w:val="32"/>
        </w:rPr>
        <w:t>受  让  方：</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rPr>
        <w:t xml:space="preserve"> </w:t>
      </w:r>
    </w:p>
    <w:p>
      <w:pPr>
        <w:spacing w:line="560" w:lineRule="exact"/>
        <w:ind w:firstLine="632"/>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lang w:val="en-US" w:eastAsia="zh-CN"/>
        </w:rPr>
        <w:t xml:space="preserve"> </w:t>
      </w:r>
    </w:p>
    <w:p>
      <w:pPr>
        <w:spacing w:line="560" w:lineRule="exact"/>
        <w:ind w:firstLine="2560" w:firstLineChars="8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rPr>
        <w:t xml:space="preserve"> </w:t>
      </w:r>
    </w:p>
    <w:p>
      <w:pPr>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b/>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b/>
          <w:sz w:val="32"/>
          <w:szCs w:val="32"/>
          <w:lang w:val="en-US" w:eastAsia="zh-CN"/>
        </w:rPr>
        <w:t>职   务</w:t>
      </w:r>
      <w:r>
        <w:rPr>
          <w:rFonts w:hint="eastAsia" w:ascii="Times New Roman" w:hAnsi="Times New Roman" w:eastAsia="仿宋_GB2312" w:cs="Times New Roman"/>
          <w:sz w:val="32"/>
          <w:szCs w:val="32"/>
          <w:lang w:val="en-US" w:eastAsia="zh-CN"/>
        </w:rPr>
        <w:t>：法定代表人</w:t>
      </w:r>
      <w:r>
        <w:rPr>
          <w:rFonts w:hint="eastAsia" w:ascii="仿宋_GB2312"/>
          <w:szCs w:val="32"/>
          <w:lang w:val="en-US" w:eastAsia="zh-CN"/>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根据《中华人民共和国矿产资源法》、《中华人民共和国合同法》、《重庆市矿产资源管理条例》等有关法律法规规定，双方本着平等、自愿、公平、诚实信用的原则，依法订立本合同。</w:t>
      </w:r>
    </w:p>
    <w:p>
      <w:pPr>
        <w:spacing w:line="52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第一条</w:t>
      </w:r>
      <w:r>
        <w:rPr>
          <w:rFonts w:ascii="Times New Roman" w:hAnsi="Times New Roman" w:eastAsia="仿宋_GB2312" w:cs="Times New Roman"/>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b/>
          <w:spacing w:val="-6"/>
          <w:sz w:val="32"/>
          <w:szCs w:val="32"/>
        </w:rPr>
        <w:t>第二条</w:t>
      </w:r>
      <w:r>
        <w:rPr>
          <w:rFonts w:ascii="Times New Roman" w:hAnsi="Times New Roman" w:eastAsia="仿宋_GB2312" w:cs="Times New Roman"/>
          <w:iCs/>
          <w:spacing w:val="-6"/>
          <w:sz w:val="32"/>
          <w:szCs w:val="32"/>
        </w:rPr>
        <w:t xml:space="preserve">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本次出让采矿权属</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矿山采矿权。出让方以</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出让方式出让采矿权</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受让方享有依照本合同及采矿许可证规定的内容开采矿产资源并获得采出矿产品的权利，与采矿权相关联的其他资产，如土地使用权等，均不属于本合同出让范围。</w:t>
      </w:r>
    </w:p>
    <w:p>
      <w:pPr>
        <w:spacing w:line="600" w:lineRule="exact"/>
        <w:ind w:firstLine="619" w:firstLineChars="200"/>
        <w:rPr>
          <w:rFonts w:ascii="Times New Roman" w:hAnsi="Times New Roman" w:eastAsia="仿宋_GB2312" w:cs="Times New Roman"/>
          <w:sz w:val="32"/>
          <w:szCs w:val="32"/>
        </w:rPr>
      </w:pPr>
      <w:r>
        <w:rPr>
          <w:rFonts w:ascii="Times New Roman" w:hAnsi="Times New Roman" w:eastAsia="仿宋_GB2312" w:cs="Times New Roman"/>
          <w:b/>
          <w:spacing w:val="-6"/>
          <w:sz w:val="32"/>
          <w:szCs w:val="32"/>
        </w:rPr>
        <w:t>第三条</w:t>
      </w:r>
      <w:r>
        <w:rPr>
          <w:rFonts w:ascii="Times New Roman" w:hAnsi="Times New Roman" w:eastAsia="仿宋_GB2312" w:cs="Times New Roman"/>
          <w:sz w:val="32"/>
          <w:szCs w:val="32"/>
        </w:rPr>
        <w:t xml:space="preserve"> 出让方出让给受让方的采矿权位于</w:t>
      </w:r>
      <w:r>
        <w:rPr>
          <w:rFonts w:hint="eastAsia" w:ascii="Times New Roman" w:hAnsi="Times New Roman" w:eastAsia="仿宋_GB2312" w:cs="Times New Roman"/>
          <w:sz w:val="32"/>
          <w:szCs w:val="32"/>
        </w:rPr>
        <w:t>重庆市綦江区篆塘镇白坪村</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矿山名称重庆市綦江区篆塘镇白坪村建筑用砂岩矿</w:t>
      </w:r>
      <w:r>
        <w:rPr>
          <w:rFonts w:hint="eastAsia" w:ascii="宋体" w:hAnsi="宋体" w:eastAsia="宋体" w:cs="宋体"/>
          <w:kern w:val="0"/>
          <w:sz w:val="28"/>
          <w:szCs w:val="28"/>
          <w:u w:val="none"/>
        </w:rPr>
        <w:t>，</w:t>
      </w:r>
      <w:r>
        <w:rPr>
          <w:rFonts w:ascii="Times New Roman" w:hAnsi="Times New Roman" w:eastAsia="仿宋_GB2312" w:cs="Times New Roman"/>
          <w:spacing w:val="-6"/>
          <w:sz w:val="32"/>
          <w:szCs w:val="32"/>
        </w:rPr>
        <w:t>矿区面积</w:t>
      </w:r>
      <w:r>
        <w:rPr>
          <w:rFonts w:hint="eastAsia" w:ascii="Times New Roman" w:hAnsi="Times New Roman" w:eastAsia="方正仿宋_GBK" w:cs="Times New Roman"/>
          <w:color w:val="000000"/>
          <w:sz w:val="32"/>
          <w:szCs w:val="32"/>
          <w:lang w:val="en-US" w:eastAsia="zh-CN"/>
        </w:rPr>
        <w:t>0.0375平方米公里</w:t>
      </w:r>
      <w:r>
        <w:rPr>
          <w:rFonts w:ascii="Times New Roman" w:hAnsi="Times New Roman" w:eastAsia="仿宋_GB2312" w:cs="Times New Roman"/>
          <w:spacing w:val="-6"/>
          <w:sz w:val="32"/>
          <w:szCs w:val="32"/>
        </w:rPr>
        <w:t>，</w:t>
      </w:r>
      <w:r>
        <w:rPr>
          <w:rFonts w:ascii="Times New Roman" w:hAnsi="Times New Roman" w:eastAsia="仿宋_GB2312" w:cs="Times New Roman"/>
          <w:sz w:val="32"/>
          <w:szCs w:val="32"/>
        </w:rPr>
        <w:t>出让矿种为</w:t>
      </w:r>
      <w:r>
        <w:rPr>
          <w:rFonts w:hint="eastAsia" w:eastAsia="仿宋_GB2312"/>
          <w:sz w:val="32"/>
          <w:szCs w:val="32"/>
          <w:lang w:eastAsia="zh-CN"/>
        </w:rPr>
        <w:t>建筑用砂岩</w:t>
      </w:r>
      <w:r>
        <w:rPr>
          <w:rFonts w:ascii="Times New Roman" w:hAnsi="Times New Roman" w:eastAsia="仿宋_GB2312" w:cs="Times New Roman"/>
          <w:sz w:val="32"/>
          <w:szCs w:val="32"/>
        </w:rPr>
        <w:t>矿，资源储量</w:t>
      </w:r>
      <w:r>
        <w:rPr>
          <w:rFonts w:hint="eastAsia" w:ascii="Times New Roman" w:hAnsi="Times New Roman" w:eastAsia="方正仿宋_GBK" w:cs="Times New Roman"/>
          <w:color w:val="000000"/>
          <w:sz w:val="32"/>
          <w:szCs w:val="32"/>
          <w:lang w:val="en-US" w:eastAsia="zh-CN"/>
        </w:rPr>
        <w:t>100.3万立方米</w:t>
      </w:r>
      <w:r>
        <w:rPr>
          <w:rFonts w:ascii="Times New Roman" w:hAnsi="Times New Roman" w:eastAsia="仿宋_GB2312" w:cs="Times New Roman"/>
          <w:sz w:val="32"/>
          <w:szCs w:val="32"/>
        </w:rPr>
        <w:t>。矿区范围拐点坐标表</w:t>
      </w:r>
      <w:r>
        <w:rPr>
          <w:rFonts w:hint="eastAsia" w:ascii="Times New Roman" w:hAnsi="Times New Roman" w:eastAsia="仿宋_GB2312" w:cs="Times New Roman"/>
          <w:sz w:val="32"/>
          <w:szCs w:val="32"/>
        </w:rPr>
        <w:t>如下（2000坐标系）：</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875"/>
        <w:gridCol w:w="1875"/>
        <w:gridCol w:w="780"/>
        <w:gridCol w:w="1821"/>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拐点</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color w:val="auto"/>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hint="eastAsia" w:ascii="仿宋_GB2312" w:hAnsi="宋体" w:eastAsia="仿宋_GB2312" w:cs="宋体"/>
                <w:color w:val="000000"/>
                <w:kern w:val="0"/>
                <w:sz w:val="22"/>
                <w:szCs w:val="22"/>
              </w:rPr>
              <w:t>1</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3193045.466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36374857.874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hint="eastAsia" w:ascii="仿宋_GB2312" w:hAnsi="宋体" w:eastAsia="仿宋_GB2312" w:cs="宋体"/>
                <w:color w:val="000000"/>
                <w:kern w:val="0"/>
                <w:sz w:val="22"/>
                <w:szCs w:val="22"/>
              </w:rPr>
              <w:t>7</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hAnsi="方正仿宋_GBK" w:eastAsia="方正仿宋_GBK" w:cs="方正仿宋_GBK"/>
                <w:color w:val="000000"/>
                <w:kern w:val="0"/>
                <w:sz w:val="20"/>
                <w:szCs w:val="20"/>
                <w:lang w:bidi="ar"/>
              </w:rPr>
            </w:pPr>
            <w:r>
              <w:rPr>
                <w:rFonts w:hint="eastAsia" w:ascii="仿宋_GB2312" w:eastAsia="仿宋_GB2312"/>
                <w:color w:val="000000"/>
                <w:sz w:val="22"/>
                <w:szCs w:val="22"/>
              </w:rPr>
              <w:t xml:space="preserve">3193194.260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hAnsi="方正仿宋_GBK" w:eastAsia="方正仿宋_GBK" w:cs="方正仿宋_GBK"/>
                <w:color w:val="000000"/>
                <w:kern w:val="0"/>
                <w:sz w:val="20"/>
                <w:szCs w:val="20"/>
                <w:lang w:bidi="ar"/>
              </w:rPr>
            </w:pPr>
            <w:r>
              <w:rPr>
                <w:rFonts w:hint="eastAsia" w:ascii="仿宋_GB2312" w:eastAsia="仿宋_GB2312"/>
                <w:color w:val="000000"/>
                <w:sz w:val="22"/>
                <w:szCs w:val="22"/>
              </w:rPr>
              <w:t xml:space="preserve">36374643.895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hint="eastAsia" w:ascii="仿宋_GB2312" w:hAnsi="宋体" w:eastAsia="仿宋_GB2312" w:cs="宋体"/>
                <w:color w:val="000000"/>
                <w:kern w:val="0"/>
                <w:sz w:val="22"/>
                <w:szCs w:val="22"/>
              </w:rPr>
              <w:t>2</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3192949.507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36374857.874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hint="eastAsia" w:ascii="仿宋_GB2312" w:hAnsi="宋体" w:eastAsia="仿宋_GB2312" w:cs="宋体"/>
                <w:color w:val="000000"/>
                <w:kern w:val="0"/>
                <w:sz w:val="22"/>
                <w:szCs w:val="22"/>
              </w:rPr>
              <w:t>8</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3193240.421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36374643.770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color w:val="auto"/>
                <w:kern w:val="0"/>
                <w:sz w:val="24"/>
                <w:szCs w:val="24"/>
                <w:lang w:val="en-US" w:eastAsia="zh-CN"/>
              </w:rPr>
            </w:pPr>
            <w:r>
              <w:rPr>
                <w:rFonts w:hint="eastAsia" w:ascii="仿宋_GB2312" w:hAnsi="宋体" w:eastAsia="仿宋_GB2312" w:cs="宋体"/>
                <w:color w:val="000000"/>
                <w:kern w:val="0"/>
                <w:sz w:val="22"/>
                <w:szCs w:val="22"/>
              </w:rPr>
              <w:t>3</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auto"/>
                <w:kern w:val="0"/>
                <w:sz w:val="24"/>
                <w:szCs w:val="24"/>
                <w:lang w:val="en-US" w:eastAsia="zh-CN"/>
              </w:rPr>
            </w:pPr>
            <w:r>
              <w:rPr>
                <w:rFonts w:hint="eastAsia" w:ascii="仿宋_GB2312" w:eastAsia="仿宋_GB2312"/>
                <w:color w:val="000000"/>
                <w:sz w:val="22"/>
                <w:szCs w:val="22"/>
              </w:rPr>
              <w:t xml:space="preserve">3192949.507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36374748.743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宋体" w:eastAsia="仿宋" w:cs="宋体"/>
                <w:color w:val="333333"/>
                <w:kern w:val="0"/>
                <w:sz w:val="24"/>
                <w:szCs w:val="24"/>
                <w:lang w:val="en-US" w:eastAsia="zh-CN"/>
              </w:rPr>
            </w:pPr>
            <w:r>
              <w:rPr>
                <w:rFonts w:hint="eastAsia" w:ascii="仿宋_GB2312" w:hAnsi="宋体" w:eastAsia="仿宋_GB2312" w:cs="宋体"/>
                <w:color w:val="000000"/>
                <w:kern w:val="0"/>
                <w:sz w:val="22"/>
                <w:szCs w:val="22"/>
              </w:rPr>
              <w:t>9</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auto"/>
                <w:kern w:val="0"/>
                <w:sz w:val="24"/>
                <w:szCs w:val="24"/>
                <w:lang w:val="en-US" w:eastAsia="zh-CN"/>
              </w:rPr>
            </w:pPr>
            <w:r>
              <w:rPr>
                <w:rFonts w:hint="eastAsia" w:ascii="仿宋_GB2312" w:eastAsia="仿宋_GB2312"/>
                <w:color w:val="000000"/>
                <w:sz w:val="22"/>
                <w:szCs w:val="22"/>
              </w:rPr>
              <w:t xml:space="preserve">3193240.421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kern w:val="0"/>
                <w:szCs w:val="21"/>
              </w:rPr>
            </w:pPr>
            <w:r>
              <w:rPr>
                <w:rFonts w:hint="eastAsia" w:ascii="仿宋_GB2312" w:eastAsia="仿宋_GB2312"/>
                <w:color w:val="000000"/>
                <w:sz w:val="22"/>
                <w:szCs w:val="22"/>
              </w:rPr>
              <w:t xml:space="preserve">36374666.674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color w:val="auto"/>
                <w:kern w:val="0"/>
                <w:sz w:val="24"/>
                <w:szCs w:val="24"/>
                <w:lang w:val="en-US" w:eastAsia="zh-CN"/>
              </w:rPr>
            </w:pPr>
            <w:r>
              <w:rPr>
                <w:rFonts w:hint="eastAsia" w:ascii="仿宋_GB2312" w:hAnsi="宋体" w:eastAsia="仿宋_GB2312" w:cs="宋体"/>
                <w:color w:val="000000"/>
                <w:kern w:val="0"/>
                <w:sz w:val="22"/>
                <w:szCs w:val="22"/>
              </w:rPr>
              <w:t>4</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3193045.457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36374748.743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宋体" w:eastAsia="仿宋" w:cs="宋体"/>
                <w:color w:val="333333"/>
                <w:kern w:val="0"/>
                <w:sz w:val="24"/>
                <w:szCs w:val="24"/>
                <w:lang w:val="en-US" w:eastAsia="zh-CN"/>
              </w:rPr>
            </w:pPr>
            <w:r>
              <w:rPr>
                <w:rFonts w:hint="eastAsia" w:ascii="仿宋_GB2312" w:hAnsi="宋体" w:eastAsia="仿宋_GB2312" w:cs="宋体"/>
                <w:color w:val="000000"/>
                <w:kern w:val="0"/>
                <w:sz w:val="22"/>
                <w:szCs w:val="22"/>
              </w:rPr>
              <w:t>10　</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3193261.090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36374666.674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color w:val="auto"/>
                <w:kern w:val="0"/>
                <w:sz w:val="24"/>
                <w:szCs w:val="24"/>
                <w:lang w:val="en-US" w:eastAsia="zh-CN"/>
              </w:rPr>
            </w:pPr>
            <w:r>
              <w:rPr>
                <w:rFonts w:hint="eastAsia" w:ascii="仿宋_GB2312" w:hAnsi="宋体" w:eastAsia="仿宋_GB2312" w:cs="宋体"/>
                <w:color w:val="000000"/>
                <w:kern w:val="0"/>
                <w:sz w:val="22"/>
                <w:szCs w:val="22"/>
              </w:rPr>
              <w:t>5</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0"/>
                <w:sz w:val="20"/>
                <w:szCs w:val="20"/>
                <w:lang w:val="en-US" w:eastAsia="zh-CN"/>
              </w:rPr>
            </w:pPr>
            <w:r>
              <w:rPr>
                <w:rFonts w:hint="eastAsia" w:ascii="仿宋_GB2312" w:eastAsia="仿宋_GB2312"/>
                <w:color w:val="000000"/>
                <w:sz w:val="22"/>
                <w:szCs w:val="22"/>
              </w:rPr>
              <w:t xml:space="preserve">3193044.905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0"/>
                <w:sz w:val="20"/>
                <w:szCs w:val="20"/>
                <w:lang w:val="en-US" w:eastAsia="zh-CN"/>
              </w:rPr>
            </w:pPr>
            <w:r>
              <w:rPr>
                <w:rFonts w:hint="eastAsia" w:ascii="仿宋_GB2312" w:eastAsia="仿宋_GB2312"/>
                <w:color w:val="000000"/>
                <w:sz w:val="22"/>
                <w:szCs w:val="22"/>
              </w:rPr>
              <w:t xml:space="preserve">36374691.535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宋体" w:eastAsia="仿宋" w:cs="宋体"/>
                <w:color w:val="333333"/>
                <w:kern w:val="0"/>
                <w:sz w:val="24"/>
                <w:szCs w:val="24"/>
                <w:lang w:val="en-US" w:eastAsia="zh-CN"/>
              </w:rPr>
            </w:pPr>
            <w:r>
              <w:rPr>
                <w:rFonts w:hint="eastAsia" w:ascii="仿宋_GB2312" w:hAnsi="宋体" w:eastAsia="仿宋_GB2312" w:cs="宋体"/>
                <w:color w:val="000000"/>
                <w:kern w:val="0"/>
                <w:sz w:val="22"/>
                <w:szCs w:val="22"/>
              </w:rPr>
              <w:t>11</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3193261.090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36374753.916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color w:val="auto"/>
                <w:kern w:val="0"/>
                <w:sz w:val="24"/>
                <w:szCs w:val="24"/>
                <w:lang w:val="en-US" w:eastAsia="zh-CN"/>
              </w:rPr>
            </w:pPr>
            <w:r>
              <w:rPr>
                <w:rFonts w:hint="eastAsia" w:ascii="仿宋_GB2312" w:hAnsi="宋体" w:eastAsia="仿宋_GB2312" w:cs="宋体"/>
                <w:color w:val="000000"/>
                <w:kern w:val="0"/>
                <w:sz w:val="22"/>
                <w:szCs w:val="22"/>
              </w:rPr>
              <w:t>6</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0"/>
                <w:sz w:val="20"/>
                <w:szCs w:val="20"/>
                <w:lang w:val="en-US" w:eastAsia="zh-CN"/>
              </w:rPr>
            </w:pPr>
            <w:r>
              <w:rPr>
                <w:rFonts w:hint="eastAsia" w:ascii="仿宋_GB2312" w:eastAsia="仿宋_GB2312"/>
                <w:color w:val="000000"/>
                <w:sz w:val="22"/>
                <w:szCs w:val="22"/>
              </w:rPr>
              <w:t xml:space="preserve">3193110.801 </w:t>
            </w:r>
          </w:p>
        </w:tc>
        <w:tc>
          <w:tcPr>
            <w:tcW w:w="18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0"/>
                <w:sz w:val="20"/>
                <w:szCs w:val="20"/>
                <w:lang w:val="en-US" w:eastAsia="zh-CN"/>
              </w:rPr>
            </w:pPr>
            <w:r>
              <w:rPr>
                <w:rFonts w:hint="eastAsia" w:ascii="仿宋_GB2312" w:eastAsia="仿宋_GB2312"/>
                <w:color w:val="000000"/>
                <w:sz w:val="22"/>
                <w:szCs w:val="22"/>
              </w:rPr>
              <w:t xml:space="preserve">36374685.378 </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宋体" w:eastAsia="仿宋" w:cs="宋体"/>
                <w:color w:val="333333"/>
                <w:kern w:val="0"/>
                <w:sz w:val="24"/>
                <w:szCs w:val="24"/>
                <w:lang w:val="en-US" w:eastAsia="zh-CN"/>
              </w:rPr>
            </w:pPr>
            <w:r>
              <w:rPr>
                <w:rFonts w:hint="eastAsia" w:ascii="仿宋_GB2312" w:hAnsi="宋体" w:eastAsia="仿宋_GB2312" w:cs="宋体"/>
                <w:color w:val="000000"/>
                <w:kern w:val="0"/>
                <w:sz w:val="22"/>
                <w:szCs w:val="22"/>
              </w:rPr>
              <w:t>12</w:t>
            </w:r>
          </w:p>
        </w:tc>
        <w:tc>
          <w:tcPr>
            <w:tcW w:w="182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3193154.507 </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kern w:val="0"/>
                <w:sz w:val="20"/>
                <w:szCs w:val="20"/>
              </w:rPr>
            </w:pPr>
            <w:r>
              <w:rPr>
                <w:rFonts w:hint="eastAsia" w:ascii="仿宋_GB2312" w:eastAsia="仿宋_GB2312"/>
                <w:color w:val="000000"/>
                <w:sz w:val="22"/>
                <w:szCs w:val="22"/>
              </w:rPr>
              <w:t xml:space="preserve">36374779.674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8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Times New Roman" w:hAnsi="Times New Roman" w:cs="Times New Roman" w:eastAsiaTheme="minorEastAsia"/>
                <w:kern w:val="0"/>
                <w:szCs w:val="21"/>
                <w:lang w:val="en-US" w:eastAsia="zh-CN"/>
              </w:rPr>
            </w:pPr>
            <w:r>
              <w:rPr>
                <w:rFonts w:hint="eastAsia" w:ascii="Times New Roman" w:hAnsi="Times New Roman" w:cs="Times New Roman"/>
                <w:kern w:val="0"/>
                <w:szCs w:val="21"/>
              </w:rPr>
              <w:t>标高：+</w:t>
            </w:r>
            <w:r>
              <w:rPr>
                <w:rFonts w:hint="eastAsia" w:ascii="Times New Roman" w:hAnsi="Times New Roman" w:cs="Times New Roman"/>
                <w:kern w:val="0"/>
                <w:szCs w:val="21"/>
                <w:lang w:val="en-US" w:eastAsia="zh-CN"/>
              </w:rPr>
              <w:t>500</w:t>
            </w:r>
            <w:r>
              <w:rPr>
                <w:rFonts w:hint="eastAsia" w:ascii="Times New Roman" w:hAnsi="Times New Roman" w:cs="Times New Roman"/>
                <w:kern w:val="0"/>
                <w:szCs w:val="21"/>
              </w:rPr>
              <w:t>m~+</w:t>
            </w:r>
            <w:r>
              <w:rPr>
                <w:rFonts w:hint="eastAsia" w:ascii="Times New Roman" w:hAnsi="Times New Roman" w:cs="Times New Roman"/>
                <w:kern w:val="0"/>
                <w:szCs w:val="21"/>
                <w:lang w:val="en-US" w:eastAsia="zh-CN"/>
              </w:rPr>
              <w:t>445</w:t>
            </w:r>
            <w:r>
              <w:rPr>
                <w:rFonts w:hint="eastAsia" w:ascii="Times New Roman" w:hAnsi="Times New Roman" w:cs="Times New Roman"/>
                <w:kern w:val="0"/>
                <w:szCs w:val="21"/>
              </w:rPr>
              <w:t>m</w:t>
            </w:r>
          </w:p>
        </w:tc>
      </w:tr>
    </w:tbl>
    <w:p>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第四条  </w:t>
      </w:r>
      <w:r>
        <w:rPr>
          <w:rFonts w:ascii="Times New Roman" w:hAnsi="Times New Roman" w:eastAsia="仿宋_GB2312" w:cs="Times New Roman"/>
          <w:spacing w:val="-6"/>
          <w:sz w:val="32"/>
          <w:szCs w:val="32"/>
        </w:rPr>
        <w:t>本合同约定的采矿权出让年限为</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7.3年</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自签订采矿权出让合同之日起计算（自</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日起至</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日止）。</w:t>
      </w:r>
    </w:p>
    <w:p>
      <w:pPr>
        <w:spacing w:line="520" w:lineRule="exact"/>
        <w:ind w:firstLine="619" w:firstLineChars="200"/>
        <w:jc w:val="left"/>
        <w:rPr>
          <w:rFonts w:hint="eastAsia" w:ascii="Times New Roman" w:hAnsi="Times New Roman" w:eastAsia="仿宋_GB2312" w:cs="Times New Roman"/>
          <w:sz w:val="32"/>
          <w:szCs w:val="32"/>
          <w:lang w:eastAsia="zh-CN"/>
        </w:rPr>
      </w:pPr>
      <w:r>
        <w:rPr>
          <w:rFonts w:ascii="Times New Roman" w:hAnsi="Times New Roman" w:eastAsia="仿宋_GB2312" w:cs="Times New Roman"/>
          <w:b/>
          <w:spacing w:val="-6"/>
          <w:sz w:val="32"/>
          <w:szCs w:val="32"/>
        </w:rPr>
        <w:t xml:space="preserve">第五条  </w:t>
      </w:r>
      <w:r>
        <w:rPr>
          <w:rFonts w:ascii="Times New Roman" w:hAnsi="Times New Roman" w:eastAsia="仿宋_GB2312" w:cs="Times New Roman"/>
          <w:spacing w:val="-6"/>
          <w:sz w:val="32"/>
          <w:szCs w:val="32"/>
        </w:rPr>
        <w:t>本合同采矿权出让收益为人民币大写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第六条  </w:t>
      </w:r>
      <w:r>
        <w:rPr>
          <w:rFonts w:ascii="Times New Roman" w:hAnsi="Times New Roman" w:eastAsia="仿宋_GB2312" w:cs="Times New Roman"/>
          <w:spacing w:val="-6"/>
          <w:sz w:val="32"/>
          <w:szCs w:val="32"/>
        </w:rPr>
        <w:t>受让方同意按下列第</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种方式缴纳采矿权出让收益：</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1、自本合同签订之日起</w:t>
      </w:r>
      <w:r>
        <w:rPr>
          <w:rFonts w:hint="eastAsia" w:ascii="Times New Roman" w:hAnsi="Times New Roman" w:eastAsia="仿宋" w:cs="Times New Roman"/>
          <w:spacing w:val="-6"/>
          <w:sz w:val="32"/>
          <w:szCs w:val="32"/>
          <w:u w:val="single"/>
          <w:lang w:val="en-US" w:eastAsia="zh-CN"/>
        </w:rPr>
        <w:t>7个工作日</w:t>
      </w:r>
      <w:r>
        <w:rPr>
          <w:rFonts w:ascii="Times New Roman" w:hAnsi="Times New Roman" w:eastAsia="仿宋_GB2312" w:cs="Times New Roman"/>
          <w:spacing w:val="-6"/>
          <w:sz w:val="32"/>
          <w:szCs w:val="32"/>
        </w:rPr>
        <w:t>内，缴清采矿权出让收益人民币大写</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2、按以下时间和金额分</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期向出让方支付采矿权出让收益：</w:t>
      </w:r>
    </w:p>
    <w:p>
      <w:pPr>
        <w:spacing w:line="520" w:lineRule="exact"/>
        <w:ind w:firstLine="612" w:firstLineChars="199"/>
        <w:rPr>
          <w:rFonts w:ascii="Times New Roman" w:hAnsi="Times New Roman" w:eastAsia="仿宋_GB2312" w:cs="Times New Roman"/>
          <w:sz w:val="32"/>
          <w:szCs w:val="32"/>
        </w:rPr>
      </w:pPr>
      <w:r>
        <w:rPr>
          <w:rFonts w:ascii="Times New Roman" w:hAnsi="Times New Roman" w:eastAsia="仿宋_GB2312" w:cs="Times New Roman"/>
          <w:spacing w:val="-6"/>
          <w:sz w:val="32"/>
          <w:szCs w:val="32"/>
        </w:rPr>
        <w:t>自本合同签订之日起</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日内，</w:t>
      </w:r>
      <w:r>
        <w:rPr>
          <w:rFonts w:ascii="Times New Roman" w:hAnsi="Times New Roman" w:eastAsia="仿宋_GB2312" w:cs="Times New Roman"/>
          <w:sz w:val="32"/>
          <w:szCs w:val="32"/>
        </w:rPr>
        <w:t>首次缴纳采矿权出让收益人民币大写</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（小写￥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万元）。</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受让方应在本合同签订之日起6个月内持本合同、采矿权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支付凭证及法律法规规定的要件资料，按规定向出让方申请办理采矿权登记；出让方应在受理采矿登记申请之日起40日内，依法办理采矿权登记，颁发采矿许可证。</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受让方未领取采矿许可证，不得开采受让矿区范围内的矿产资源。</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第八条  </w:t>
      </w:r>
      <w:r>
        <w:rPr>
          <w:rFonts w:ascii="Times New Roman" w:hAnsi="Times New Roman" w:eastAsia="仿宋_GB2312" w:cs="Times New Roman"/>
          <w:spacing w:val="-6"/>
          <w:sz w:val="32"/>
          <w:szCs w:val="32"/>
        </w:rPr>
        <w:t>受让方在申请采矿登记前，应按照国家和重庆市绿色矿山建设标准，委托或自行编制《绿色矿山建设实施方案》，经受让方加盖印章、法定代表人和技术负责人签字，向所在地区县（自治县）矿产资源主管部门报备，作为接受监督检查和第三方评估的依据。</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第九条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受让方应按照《绿色矿山建设实施方案》确定的建设内容和建设时序，开展绿色矿山建设，</w:t>
      </w:r>
      <w:r>
        <w:rPr>
          <w:rFonts w:hint="eastAsia" w:ascii="Times New Roman" w:hAnsi="Times New Roman" w:eastAsia="仿宋_GB2312" w:cs="Times New Roman"/>
          <w:spacing w:val="-6"/>
          <w:sz w:val="32"/>
          <w:szCs w:val="32"/>
          <w:lang w:eastAsia="zh-CN"/>
        </w:rPr>
        <w:t>矿山企业投产时，同步建</w:t>
      </w:r>
      <w:r>
        <w:rPr>
          <w:rFonts w:hint="eastAsia" w:ascii="Times New Roman" w:hAnsi="Times New Roman" w:eastAsia="仿宋_GB2312" w:cs="Times New Roman"/>
          <w:spacing w:val="-6"/>
          <w:sz w:val="32"/>
          <w:szCs w:val="32"/>
        </w:rPr>
        <w:t>成绿色矿山并通过绿色矿山第三方评估。</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第十条  </w:t>
      </w:r>
      <w:r>
        <w:rPr>
          <w:rFonts w:ascii="Times New Roman" w:hAnsi="Times New Roman" w:eastAsia="仿宋_GB2312" w:cs="Times New Roman"/>
          <w:spacing w:val="-6"/>
          <w:sz w:val="32"/>
          <w:szCs w:val="32"/>
        </w:rPr>
        <w:t>受让方取得采矿许可证、投入采矿生产满一年后，可以将本合同约定的采矿权依法进行转让；如需将该宗采矿权进行抵押的，应按照合同约定缴清全部采矿权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受让方经依法批准转让采矿权的，本合同和登记文件中载明的权利义务随之转移，并仍然有效</w:t>
      </w:r>
      <w:r>
        <w:rPr>
          <w:rFonts w:hint="eastAsia" w:ascii="Times New Roman" w:hAnsi="Times New Roman" w:eastAsia="仿宋_GB2312" w:cs="Times New Roman"/>
          <w:spacing w:val="-6"/>
          <w:sz w:val="32"/>
          <w:szCs w:val="32"/>
          <w:lang w:eastAsia="zh-CN"/>
        </w:rPr>
        <w:t>，</w:t>
      </w:r>
      <w:r>
        <w:rPr>
          <w:rFonts w:hint="eastAsia" w:ascii="Times New Roman" w:hAnsi="Times New Roman" w:eastAsia="仿宋_GB2312" w:cs="Times New Roman"/>
          <w:spacing w:val="-6"/>
          <w:sz w:val="32"/>
          <w:szCs w:val="32"/>
        </w:rPr>
        <w:t>转让后的采矿权出让年限为本合同约定出让年限的剩余年限。</w:t>
      </w:r>
    </w:p>
    <w:p>
      <w:pPr>
        <w:numPr>
          <w:ilvl w:val="0"/>
          <w:numId w:val="1"/>
        </w:num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 受让方应当在本合同约定的采矿权出让年限内，按批准的矿产资源开发利用方案进行矿山建设和开采；接受</w:t>
      </w:r>
      <w:r>
        <w:rPr>
          <w:rFonts w:hint="eastAsia" w:ascii="Times New Roman" w:hAnsi="Times New Roman" w:eastAsia="仿宋_GB2312" w:cs="Times New Roman"/>
          <w:color w:val="000000" w:themeColor="text1"/>
          <w:spacing w:val="-6"/>
          <w:sz w:val="32"/>
          <w:szCs w:val="32"/>
          <w:lang w:eastAsia="zh-CN"/>
          <w14:textFill>
            <w14:solidFill>
              <w14:schemeClr w14:val="tx1"/>
            </w14:solidFill>
          </w14:textFill>
        </w:rPr>
        <w:t>规划自然资源行政主管部门</w:t>
      </w:r>
      <w:r>
        <w:rPr>
          <w:rFonts w:ascii="Times New Roman" w:hAnsi="Times New Roman" w:eastAsia="仿宋_GB2312" w:cs="Times New Roman"/>
          <w:color w:val="000000" w:themeColor="text1"/>
          <w:spacing w:val="-6"/>
          <w:sz w:val="32"/>
          <w:szCs w:val="32"/>
          <w14:textFill>
            <w14:solidFill>
              <w14:schemeClr w14:val="tx1"/>
            </w14:solidFill>
          </w14:textFill>
        </w:rPr>
        <w:t>的</w:t>
      </w:r>
      <w:r>
        <w:rPr>
          <w:rFonts w:ascii="Times New Roman" w:hAnsi="Times New Roman" w:eastAsia="仿宋_GB2312" w:cs="Times New Roman"/>
          <w:spacing w:val="-6"/>
          <w:sz w:val="32"/>
          <w:szCs w:val="32"/>
        </w:rPr>
        <w:t>监督检查；依法缴纳采矿权使用费；遵守国家和重庆市的有关矿山环境保护与恢复治理、劳动安全、水土保持、土地复垦等法律、法规和规定。</w:t>
      </w:r>
    </w:p>
    <w:p>
      <w:pPr>
        <w:numPr>
          <w:ilvl w:val="0"/>
          <w:numId w:val="1"/>
        </w:numPr>
        <w:spacing w:line="520" w:lineRule="exact"/>
        <w:ind w:firstLine="608"/>
        <w:rPr>
          <w:rFonts w:ascii="Times New Roman" w:hAnsi="Times New Roman" w:eastAsia="仿宋_GB2312" w:cs="Times New Roman"/>
          <w:color w:val="000000" w:themeColor="text1"/>
          <w:spacing w:val="-6"/>
          <w:sz w:val="32"/>
          <w:szCs w:val="32"/>
          <w14:textFill>
            <w14:solidFill>
              <w14:schemeClr w14:val="tx1"/>
            </w14:solidFill>
          </w14:textFill>
        </w:rPr>
      </w:pPr>
      <w:r>
        <w:rPr>
          <w:rFonts w:hint="eastAsia" w:ascii="Times New Roman" w:hAnsi="Times New Roman" w:eastAsia="仿宋_GB2312" w:cs="Times New Roman"/>
          <w:spacing w:val="-6"/>
          <w:sz w:val="32"/>
          <w:szCs w:val="32"/>
          <w:lang w:val="en-US" w:eastAsia="zh-CN"/>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本合同签订后30日内，受让方应按照出让的矿区范围按规范要求自行埋设界桩或者设置地面标志。受让方应承担保护界桩或地面标志的责任，不得擅自改动，界桩或地面标志遭到破坏或移动时，受让方应当及时复界测量，恢复界桩，并向规划资源主管部门提出书面报告。</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三</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在采矿权出让年限内，受让方需要变更矿区范围、变更开采矿种的，必须依法办理有关批准手续，重新签订采矿权出让合同。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四</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本合同约定的采矿权出让年限届满前，除本合同约定可以收回采矿权情况外，出让方不得无故收回采矿权。因国家法律、法规、规章、政策或矿产资源规划调整，出让方需要提前收回矿权的，受让方应无条件服从，出让方根据受让方实际动用的资源储量进行核定，对受让方已缴纳的采矿权出让收益实行多退少补。</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在采矿权出让年限内，国家</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重庆市</w:t>
      </w:r>
      <w:r>
        <w:rPr>
          <w:rFonts w:hint="eastAsia" w:ascii="Times New Roman" w:hAnsi="Times New Roman" w:eastAsia="仿宋_GB2312" w:cs="Times New Roman"/>
          <w:spacing w:val="-6"/>
          <w:sz w:val="32"/>
          <w:szCs w:val="32"/>
          <w:lang w:eastAsia="zh-CN"/>
        </w:rPr>
        <w:t>和綦江区</w:t>
      </w:r>
      <w:r>
        <w:rPr>
          <w:rFonts w:ascii="Times New Roman" w:hAnsi="Times New Roman" w:eastAsia="仿宋_GB2312" w:cs="Times New Roman"/>
          <w:spacing w:val="-6"/>
          <w:sz w:val="32"/>
          <w:szCs w:val="32"/>
        </w:rPr>
        <w:t>政府有新的规定时，按新规定执行。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受让方在采矿许可证有效期内停办、关闭矿山的，应当自决定停办或者关闭矿山之日起30日内，向出让方申请办理采矿许可证注销登记手续，采矿权无偿收归国有。</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受让方不能按本合同约定按时支付采矿权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的，每日按滞纳金额的2‰向出让方缴纳滞纳金。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延期缴纳采矿权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超过6个月的，出让方有权解除合同、收回采矿权、撤销采矿许可证，不退还受让方已缴纳的采矿权出让收益。双方另有约定除外。</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B0F0"/>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受让方未在本合同约定时间内，按照法律法规规定的要件资料申请采矿登记的，出让方有权解除合同，不退还受让方已缴纳的采矿权出让收益。双方另有约定的除外。</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出让方未按本合同约定按时颁发采矿许可证的，应自延期颁发采矿许可证之日起6个月内，按照受让方已支付的采矿权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的2‰按日向受让方支付违约金。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延期颁发采矿许可证超过6个月，受让方有权解除合同，出让方应返还受让方已缴纳的采矿权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受让方应当自领取采矿许可证之日起</w:t>
      </w:r>
      <w:r>
        <w:rPr>
          <w:rFonts w:hint="eastAsia" w:ascii="Times New Roman" w:hAnsi="Times New Roman" w:eastAsia="仿宋_GB2312" w:cs="Times New Roman"/>
          <w:spacing w:val="-6"/>
          <w:sz w:val="32"/>
          <w:szCs w:val="32"/>
          <w:lang w:val="en-US" w:eastAsia="zh-CN"/>
        </w:rPr>
        <w:t>6个月</w:t>
      </w:r>
      <w:r>
        <w:rPr>
          <w:rFonts w:ascii="Times New Roman" w:hAnsi="Times New Roman" w:eastAsia="仿宋_GB2312" w:cs="Times New Roman"/>
          <w:spacing w:val="-6"/>
          <w:sz w:val="32"/>
          <w:szCs w:val="32"/>
        </w:rPr>
        <w:t>内进行建设或生产。逾期未进行建设和生产的，出让方可以依法无偿收回采矿权。</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受让方超越批准的矿区范围采矿的，出让方可以不批准延续、变更采矿许可证。 </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二十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受让方未按本合同约定按期建成绿色矿山及通过绿色矿山第三方评估的，出让方有权要求受让方限期整改，并可不办理采矿许可延续等相关审批手续；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第二十二条  受让方须在成交之日起2个月内完成土地、林地流转和房屋搬迁协议，逾期未完成土地、林地流转和房屋搬迁协议的，出让方可以依法解除合同，且报名保证金不予退还。</w:t>
      </w:r>
    </w:p>
    <w:p>
      <w:pPr>
        <w:spacing w:line="520" w:lineRule="exact"/>
        <w:ind w:firstLine="607"/>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pacing w:val="-6"/>
          <w:sz w:val="32"/>
          <w:szCs w:val="32"/>
          <w:lang w:val="en-US" w:eastAsia="zh-CN"/>
          <w14:textFill>
            <w14:solidFill>
              <w14:schemeClr w14:val="tx1"/>
            </w14:solidFill>
          </w14:textFill>
        </w:rPr>
        <w:t>第二十三条  受让方须自行或委托编制《矿山地质环境保护与土地复垦方案》并通过审查，同时按照《矿山地质环境保护规定》等相关规定履行矿山地质环境保护相关义务。</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color w:val="000000" w:themeColor="text1"/>
          <w:spacing w:val="-6"/>
          <w:sz w:val="32"/>
          <w:szCs w:val="32"/>
          <w14:textFill>
            <w14:solidFill>
              <w14:schemeClr w14:val="tx1"/>
            </w14:solidFill>
          </w14:textFill>
        </w:rPr>
        <w:t>第二十</w:t>
      </w:r>
      <w:r>
        <w:rPr>
          <w:rFonts w:hint="eastAsia" w:ascii="Times New Roman" w:hAnsi="Times New Roman" w:eastAsia="仿宋_GB2312" w:cs="Times New Roman"/>
          <w:b/>
          <w:color w:val="000000" w:themeColor="text1"/>
          <w:spacing w:val="-6"/>
          <w:sz w:val="32"/>
          <w:szCs w:val="32"/>
          <w:lang w:eastAsia="zh-CN"/>
          <w14:textFill>
            <w14:solidFill>
              <w14:schemeClr w14:val="tx1"/>
            </w14:solidFill>
          </w14:textFill>
        </w:rPr>
        <w:t>四</w:t>
      </w:r>
      <w:r>
        <w:rPr>
          <w:rFonts w:ascii="Times New Roman" w:hAnsi="Times New Roman" w:eastAsia="仿宋_GB2312" w:cs="Times New Roman"/>
          <w:b/>
          <w:color w:val="000000" w:themeColor="text1"/>
          <w:spacing w:val="-6"/>
          <w:sz w:val="32"/>
          <w:szCs w:val="32"/>
          <w14:textFill>
            <w14:solidFill>
              <w14:schemeClr w14:val="tx1"/>
            </w14:solidFill>
          </w14:textFill>
        </w:rPr>
        <w:t>条</w:t>
      </w:r>
      <w:r>
        <w:rPr>
          <w:rFonts w:ascii="Times New Roman" w:hAnsi="Times New Roman" w:eastAsia="仿宋_GB2312" w:cs="Times New Roman"/>
          <w:color w:val="000000" w:themeColor="text1"/>
          <w:spacing w:val="-6"/>
          <w:sz w:val="32"/>
          <w:szCs w:val="32"/>
          <w14:textFill>
            <w14:solidFill>
              <w14:schemeClr w14:val="tx1"/>
            </w14:solidFill>
          </w14:textFill>
        </w:rPr>
        <w:t xml:space="preserve">  受让方完全理解并接受出让方只是许可受让方开采矿产品，因地质和开采条件等多种原因，出让方不能保证受让方开采得到出让合同记载的矿产资源量。</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由于地质情况的复杂性和勘查工作的局限性，划定矿区范围内的占用储量与实际情况有可能不相符合。受让方完全了解此种风险，并自愿承担该风险。</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任何一方对由于不可抗力造成的部分或全部不能履行本合同不负责任，但应在条件允许下采取一切必要的补救措施以减少因不可抗力造成的损失。</w:t>
      </w:r>
    </w:p>
    <w:p>
      <w:pPr>
        <w:spacing w:line="520" w:lineRule="exact"/>
        <w:ind w:firstLine="607"/>
        <w:rPr>
          <w:rFonts w:ascii="Times New Roman" w:hAnsi="Times New Roman" w:eastAsia="仿宋_GB2312" w:cs="Times New Roman"/>
          <w:color w:val="000000" w:themeColor="text1"/>
          <w:spacing w:val="-6"/>
          <w:sz w:val="32"/>
          <w:szCs w:val="32"/>
          <w14:textFill>
            <w14:solidFill>
              <w14:schemeClr w14:val="tx1"/>
            </w14:solidFill>
          </w14:textFill>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color w:val="000000" w:themeColor="text1"/>
          <w:spacing w:val="-6"/>
          <w:sz w:val="32"/>
          <w:szCs w:val="32"/>
          <w14:textFill>
            <w14:solidFill>
              <w14:schemeClr w14:val="tx1"/>
            </w14:solidFill>
          </w14:textFill>
        </w:rPr>
        <w:t>本合同双方当事人同意，就因一方违约而提起的任何诉讼而发出的传票和通知，只要发送至本合同中所填写的通讯地址，即视为送达。上述地址的变更非经提前通知对方，对对方不生效。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本合同未尽事宜，从其法律、法规规定，也可由双方签订补充协议作为合同附件，与本合同具有同等法律效力。</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八</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因履行本合同发生争议，由争议双方协商解决，协商不成的，向出让方所在地人民法院起诉。</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九</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本合同经双方法定代表人或其授权委托代理人签字（章）后生效。</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本合同采用汉字书写，一式</w:t>
      </w:r>
      <w:r>
        <w:rPr>
          <w:rFonts w:hint="eastAsia" w:ascii="Times New Roman" w:hAnsi="Times New Roman" w:eastAsia="仿宋_GB2312" w:cs="Times New Roman"/>
          <w:spacing w:val="-6"/>
          <w:sz w:val="32"/>
          <w:szCs w:val="32"/>
          <w:lang w:eastAsia="zh-CN"/>
        </w:rPr>
        <w:t>贰</w:t>
      </w:r>
      <w:r>
        <w:rPr>
          <w:rFonts w:ascii="Times New Roman" w:hAnsi="Times New Roman" w:eastAsia="仿宋_GB2312" w:cs="Times New Roman"/>
          <w:spacing w:val="-6"/>
          <w:sz w:val="32"/>
          <w:szCs w:val="32"/>
        </w:rPr>
        <w:t>份，具有同等法律效力，双方各执</w:t>
      </w:r>
      <w:r>
        <w:rPr>
          <w:rFonts w:hint="eastAsia" w:ascii="Times New Roman" w:hAnsi="Times New Roman" w:eastAsia="仿宋_GB2312" w:cs="Times New Roman"/>
          <w:spacing w:val="-6"/>
          <w:sz w:val="32"/>
          <w:szCs w:val="32"/>
          <w:lang w:eastAsia="zh-CN"/>
        </w:rPr>
        <w:t>壹</w:t>
      </w:r>
      <w:r>
        <w:rPr>
          <w:rFonts w:ascii="Times New Roman" w:hAnsi="Times New Roman" w:eastAsia="仿宋_GB2312" w:cs="Times New Roman"/>
          <w:spacing w:val="-6"/>
          <w:sz w:val="32"/>
          <w:szCs w:val="32"/>
        </w:rPr>
        <w:t>份。</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lang w:eastAsia="zh-CN"/>
        </w:rPr>
        <w:t>三十一</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本合同于</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ascii="Times New Roman" w:hAnsi="Times New Roman" w:eastAsia="仿宋_GB2312" w:cs="Times New Roman"/>
          <w:spacing w:val="-6"/>
          <w:sz w:val="32"/>
          <w:szCs w:val="32"/>
        </w:rPr>
        <w:t>日在</w:t>
      </w: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规划和自然资源局签订。</w:t>
      </w:r>
    </w:p>
    <w:p>
      <w:pPr>
        <w:spacing w:line="520" w:lineRule="exact"/>
        <w:ind w:firstLine="608"/>
        <w:rPr>
          <w:rFonts w:ascii="Times New Roman" w:hAnsi="Times New Roman" w:eastAsia="仿宋_GB2312" w:cs="Times New Roman"/>
          <w:b/>
          <w:spacing w:val="-6"/>
          <w:sz w:val="32"/>
          <w:szCs w:val="32"/>
        </w:rPr>
      </w:pPr>
    </w:p>
    <w:p>
      <w:pPr>
        <w:spacing w:line="520" w:lineRule="exact"/>
        <w:ind w:firstLine="608"/>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出让方（章）：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受让方（章）：</w:t>
      </w:r>
    </w:p>
    <w:p>
      <w:pPr>
        <w:spacing w:line="520" w:lineRule="exact"/>
        <w:rPr>
          <w:rFonts w:hint="eastAsia" w:ascii="Times New Roman" w:hAnsi="Times New Roman" w:eastAsia="仿宋_GB2312" w:cs="Times New Roman"/>
          <w:spacing w:val="-6"/>
          <w:sz w:val="32"/>
          <w:szCs w:val="32"/>
          <w:lang w:eastAsia="zh-CN"/>
        </w:rPr>
      </w:pPr>
      <w:r>
        <w:rPr>
          <w:rFonts w:ascii="Times New Roman" w:hAnsi="Times New Roman" w:eastAsia="仿宋_GB2312" w:cs="Times New Roman"/>
          <w:spacing w:val="-6"/>
          <w:sz w:val="32"/>
          <w:szCs w:val="32"/>
          <w:u w:val="none"/>
        </w:rPr>
        <w:t>重庆市</w:t>
      </w:r>
      <w:r>
        <w:rPr>
          <w:rFonts w:hint="eastAsia" w:ascii="Times New Roman" w:hAnsi="Times New Roman" w:eastAsia="仿宋_GB2312" w:cs="Times New Roman"/>
          <w:spacing w:val="-6"/>
          <w:sz w:val="32"/>
          <w:szCs w:val="32"/>
          <w:u w:val="none"/>
          <w:lang w:eastAsia="zh-CN"/>
        </w:rPr>
        <w:t>綦江区</w:t>
      </w:r>
      <w:r>
        <w:rPr>
          <w:rFonts w:ascii="Times New Roman" w:hAnsi="Times New Roman" w:eastAsia="仿宋_GB2312" w:cs="Times New Roman"/>
          <w:spacing w:val="-6"/>
          <w:sz w:val="32"/>
          <w:szCs w:val="32"/>
        </w:rPr>
        <w:t xml:space="preserve">规划和自然资源局  </w:t>
      </w:r>
      <w:r>
        <w:rPr>
          <w:rFonts w:hint="eastAsia" w:ascii="Times New Roman" w:hAnsi="Times New Roman" w:eastAsia="仿宋_GB2312" w:cs="Times New Roman"/>
          <w:spacing w:val="-6"/>
          <w:sz w:val="32"/>
          <w:szCs w:val="32"/>
          <w:lang w:val="en-US" w:eastAsia="zh-CN"/>
        </w:rPr>
        <w:t xml:space="preserve">   </w:t>
      </w: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法定代表人（委托代理人）：         法定代表人（委托代理人）</w:t>
      </w: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（签章）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 xml:space="preserve">（签章）  </w:t>
      </w:r>
      <w:r>
        <w:rPr>
          <w:rFonts w:ascii="Times New Roman" w:hAnsi="Times New Roman" w:eastAsia="仿宋_GB2312" w:cs="Times New Roman"/>
          <w:spacing w:val="-6"/>
          <w:sz w:val="32"/>
          <w:szCs w:val="32"/>
        </w:rPr>
        <w:t xml:space="preserve">                          </w:t>
      </w:r>
    </w:p>
    <w:p>
      <w:pPr>
        <w:spacing w:line="520" w:lineRule="exact"/>
        <w:rPr>
          <w:rFonts w:ascii="Times New Roman" w:hAnsi="Times New Roman" w:eastAsia="仿宋_GB2312" w:cs="Times New Roman"/>
          <w:spacing w:val="-6"/>
          <w:sz w:val="32"/>
          <w:szCs w:val="32"/>
        </w:rPr>
      </w:pP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电    话：</w:t>
      </w:r>
      <w:r>
        <w:rPr>
          <w:rFonts w:hint="eastAsia" w:ascii="Times New Roman" w:hAnsi="Times New Roman" w:eastAsia="仿宋_GB2312" w:cs="Times New Roman"/>
          <w:b/>
          <w:spacing w:val="-6"/>
          <w:sz w:val="32"/>
          <w:szCs w:val="32"/>
          <w:lang w:val="en-US" w:eastAsia="zh-CN"/>
        </w:rPr>
        <w:t>85890022</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电    话：</w:t>
      </w:r>
    </w:p>
    <w:p>
      <w:pPr>
        <w:rPr>
          <w:rFonts w:ascii="Times New Roman" w:hAnsi="Times New Roman" w:eastAsia="方正仿宋_GBK" w:cs="Times New Roman"/>
          <w:b/>
          <w:sz w:val="28"/>
          <w:szCs w:val="28"/>
        </w:rPr>
      </w:pPr>
      <w:r>
        <w:rPr>
          <w:rFonts w:ascii="Times New Roman" w:hAnsi="Times New Roman" w:eastAsia="仿宋_GB2312" w:cs="Times New Roman"/>
          <w:b/>
          <w:spacing w:val="-6"/>
          <w:sz w:val="32"/>
          <w:szCs w:val="32"/>
        </w:rPr>
        <w:t>邮政编码：</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邮政编码：</w:t>
      </w: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8F77"/>
    <w:multiLevelType w:val="singleLevel"/>
    <w:tmpl w:val="16EA8F7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E6"/>
    <w:rsid w:val="000007F6"/>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5534"/>
    <w:rsid w:val="003F006B"/>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1461D59"/>
    <w:rsid w:val="0D5D461D"/>
    <w:rsid w:val="15F378DF"/>
    <w:rsid w:val="289E4E02"/>
    <w:rsid w:val="28ED4BAF"/>
    <w:rsid w:val="293A1BDD"/>
    <w:rsid w:val="2A4E067C"/>
    <w:rsid w:val="2C1B0D9C"/>
    <w:rsid w:val="363921B1"/>
    <w:rsid w:val="37C84415"/>
    <w:rsid w:val="45992422"/>
    <w:rsid w:val="464C08C3"/>
    <w:rsid w:val="4D7A7542"/>
    <w:rsid w:val="4E233460"/>
    <w:rsid w:val="52A401BC"/>
    <w:rsid w:val="5AA776CB"/>
    <w:rsid w:val="5DC26D76"/>
    <w:rsid w:val="5F0C4F24"/>
    <w:rsid w:val="61F05F27"/>
    <w:rsid w:val="66CA2678"/>
    <w:rsid w:val="78032087"/>
    <w:rsid w:val="7A0244C6"/>
    <w:rsid w:val="7EEA4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22"/>
    <w:rPr>
      <w:b/>
      <w:bCs/>
    </w:rPr>
  </w:style>
  <w:style w:type="character" w:styleId="7">
    <w:name w:val="page number"/>
    <w:basedOn w:val="5"/>
    <w:qFormat/>
    <w:uiPriority w:val="0"/>
  </w:style>
  <w:style w:type="character" w:styleId="8">
    <w:name w:val="Hyperlink"/>
    <w:basedOn w:val="5"/>
    <w:unhideWhenUsed/>
    <w:qFormat/>
    <w:uiPriority w:val="99"/>
    <w:rPr>
      <w:color w:val="0563C1" w:themeColor="hyperlink"/>
      <w:u w:val="single"/>
      <w14:textFill>
        <w14:solidFill>
          <w14:schemeClr w14:val="hlink"/>
        </w14:solidFill>
      </w14:textFill>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5"/>
    <w:link w:val="4"/>
    <w:qFormat/>
    <w:uiPriority w:val="99"/>
    <w:rPr>
      <w:sz w:val="18"/>
      <w:szCs w:val="18"/>
    </w:rPr>
  </w:style>
  <w:style w:type="character" w:customStyle="1" w:styleId="12">
    <w:name w:val="页脚 字符"/>
    <w:basedOn w:val="5"/>
    <w:link w:val="3"/>
    <w:qFormat/>
    <w:uiPriority w:val="99"/>
    <w:rPr>
      <w:sz w:val="18"/>
      <w:szCs w:val="18"/>
    </w:rPr>
  </w:style>
  <w:style w:type="table" w:customStyle="1" w:styleId="13">
    <w:name w:val="网格型1"/>
    <w:basedOn w:val="9"/>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styleId="14">
    <w:name w:val="List Paragraph"/>
    <w:basedOn w:val="1"/>
    <w:qFormat/>
    <w:uiPriority w:val="34"/>
    <w:pPr>
      <w:ind w:firstLine="420" w:firstLineChars="200"/>
    </w:pPr>
  </w:style>
  <w:style w:type="character" w:customStyle="1" w:styleId="15">
    <w:name w:val="批注框文本 字符"/>
    <w:basedOn w:val="5"/>
    <w:link w:val="2"/>
    <w:semiHidden/>
    <w:qFormat/>
    <w:uiPriority w:val="99"/>
    <w:rPr>
      <w:sz w:val="18"/>
      <w:szCs w:val="18"/>
    </w:rPr>
  </w:style>
  <w:style w:type="character" w:customStyle="1" w:styleId="16">
    <w:name w:val="font01"/>
    <w:basedOn w:val="5"/>
    <w:qFormat/>
    <w:uiPriority w:val="0"/>
    <w:rPr>
      <w:rFonts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利用事务中心</Company>
  <Pages>6</Pages>
  <Words>517</Words>
  <Characters>2951</Characters>
  <Lines>24</Lines>
  <Paragraphs>6</Paragraphs>
  <TotalTime>3</TotalTime>
  <ScaleCrop>false</ScaleCrop>
  <LinksUpToDate>false</LinksUpToDate>
  <CharactersWithSpaces>3462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王雷雨</cp:lastModifiedBy>
  <cp:lastPrinted>2020-09-28T07:29:00Z</cp:lastPrinted>
  <dcterms:modified xsi:type="dcterms:W3CDTF">2021-06-02T08:34:14Z</dcterms:modified>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