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仿宋_GB2312" w:hAnsi="仿宋_GB2312" w:eastAsia="仿宋_GB2312" w:cs="仿宋_GB2312"/>
          <w:b/>
          <w:color w:val="000000"/>
          <w:sz w:val="52"/>
          <w:szCs w:val="52"/>
        </w:rPr>
      </w:pPr>
      <w:r>
        <w:rPr>
          <w:rFonts w:hint="eastAsia" w:ascii="仿宋_GB2312" w:hAnsi="仿宋_GB2312" w:eastAsia="仿宋_GB2312" w:cs="仿宋_GB2312"/>
          <w:b/>
          <w:color w:val="000000"/>
          <w:sz w:val="52"/>
          <w:szCs w:val="52"/>
        </w:rPr>
        <w:t>重庆市綦江区扶欢循环经济产业园(未评估区1.58km</w:t>
      </w:r>
      <w:r>
        <w:rPr>
          <w:rFonts w:hint="eastAsia" w:ascii="仿宋_GB2312" w:hAnsi="仿宋_GB2312" w:eastAsia="仿宋_GB2312" w:cs="仿宋_GB2312"/>
          <w:b/>
          <w:color w:val="000000"/>
          <w:sz w:val="52"/>
          <w:szCs w:val="52"/>
          <w:vertAlign w:val="superscript"/>
        </w:rPr>
        <w:t>2</w:t>
      </w:r>
      <w:r>
        <w:rPr>
          <w:rFonts w:hint="eastAsia" w:ascii="仿宋_GB2312" w:hAnsi="仿宋_GB2312" w:eastAsia="仿宋_GB2312" w:cs="仿宋_GB2312"/>
          <w:b/>
          <w:color w:val="000000"/>
          <w:sz w:val="52"/>
          <w:szCs w:val="52"/>
        </w:rPr>
        <w:t>)</w:t>
      </w:r>
    </w:p>
    <w:p>
      <w:pPr>
        <w:snapToGrid w:val="0"/>
        <w:spacing w:line="360" w:lineRule="auto"/>
        <w:jc w:val="center"/>
        <w:rPr>
          <w:rFonts w:ascii="仿宋_GB2312" w:hAnsi="仿宋_GB2312" w:eastAsia="仿宋_GB2312" w:cs="仿宋_GB2312"/>
          <w:b/>
          <w:color w:val="000000"/>
          <w:sz w:val="52"/>
          <w:szCs w:val="52"/>
        </w:rPr>
      </w:pPr>
      <w:r>
        <w:rPr>
          <w:rFonts w:hint="eastAsia" w:ascii="仿宋_GB2312" w:hAnsi="仿宋_GB2312" w:eastAsia="仿宋_GB2312" w:cs="仿宋_GB2312"/>
          <w:b/>
          <w:color w:val="000000"/>
          <w:sz w:val="52"/>
          <w:szCs w:val="52"/>
        </w:rPr>
        <w:t>区域用地地质灾害危险性评估报告</w:t>
      </w:r>
    </w:p>
    <w:p>
      <w:pPr>
        <w:jc w:val="center"/>
        <w:rPr>
          <w:rFonts w:ascii="仿宋_GB2312" w:hAnsi="仿宋_GB2312" w:eastAsia="仿宋_GB2312" w:cs="仿宋_GB2312"/>
          <w:b/>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jc w:val="center"/>
        <w:rPr>
          <w:rFonts w:ascii="仿宋_GB2312" w:hAnsi="仿宋_GB2312" w:eastAsia="仿宋_GB2312" w:cs="仿宋_GB2312"/>
          <w:b/>
          <w:bCs/>
          <w:color w:val="000000"/>
          <w:sz w:val="32"/>
          <w:szCs w:val="32"/>
        </w:rPr>
      </w:pPr>
    </w:p>
    <w:p>
      <w:pPr>
        <w:pStyle w:val="10"/>
        <w:spacing w:after="240" w:afterLines="100"/>
        <w:ind w:firstLine="0"/>
        <w:jc w:val="center"/>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重庆开源地质勘探有限公司</w:t>
      </w:r>
    </w:p>
    <w:p>
      <w:pPr>
        <w:pStyle w:val="10"/>
        <w:spacing w:after="240" w:afterLines="100"/>
        <w:ind w:firstLine="0"/>
        <w:jc w:val="center"/>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二〇二二</w:t>
      </w:r>
      <w:r>
        <w:rPr>
          <w:rFonts w:hint="eastAsia" w:ascii="仿宋_GB2312" w:hAnsi="仿宋_GB2312" w:cs="仿宋_GB2312"/>
          <w:b/>
          <w:bCs/>
          <w:color w:val="000000"/>
          <w:sz w:val="32"/>
          <w:szCs w:val="32"/>
        </w:rPr>
        <w:t xml:space="preserve"> </w:t>
      </w:r>
      <w:r>
        <w:rPr>
          <w:rFonts w:hint="eastAsia" w:ascii="仿宋_GB2312" w:hAnsi="仿宋_GB2312" w:eastAsia="仿宋_GB2312" w:cs="仿宋_GB2312"/>
          <w:b/>
          <w:bCs/>
          <w:color w:val="000000"/>
          <w:sz w:val="32"/>
          <w:szCs w:val="32"/>
        </w:rPr>
        <w:t>年</w:t>
      </w:r>
      <w:r>
        <w:rPr>
          <w:rFonts w:hint="eastAsia" w:ascii="仿宋_GB2312" w:hAnsi="仿宋_GB2312" w:cs="仿宋_GB2312"/>
          <w:b/>
          <w:bCs/>
          <w:color w:val="000000"/>
          <w:sz w:val="32"/>
          <w:szCs w:val="32"/>
        </w:rPr>
        <w:t xml:space="preserve"> </w:t>
      </w:r>
      <w:r>
        <w:rPr>
          <w:rFonts w:hint="eastAsia" w:ascii="仿宋_GB2312" w:hAnsi="仿宋_GB2312" w:eastAsia="仿宋_GB2312" w:cs="仿宋_GB2312"/>
          <w:b/>
          <w:bCs/>
          <w:color w:val="000000"/>
          <w:sz w:val="32"/>
          <w:szCs w:val="32"/>
        </w:rPr>
        <w:t>八</w:t>
      </w:r>
      <w:r>
        <w:rPr>
          <w:rFonts w:hint="eastAsia" w:ascii="仿宋_GB2312" w:hAnsi="仿宋_GB2312" w:cs="仿宋_GB2312"/>
          <w:b/>
          <w:bCs/>
          <w:color w:val="000000"/>
          <w:sz w:val="32"/>
          <w:szCs w:val="32"/>
        </w:rPr>
        <w:t xml:space="preserve"> </w:t>
      </w:r>
      <w:r>
        <w:rPr>
          <w:rFonts w:hint="eastAsia" w:ascii="仿宋_GB2312" w:hAnsi="仿宋_GB2312" w:eastAsia="仿宋_GB2312" w:cs="仿宋_GB2312"/>
          <w:b/>
          <w:bCs/>
          <w:color w:val="000000"/>
          <w:sz w:val="32"/>
          <w:szCs w:val="32"/>
        </w:rPr>
        <w:t>月</w:t>
      </w:r>
    </w:p>
    <w:p>
      <w:pPr>
        <w:pStyle w:val="10"/>
        <w:spacing w:after="240" w:afterLines="100"/>
        <w:ind w:firstLine="0"/>
        <w:jc w:val="center"/>
        <w:rPr>
          <w:rFonts w:ascii="仿宋_GB2312" w:hAnsi="仿宋_GB2312" w:eastAsia="仿宋_GB2312" w:cs="仿宋_GB2312"/>
          <w:b/>
          <w:bCs/>
          <w:color w:val="000000"/>
          <w:sz w:val="32"/>
          <w:szCs w:val="32"/>
        </w:rPr>
      </w:pPr>
    </w:p>
    <w:p>
      <w:pPr>
        <w:pStyle w:val="10"/>
        <w:spacing w:after="240" w:afterLines="100"/>
        <w:ind w:firstLine="0"/>
        <w:jc w:val="center"/>
        <w:rPr>
          <w:rFonts w:ascii="仿宋_GB2312" w:hAnsi="仿宋_GB2312" w:eastAsia="仿宋_GB2312" w:cs="仿宋_GB2312"/>
          <w:b/>
          <w:bCs/>
          <w:color w:val="000000"/>
          <w:sz w:val="32"/>
          <w:szCs w:val="32"/>
        </w:rPr>
      </w:pPr>
    </w:p>
    <w:p>
      <w:pPr>
        <w:pStyle w:val="10"/>
        <w:spacing w:after="240" w:afterLines="100"/>
        <w:ind w:firstLine="0"/>
        <w:jc w:val="center"/>
        <w:rPr>
          <w:rFonts w:ascii="仿宋_GB2312" w:hAnsi="仿宋_GB2312" w:cs="仿宋_GB2312" w:eastAsiaTheme="minorEastAsia"/>
          <w:b/>
          <w:bCs/>
          <w:color w:val="000000"/>
          <w:sz w:val="32"/>
          <w:szCs w:val="32"/>
        </w:rPr>
      </w:pPr>
    </w:p>
    <w:p>
      <w:pPr>
        <w:pStyle w:val="10"/>
        <w:spacing w:after="240" w:afterLines="100"/>
        <w:ind w:firstLine="0"/>
        <w:jc w:val="center"/>
        <w:rPr>
          <w:rFonts w:hint="eastAsia" w:ascii="仿宋_GB2312" w:hAnsi="仿宋_GB2312" w:cs="仿宋_GB2312" w:eastAsiaTheme="minorEastAsia"/>
          <w:b/>
          <w:bCs/>
          <w:color w:val="000000"/>
          <w:sz w:val="32"/>
          <w:szCs w:val="32"/>
        </w:rPr>
      </w:pPr>
    </w:p>
    <w:p>
      <w:pPr>
        <w:snapToGrid w:val="0"/>
        <w:spacing w:line="360" w:lineRule="auto"/>
        <w:jc w:val="center"/>
        <w:rPr>
          <w:rFonts w:ascii="仿宋_GB2312" w:hAnsi="仿宋_GB2312" w:eastAsia="仿宋_GB2312" w:cs="仿宋_GB2312"/>
          <w:b/>
          <w:color w:val="000000"/>
          <w:sz w:val="52"/>
          <w:szCs w:val="52"/>
        </w:rPr>
      </w:pPr>
      <w:r>
        <w:rPr>
          <w:rFonts w:hint="eastAsia" w:ascii="仿宋_GB2312" w:hAnsi="仿宋_GB2312" w:eastAsia="仿宋_GB2312" w:cs="仿宋_GB2312"/>
          <w:b/>
          <w:color w:val="000000"/>
          <w:sz w:val="52"/>
          <w:szCs w:val="52"/>
        </w:rPr>
        <w:t>重庆市綦江区扶欢循环经济产业园(未评估区1.58km</w:t>
      </w:r>
      <w:r>
        <w:rPr>
          <w:rFonts w:hint="eastAsia" w:ascii="仿宋_GB2312" w:hAnsi="仿宋_GB2312" w:eastAsia="仿宋_GB2312" w:cs="仿宋_GB2312"/>
          <w:b/>
          <w:color w:val="000000"/>
          <w:sz w:val="52"/>
          <w:szCs w:val="52"/>
          <w:vertAlign w:val="superscript"/>
        </w:rPr>
        <w:t>2</w:t>
      </w:r>
      <w:r>
        <w:rPr>
          <w:rFonts w:hint="eastAsia" w:ascii="仿宋_GB2312" w:hAnsi="仿宋_GB2312" w:eastAsia="仿宋_GB2312" w:cs="仿宋_GB2312"/>
          <w:b/>
          <w:color w:val="000000"/>
          <w:sz w:val="52"/>
          <w:szCs w:val="52"/>
        </w:rPr>
        <w:t>)</w:t>
      </w:r>
    </w:p>
    <w:p>
      <w:pPr>
        <w:snapToGrid w:val="0"/>
        <w:spacing w:line="360" w:lineRule="auto"/>
        <w:jc w:val="center"/>
        <w:rPr>
          <w:rFonts w:ascii="仿宋_GB2312" w:hAnsi="仿宋_GB2312" w:eastAsia="仿宋_GB2312" w:cs="仿宋_GB2312"/>
          <w:b/>
          <w:color w:val="000000"/>
          <w:sz w:val="52"/>
          <w:szCs w:val="52"/>
        </w:rPr>
      </w:pPr>
      <w:r>
        <w:rPr>
          <w:rFonts w:hint="eastAsia" w:ascii="仿宋_GB2312" w:hAnsi="仿宋_GB2312" w:eastAsia="仿宋_GB2312" w:cs="仿宋_GB2312"/>
          <w:b/>
          <w:color w:val="000000"/>
          <w:sz w:val="52"/>
          <w:szCs w:val="52"/>
        </w:rPr>
        <w:t>区域用地地质灾害危险性评估报告</w:t>
      </w:r>
    </w:p>
    <w:p>
      <w:pPr>
        <w:snapToGrid w:val="0"/>
        <w:spacing w:line="360" w:lineRule="auto"/>
        <w:jc w:val="center"/>
        <w:rPr>
          <w:rFonts w:ascii="仿宋_GB2312" w:hAnsi="仿宋_GB2312" w:eastAsia="仿宋_GB2312" w:cs="仿宋_GB2312"/>
          <w:b/>
          <w:color w:val="000000"/>
          <w:sz w:val="52"/>
          <w:szCs w:val="52"/>
        </w:rPr>
      </w:pPr>
    </w:p>
    <w:p>
      <w:pPr>
        <w:spacing w:line="360" w:lineRule="auto"/>
        <w:ind w:left="178" w:leftChars="85" w:firstLine="4937" w:firstLineChars="1543"/>
        <w:rPr>
          <w:rFonts w:ascii="仿宋" w:hAnsi="仿宋" w:eastAsia="仿宋"/>
          <w:color w:val="000000"/>
          <w:sz w:val="32"/>
          <w:szCs w:val="32"/>
        </w:rPr>
      </w:pPr>
      <w:r>
        <w:rPr>
          <w:rFonts w:hint="eastAsia" w:ascii="仿宋" w:hAnsi="仿宋" w:eastAsia="仿宋"/>
          <w:color w:val="000000"/>
          <w:sz w:val="32"/>
          <w:szCs w:val="32"/>
        </w:rPr>
        <w:t>委  托   人： 重庆綦江工业园区建设开发股份有限公司</w:t>
      </w:r>
    </w:p>
    <w:p>
      <w:pPr>
        <w:spacing w:line="360" w:lineRule="auto"/>
        <w:ind w:left="178" w:leftChars="85" w:firstLine="4937" w:firstLineChars="1543"/>
        <w:rPr>
          <w:rFonts w:ascii="仿宋" w:hAnsi="仿宋" w:eastAsia="仿宋"/>
          <w:color w:val="000000"/>
          <w:sz w:val="32"/>
          <w:szCs w:val="32"/>
        </w:rPr>
      </w:pPr>
      <w:r>
        <w:rPr>
          <w:rFonts w:hint="eastAsia" w:ascii="仿宋" w:hAnsi="仿宋" w:eastAsia="仿宋"/>
          <w:color w:val="000000"/>
          <w:sz w:val="32"/>
          <w:szCs w:val="32"/>
        </w:rPr>
        <w:t>评 估 单 位： 重庆开源地质勘探有限公司</w:t>
      </w:r>
    </w:p>
    <w:p>
      <w:pPr>
        <w:spacing w:line="360" w:lineRule="auto"/>
        <w:ind w:left="178" w:leftChars="85" w:firstLine="4937" w:firstLineChars="1543"/>
        <w:rPr>
          <w:rFonts w:ascii="仿宋" w:hAnsi="仿宋" w:eastAsia="仿宋"/>
          <w:color w:val="000000"/>
          <w:sz w:val="32"/>
          <w:szCs w:val="32"/>
        </w:rPr>
      </w:pPr>
      <w:r>
        <w:rPr>
          <w:rFonts w:hint="eastAsia" w:ascii="仿宋" w:hAnsi="仿宋" w:eastAsia="仿宋"/>
          <w:color w:val="000000"/>
          <w:sz w:val="32"/>
          <w:szCs w:val="32"/>
        </w:rPr>
        <w:t xml:space="preserve">资 质 等 级： 甲级 </w:t>
      </w:r>
    </w:p>
    <w:p>
      <w:pPr>
        <w:spacing w:line="360" w:lineRule="auto"/>
        <w:ind w:left="178" w:leftChars="85" w:firstLine="4937" w:firstLineChars="1543"/>
        <w:rPr>
          <w:rFonts w:ascii="仿宋" w:hAnsi="仿宋" w:eastAsia="仿宋"/>
          <w:color w:val="000000"/>
          <w:sz w:val="32"/>
          <w:szCs w:val="32"/>
        </w:rPr>
      </w:pPr>
      <w:r>
        <w:rPr>
          <w:rFonts w:hint="eastAsia" w:ascii="仿宋" w:hAnsi="仿宋" w:eastAsia="仿宋"/>
          <w:color w:val="000000"/>
          <w:sz w:val="32"/>
          <w:szCs w:val="32"/>
        </w:rPr>
        <w:t xml:space="preserve">证 书 编 号： </w:t>
      </w:r>
      <w:r>
        <w:rPr>
          <w:rFonts w:hint="eastAsia" w:ascii="仿宋" w:hAnsi="仿宋" w:eastAsia="仿宋"/>
          <w:sz w:val="32"/>
          <w:szCs w:val="32"/>
        </w:rPr>
        <w:t>502018110242</w:t>
      </w:r>
    </w:p>
    <w:p>
      <w:pPr>
        <w:spacing w:line="480" w:lineRule="auto"/>
        <w:ind w:firstLine="5250" w:firstLineChars="2500"/>
        <w:rPr>
          <w:rFonts w:ascii="仿宋" w:hAnsi="仿宋" w:eastAsia="仿宋"/>
          <w:color w:val="000000"/>
          <w:sz w:val="32"/>
          <w:szCs w:val="32"/>
        </w:rPr>
      </w:pPr>
      <w:r>
        <w:drawing>
          <wp:anchor distT="0" distB="0" distL="114300" distR="114300" simplePos="0" relativeHeight="251661312" behindDoc="0" locked="0" layoutInCell="1" allowOverlap="1">
            <wp:simplePos x="0" y="0"/>
            <wp:positionH relativeFrom="column">
              <wp:posOffset>5631815</wp:posOffset>
            </wp:positionH>
            <wp:positionV relativeFrom="page">
              <wp:posOffset>5004435</wp:posOffset>
            </wp:positionV>
            <wp:extent cx="581660" cy="385445"/>
            <wp:effectExtent l="0" t="0" r="8890" b="14605"/>
            <wp:wrapNone/>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17"/>
                    <a:stretch>
                      <a:fillRect/>
                    </a:stretch>
                  </pic:blipFill>
                  <pic:spPr>
                    <a:xfrm>
                      <a:off x="0" y="0"/>
                      <a:ext cx="581660" cy="385445"/>
                    </a:xfrm>
                    <a:prstGeom prst="rect">
                      <a:avLst/>
                    </a:prstGeom>
                    <a:noFill/>
                    <a:ln>
                      <a:noFill/>
                    </a:ln>
                  </pic:spPr>
                </pic:pic>
              </a:graphicData>
            </a:graphic>
          </wp:anchor>
        </w:drawing>
      </w:r>
      <w:r>
        <w:rPr>
          <w:rFonts w:hint="eastAsia" w:ascii="仿宋" w:hAnsi="仿宋" w:eastAsia="仿宋"/>
          <w:color w:val="000000"/>
          <w:sz w:val="32"/>
          <w:szCs w:val="32"/>
        </w:rPr>
        <w:t>项目负责人：刘  嘉               高级工程师</w:t>
      </w:r>
    </w:p>
    <w:p>
      <w:pPr>
        <w:spacing w:line="480" w:lineRule="auto"/>
        <w:ind w:firstLine="5250" w:firstLineChars="2500"/>
        <w:rPr>
          <w:rFonts w:ascii="仿宋" w:hAnsi="仿宋" w:eastAsia="仿宋"/>
          <w:color w:val="000000"/>
          <w:sz w:val="32"/>
          <w:szCs w:val="32"/>
        </w:rPr>
      </w:pPr>
      <w:r>
        <w:drawing>
          <wp:anchor distT="0" distB="0" distL="114300" distR="114300" simplePos="0" relativeHeight="251660288" behindDoc="0" locked="0" layoutInCell="1" allowOverlap="1">
            <wp:simplePos x="0" y="0"/>
            <wp:positionH relativeFrom="column">
              <wp:posOffset>5362575</wp:posOffset>
            </wp:positionH>
            <wp:positionV relativeFrom="paragraph">
              <wp:posOffset>410845</wp:posOffset>
            </wp:positionV>
            <wp:extent cx="715645" cy="403225"/>
            <wp:effectExtent l="0" t="0" r="8255" b="15875"/>
            <wp:wrapNone/>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18"/>
                    <a:stretch>
                      <a:fillRect/>
                    </a:stretch>
                  </pic:blipFill>
                  <pic:spPr>
                    <a:xfrm>
                      <a:off x="0" y="0"/>
                      <a:ext cx="715645" cy="403225"/>
                    </a:xfrm>
                    <a:prstGeom prst="rect">
                      <a:avLst/>
                    </a:prstGeom>
                    <a:noFill/>
                    <a:ln>
                      <a:noFill/>
                    </a:ln>
                  </pic:spPr>
                </pic:pic>
              </a:graphicData>
            </a:graphic>
          </wp:anchor>
        </w:drawing>
      </w:r>
      <w:r>
        <w:rPr>
          <w:rFonts w:hint="eastAsia" w:ascii="仿宋" w:hAnsi="仿宋" w:eastAsia="仿宋"/>
          <w:color w:val="000000"/>
          <w:sz w:val="32"/>
          <w:szCs w:val="32"/>
        </w:rPr>
        <w:t>报告编写人：刘  嘉              高级工程师</w:t>
      </w:r>
    </w:p>
    <w:p>
      <w:pPr>
        <w:spacing w:line="480" w:lineRule="auto"/>
        <w:ind w:firstLine="7140" w:firstLineChars="3400"/>
        <w:rPr>
          <w:rFonts w:ascii="仿宋" w:hAnsi="仿宋" w:eastAsia="仿宋"/>
          <w:color w:val="000000"/>
          <w:sz w:val="32"/>
          <w:szCs w:val="32"/>
        </w:rPr>
      </w:pPr>
      <w:r>
        <w:drawing>
          <wp:anchor distT="0" distB="0" distL="114300" distR="114300" simplePos="0" relativeHeight="251659264" behindDoc="0" locked="0" layoutInCell="1" allowOverlap="1">
            <wp:simplePos x="0" y="0"/>
            <wp:positionH relativeFrom="column">
              <wp:posOffset>5269230</wp:posOffset>
            </wp:positionH>
            <wp:positionV relativeFrom="paragraph">
              <wp:posOffset>460375</wp:posOffset>
            </wp:positionV>
            <wp:extent cx="742950" cy="419100"/>
            <wp:effectExtent l="0" t="0" r="0" b="0"/>
            <wp:wrapNone/>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19"/>
                    <a:stretch>
                      <a:fillRect/>
                    </a:stretch>
                  </pic:blipFill>
                  <pic:spPr>
                    <a:xfrm>
                      <a:off x="0" y="0"/>
                      <a:ext cx="742950" cy="419100"/>
                    </a:xfrm>
                    <a:prstGeom prst="rect">
                      <a:avLst/>
                    </a:prstGeom>
                    <a:noFill/>
                    <a:ln>
                      <a:noFill/>
                    </a:ln>
                  </pic:spPr>
                </pic:pic>
              </a:graphicData>
            </a:graphic>
          </wp:anchor>
        </w:drawing>
      </w:r>
      <w:r>
        <w:rPr>
          <w:rFonts w:hint="eastAsia" w:ascii="仿宋" w:hAnsi="仿宋" w:eastAsia="仿宋"/>
          <w:color w:val="000000"/>
          <w:sz w:val="32"/>
          <w:szCs w:val="32"/>
        </w:rPr>
        <w:t>向活力               工  程  师</w:t>
      </w:r>
    </w:p>
    <w:p>
      <w:pPr>
        <w:spacing w:line="480" w:lineRule="auto"/>
        <w:ind w:firstLine="7140" w:firstLineChars="3400"/>
        <w:rPr>
          <w:rFonts w:ascii="仿宋" w:hAnsi="仿宋" w:eastAsia="仿宋"/>
          <w:color w:val="000000"/>
          <w:sz w:val="32"/>
          <w:szCs w:val="32"/>
        </w:rPr>
      </w:pPr>
      <w:r>
        <w:drawing>
          <wp:anchor distT="0" distB="0" distL="114300" distR="114300" simplePos="0" relativeHeight="251663360" behindDoc="0" locked="0" layoutInCell="1" allowOverlap="1">
            <wp:simplePos x="0" y="0"/>
            <wp:positionH relativeFrom="column">
              <wp:posOffset>5307330</wp:posOffset>
            </wp:positionH>
            <wp:positionV relativeFrom="paragraph">
              <wp:posOffset>486410</wp:posOffset>
            </wp:positionV>
            <wp:extent cx="733425" cy="485775"/>
            <wp:effectExtent l="0" t="0" r="9525" b="9525"/>
            <wp:wrapNone/>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17"/>
                    <a:stretch>
                      <a:fillRect/>
                    </a:stretch>
                  </pic:blipFill>
                  <pic:spPr>
                    <a:xfrm>
                      <a:off x="0" y="0"/>
                      <a:ext cx="733425" cy="485775"/>
                    </a:xfrm>
                    <a:prstGeom prst="rect">
                      <a:avLst/>
                    </a:prstGeom>
                    <a:noFill/>
                    <a:ln>
                      <a:noFill/>
                    </a:ln>
                  </pic:spPr>
                </pic:pic>
              </a:graphicData>
            </a:graphic>
          </wp:anchor>
        </w:drawing>
      </w:r>
      <w:r>
        <w:rPr>
          <w:rFonts w:hint="eastAsia" w:ascii="仿宋" w:hAnsi="仿宋" w:eastAsia="仿宋"/>
          <w:color w:val="000000"/>
          <w:sz w:val="32"/>
          <w:szCs w:val="32"/>
        </w:rPr>
        <w:t xml:space="preserve">肖雪梅               工  程  师             </w:t>
      </w:r>
    </w:p>
    <w:p>
      <w:pPr>
        <w:spacing w:line="480" w:lineRule="auto"/>
        <w:ind w:firstLine="5120" w:firstLineChars="1600"/>
        <w:rPr>
          <w:rFonts w:ascii="仿宋" w:hAnsi="仿宋" w:eastAsia="仿宋"/>
          <w:color w:val="000000"/>
          <w:sz w:val="32"/>
          <w:szCs w:val="32"/>
        </w:rPr>
      </w:pPr>
      <w:r>
        <w:rPr>
          <w:rFonts w:hint="eastAsia" w:ascii="仿宋" w:hAnsi="仿宋" w:eastAsia="仿宋"/>
          <w:color w:val="000000"/>
          <w:sz w:val="32"/>
          <w:szCs w:val="32"/>
        </w:rPr>
        <w:t>技术负责人</w:t>
      </w:r>
      <w:r>
        <w:rPr>
          <w:rFonts w:ascii="仿宋" w:hAnsi="仿宋" w:eastAsia="仿宋"/>
          <w:color w:val="000000"/>
          <w:sz w:val="32"/>
          <w:szCs w:val="32"/>
        </w:rPr>
        <w:t>：</w:t>
      </w:r>
      <w:r>
        <w:rPr>
          <w:rFonts w:hint="eastAsia" w:ascii="仿宋" w:hAnsi="仿宋" w:eastAsia="仿宋"/>
          <w:color w:val="000000"/>
          <w:sz w:val="32"/>
          <w:szCs w:val="32"/>
        </w:rPr>
        <w:t>刘  嘉              高级工程师</w:t>
      </w:r>
    </w:p>
    <w:p>
      <w:pPr>
        <w:spacing w:line="480" w:lineRule="auto"/>
        <w:ind w:firstLine="5040" w:firstLineChars="2400"/>
        <w:rPr>
          <w:rFonts w:ascii="仿宋" w:hAnsi="仿宋" w:eastAsia="仿宋"/>
          <w:color w:val="000000"/>
          <w:sz w:val="32"/>
          <w:szCs w:val="32"/>
        </w:rPr>
      </w:pPr>
      <w:r>
        <w:drawing>
          <wp:anchor distT="0" distB="0" distL="114300" distR="114300" simplePos="0" relativeHeight="251662336" behindDoc="0" locked="0" layoutInCell="1" allowOverlap="1">
            <wp:simplePos x="0" y="0"/>
            <wp:positionH relativeFrom="column">
              <wp:posOffset>5257165</wp:posOffset>
            </wp:positionH>
            <wp:positionV relativeFrom="paragraph">
              <wp:posOffset>70485</wp:posOffset>
            </wp:positionV>
            <wp:extent cx="887730" cy="514985"/>
            <wp:effectExtent l="0" t="0" r="7620" b="18415"/>
            <wp:wrapNone/>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pic:cNvPicPr>
                  </pic:nvPicPr>
                  <pic:blipFill>
                    <a:blip r:embed="rId20"/>
                    <a:stretch>
                      <a:fillRect/>
                    </a:stretch>
                  </pic:blipFill>
                  <pic:spPr>
                    <a:xfrm>
                      <a:off x="0" y="0"/>
                      <a:ext cx="887730" cy="514985"/>
                    </a:xfrm>
                    <a:prstGeom prst="rect">
                      <a:avLst/>
                    </a:prstGeom>
                    <a:noFill/>
                    <a:ln>
                      <a:noFill/>
                    </a:ln>
                  </pic:spPr>
                </pic:pic>
              </a:graphicData>
            </a:graphic>
          </wp:anchor>
        </w:drawing>
      </w:r>
      <w:r>
        <w:rPr>
          <w:rFonts w:hint="eastAsia" w:ascii="仿宋" w:hAnsi="仿宋" w:eastAsia="仿宋"/>
          <w:color w:val="000000"/>
          <w:sz w:val="32"/>
          <w:szCs w:val="32"/>
        </w:rPr>
        <w:t>审  核  人：谢坤成               高级工程师</w:t>
      </w:r>
    </w:p>
    <w:p>
      <w:pPr>
        <w:spacing w:line="480" w:lineRule="auto"/>
        <w:ind w:firstLine="5120" w:firstLineChars="1600"/>
        <w:rPr>
          <w:rFonts w:ascii="仿宋" w:hAnsi="仿宋" w:eastAsia="仿宋"/>
          <w:color w:val="000000"/>
          <w:sz w:val="32"/>
          <w:szCs w:val="32"/>
        </w:rPr>
      </w:pPr>
      <w:r>
        <w:rPr>
          <w:rFonts w:hint="eastAsia" w:ascii="仿宋" w:hAnsi="仿宋" w:eastAsia="仿宋"/>
          <w:color w:val="000000"/>
          <w:sz w:val="32"/>
          <w:szCs w:val="32"/>
        </w:rPr>
        <w:t>总 工 程 师：谢坤成             高级工程师</w:t>
      </w:r>
    </w:p>
    <w:p>
      <w:pPr>
        <w:spacing w:line="480" w:lineRule="auto"/>
        <w:ind w:firstLine="5120" w:firstLineChars="1600"/>
        <w:rPr>
          <w:rFonts w:ascii="仿宋" w:hAnsi="仿宋" w:eastAsia="仿宋"/>
          <w:color w:val="000000"/>
          <w:sz w:val="32"/>
          <w:szCs w:val="32"/>
        </w:rPr>
      </w:pPr>
      <w:r>
        <w:rPr>
          <w:rFonts w:hint="eastAsia" w:ascii="仿宋" w:hAnsi="仿宋" w:eastAsia="仿宋"/>
          <w:color w:val="000000"/>
          <w:sz w:val="32"/>
          <w:szCs w:val="32"/>
        </w:rPr>
        <w:t xml:space="preserve">法 人 代 表：   </w:t>
      </w:r>
    </w:p>
    <w:p>
      <w:pPr>
        <w:spacing w:line="360" w:lineRule="auto"/>
        <w:ind w:firstLine="5120" w:firstLineChars="1600"/>
        <w:rPr>
          <w:rFonts w:ascii="仿宋" w:hAnsi="仿宋" w:eastAsia="仿宋"/>
          <w:sz w:val="32"/>
          <w:szCs w:val="32"/>
        </w:rPr>
      </w:pPr>
      <w:r>
        <w:rPr>
          <w:rFonts w:hint="eastAsia" w:ascii="仿宋" w:hAnsi="仿宋" w:eastAsia="仿宋"/>
          <w:sz w:val="32"/>
          <w:szCs w:val="32"/>
        </w:rPr>
        <w:t>提 交 单 位： 重庆开源地质勘探有限公司</w:t>
      </w:r>
    </w:p>
    <w:p>
      <w:pPr>
        <w:spacing w:line="360" w:lineRule="auto"/>
        <w:ind w:firstLine="5120" w:firstLineChars="1600"/>
        <w:rPr>
          <w:rFonts w:ascii="仿宋" w:hAnsi="仿宋" w:eastAsia="仿宋"/>
          <w:b/>
          <w:sz w:val="32"/>
          <w:szCs w:val="32"/>
        </w:rPr>
      </w:pPr>
      <w:r>
        <w:rPr>
          <w:rFonts w:hint="eastAsia" w:ascii="仿宋" w:hAnsi="仿宋" w:eastAsia="仿宋"/>
          <w:sz w:val="32"/>
          <w:szCs w:val="32"/>
        </w:rPr>
        <w:t>提 交 时 间： 2022年8月</w:t>
      </w:r>
    </w:p>
    <w:p>
      <w:pPr>
        <w:rPr>
          <w:rFonts w:ascii="仿宋" w:hAnsi="仿宋" w:eastAsia="仿宋"/>
          <w:b/>
          <w:sz w:val="36"/>
          <w:szCs w:val="36"/>
        </w:rPr>
        <w:sectPr>
          <w:headerReference r:id="rId3" w:type="default"/>
          <w:footerReference r:id="rId4" w:type="default"/>
          <w:footerReference r:id="rId5" w:type="even"/>
          <w:type w:val="continuous"/>
          <w:pgSz w:w="23814" w:h="16840" w:orient="landscape"/>
          <w:pgMar w:top="1418" w:right="1440" w:bottom="1418" w:left="1440" w:header="851" w:footer="992" w:gutter="0"/>
          <w:cols w:space="720" w:num="1"/>
          <w:docGrid w:linePitch="312" w:charSpace="0"/>
        </w:sectPr>
      </w:pPr>
    </w:p>
    <w:p>
      <w:pPr>
        <w:pStyle w:val="10"/>
        <w:spacing w:line="480" w:lineRule="auto"/>
        <w:jc w:val="center"/>
        <w:rPr>
          <w:rFonts w:ascii="仿宋_GB2312" w:hAnsi="仿宋_GB2312" w:eastAsia="仿宋_GB2312" w:cs="仿宋_GB2312"/>
          <w:b/>
          <w:color w:val="000000"/>
          <w:sz w:val="44"/>
          <w:szCs w:val="44"/>
        </w:rPr>
      </w:pPr>
      <w:r>
        <w:rPr>
          <w:rFonts w:hint="eastAsia" w:ascii="仿宋_GB2312" w:hAnsi="仿宋_GB2312" w:eastAsia="仿宋_GB2312" w:cs="仿宋_GB2312"/>
          <w:b/>
          <w:color w:val="000000"/>
          <w:sz w:val="44"/>
          <w:szCs w:val="44"/>
        </w:rPr>
        <w:t>《重庆市綦江区扶欢循环经济产业园(未评估区1.58km</w:t>
      </w:r>
      <w:r>
        <w:rPr>
          <w:rFonts w:hint="eastAsia" w:ascii="仿宋_GB2312" w:hAnsi="仿宋_GB2312" w:eastAsia="仿宋_GB2312" w:cs="仿宋_GB2312"/>
          <w:b/>
          <w:color w:val="000000"/>
          <w:sz w:val="44"/>
          <w:szCs w:val="44"/>
          <w:vertAlign w:val="superscript"/>
        </w:rPr>
        <w:t>2</w:t>
      </w:r>
      <w:r>
        <w:rPr>
          <w:rFonts w:hint="eastAsia" w:ascii="仿宋_GB2312" w:hAnsi="仿宋_GB2312" w:eastAsia="仿宋_GB2312" w:cs="仿宋_GB2312"/>
          <w:b/>
          <w:color w:val="000000"/>
          <w:sz w:val="44"/>
          <w:szCs w:val="44"/>
        </w:rPr>
        <w:t>)区域用地地质灾害危险性评估报告》</w:t>
      </w:r>
    </w:p>
    <w:p>
      <w:pPr>
        <w:pStyle w:val="10"/>
        <w:spacing w:line="480" w:lineRule="auto"/>
        <w:jc w:val="center"/>
        <w:rPr>
          <w:rFonts w:ascii="仿宋_GB2312" w:hAnsi="仿宋_GB2312" w:eastAsia="仿宋_GB2312" w:cs="仿宋_GB2312"/>
          <w:b/>
          <w:color w:val="000000"/>
          <w:sz w:val="36"/>
          <w:szCs w:val="36"/>
        </w:rPr>
      </w:pPr>
      <w:r>
        <w:rPr>
          <w:rFonts w:hint="eastAsia" w:ascii="仿宋_GB2312" w:hAnsi="仿宋_GB2312" w:eastAsia="仿宋_GB2312" w:cs="仿宋_GB2312"/>
          <w:b/>
          <w:color w:val="000000"/>
          <w:sz w:val="52"/>
          <w:szCs w:val="52"/>
        </w:rPr>
        <w:t>内审意见</w:t>
      </w:r>
    </w:p>
    <w:p>
      <w:pPr>
        <w:pStyle w:val="64"/>
        <w:spacing w:line="480" w:lineRule="auto"/>
        <w:ind w:firstLine="560" w:firstLineChars="200"/>
        <w:rPr>
          <w:rFonts w:ascii="仿宋_GB2312" w:hAnsi="仿宋_GB2312" w:cs="仿宋_GB2312"/>
          <w:color w:val="000000"/>
          <w:szCs w:val="28"/>
        </w:rPr>
      </w:pPr>
      <w:r>
        <w:rPr>
          <w:rFonts w:hint="eastAsia" w:ascii="仿宋_GB2312" w:hAnsi="仿宋_GB2312" w:cs="仿宋_GB2312"/>
          <w:color w:val="000000"/>
          <w:szCs w:val="28"/>
        </w:rPr>
        <w:t>2022年8月4日，我公司组织有关专业技术人员对《重庆市綦江区扶欢循环经济产业园(未评估区1.58km</w:t>
      </w:r>
      <w:r>
        <w:rPr>
          <w:rFonts w:hint="eastAsia" w:ascii="仿宋_GB2312" w:hAnsi="仿宋_GB2312" w:cs="仿宋_GB2312"/>
          <w:color w:val="000000"/>
          <w:szCs w:val="28"/>
          <w:vertAlign w:val="superscript"/>
        </w:rPr>
        <w:t>2</w:t>
      </w:r>
      <w:r>
        <w:rPr>
          <w:rFonts w:hint="eastAsia" w:ascii="仿宋_GB2312" w:hAnsi="仿宋_GB2312" w:cs="仿宋_GB2312"/>
          <w:color w:val="000000"/>
          <w:szCs w:val="28"/>
        </w:rPr>
        <w:t>)区域用地地质灾害危险性评估报告》进行了初步审查，在听取项目组对该项目情况及成果报告的介绍后，经认真讨论，形成如下意见：</w:t>
      </w:r>
    </w:p>
    <w:p>
      <w:pPr>
        <w:pStyle w:val="64"/>
        <w:spacing w:line="480" w:lineRule="auto"/>
        <w:ind w:firstLine="560" w:firstLineChars="200"/>
        <w:rPr>
          <w:rFonts w:ascii="仿宋_GB2312" w:hAnsi="仿宋_GB2312" w:cs="仿宋_GB2312"/>
          <w:color w:val="000000"/>
          <w:szCs w:val="28"/>
        </w:rPr>
      </w:pPr>
      <w:r>
        <w:rPr>
          <w:rFonts w:hint="eastAsia" w:ascii="仿宋_GB2312" w:hAnsi="仿宋_GB2312" w:cs="仿宋_GB2312"/>
          <w:color w:val="000000"/>
          <w:szCs w:val="28"/>
        </w:rPr>
        <w:t>1．提交审查的评估成果资料齐全，图件清晰、美观。</w:t>
      </w:r>
    </w:p>
    <w:p>
      <w:pPr>
        <w:pStyle w:val="64"/>
        <w:spacing w:line="480" w:lineRule="auto"/>
        <w:ind w:firstLine="560" w:firstLineChars="200"/>
        <w:rPr>
          <w:rFonts w:ascii="仿宋_GB2312" w:hAnsi="仿宋_GB2312" w:cs="仿宋_GB2312"/>
          <w:color w:val="000000"/>
          <w:szCs w:val="28"/>
        </w:rPr>
      </w:pPr>
      <w:r>
        <w:rPr>
          <w:rFonts w:hint="eastAsia" w:ascii="仿宋_GB2312" w:hAnsi="仿宋_GB2312" w:cs="仿宋_GB2312"/>
          <w:color w:val="000000"/>
          <w:szCs w:val="28"/>
        </w:rPr>
        <w:t>2．执行《地质灾害危险性评估技术规范》（DB50/T139-2016）开展本评估工作方法正确。</w:t>
      </w:r>
    </w:p>
    <w:p>
      <w:pPr>
        <w:pStyle w:val="64"/>
        <w:spacing w:line="480" w:lineRule="auto"/>
        <w:ind w:firstLine="560" w:firstLineChars="200"/>
        <w:rPr>
          <w:rFonts w:ascii="仿宋_GB2312" w:hAnsi="仿宋_GB2312" w:cs="仿宋_GB2312"/>
          <w:color w:val="000000"/>
          <w:szCs w:val="28"/>
        </w:rPr>
      </w:pPr>
      <w:r>
        <w:rPr>
          <w:rFonts w:hint="eastAsia" w:ascii="仿宋_GB2312" w:hAnsi="仿宋_GB2312" w:cs="仿宋_GB2312"/>
          <w:color w:val="000000"/>
          <w:szCs w:val="28"/>
        </w:rPr>
        <w:t>3．《评估报告》是在充分收集已有地质成果资料和现场地质调查、测绘的基础上编制的，依据充分。报告对评估区的地质环境条件阐述较详细，将地质环境复杂程度定为较复杂合理，评估区为建设规划用地，评估级别为一级。</w:t>
      </w:r>
    </w:p>
    <w:p>
      <w:pPr>
        <w:pStyle w:val="64"/>
        <w:spacing w:line="480" w:lineRule="auto"/>
        <w:ind w:firstLine="560" w:firstLineChars="200"/>
        <w:rPr>
          <w:rFonts w:ascii="仿宋_GB2312" w:hAnsi="仿宋_GB2312" w:cs="仿宋_GB2312"/>
          <w:color w:val="000000"/>
          <w:szCs w:val="28"/>
        </w:rPr>
      </w:pPr>
      <w:r>
        <w:rPr>
          <w:rFonts w:hint="eastAsia" w:ascii="仿宋_GB2312" w:hAnsi="仿宋_GB2312" w:cs="仿宋_GB2312"/>
          <w:color w:val="000000"/>
          <w:szCs w:val="28"/>
        </w:rPr>
        <w:t>4、评估划分为</w:t>
      </w:r>
      <w:bookmarkStart w:id="100" w:name="_GoBack"/>
      <w:bookmarkEnd w:id="100"/>
      <w:r>
        <w:rPr>
          <w:rFonts w:hint="eastAsia" w:ascii="仿宋_GB2312" w:hAnsi="仿宋_GB2312" w:cs="仿宋_GB2312"/>
          <w:color w:val="000000"/>
          <w:szCs w:val="28"/>
        </w:rPr>
        <w:t>地质灾害危险性中等区（B区）及地质灾害危险性小区（A区）两类区域合理。</w:t>
      </w:r>
    </w:p>
    <w:p>
      <w:pPr>
        <w:pStyle w:val="64"/>
        <w:spacing w:line="480" w:lineRule="auto"/>
        <w:ind w:firstLine="560" w:firstLineChars="200"/>
        <w:rPr>
          <w:color w:val="000000" w:themeColor="text1"/>
        </w:rPr>
      </w:pPr>
      <w:r>
        <w:rPr>
          <w:rFonts w:hint="eastAsia" w:ascii="仿宋_GB2312" w:hAnsi="仿宋_GB2312" w:cs="仿宋_GB2312"/>
          <w:color w:val="000000"/>
          <w:szCs w:val="28"/>
        </w:rPr>
        <w:t>5、</w:t>
      </w:r>
      <w:r>
        <w:rPr>
          <w:rFonts w:hint="eastAsia" w:ascii="仿宋_GB2312" w:hAnsi="仿宋_GB2312" w:cs="仿宋_GB2312"/>
          <w:color w:val="000000" w:themeColor="text1"/>
          <w:szCs w:val="28"/>
        </w:rPr>
        <w:t>《评估报告》对地质灾害危险性中等区（B区）主要防治措施建议为：加强对局部顺向临空斜边坡的防治，对工程建设形成的挖、填方边坡采取支挡或放坡处理，针对顺层切坡应先支挡后开挖或顺层放坡处理，边坡开挖应按照分段逆作、信息法施工。对地质灾害危险性小区（A区）的主要防治建议措施为：建（构）筑物的布局应避免引发地质灾害，上述防治措施建议基本可行。</w:t>
      </w:r>
    </w:p>
    <w:p>
      <w:pPr>
        <w:pStyle w:val="64"/>
        <w:spacing w:line="480" w:lineRule="auto"/>
        <w:ind w:firstLine="560" w:firstLineChars="200"/>
        <w:rPr>
          <w:rFonts w:ascii="仿宋_GB2312" w:hAnsi="仿宋_GB2312" w:cs="仿宋_GB2312"/>
          <w:color w:val="000000"/>
          <w:szCs w:val="28"/>
        </w:rPr>
      </w:pPr>
      <w:r>
        <w:rPr>
          <w:rFonts w:hint="eastAsia" w:ascii="仿宋_GB2312" w:hAnsi="仿宋_GB2312" w:cs="仿宋_GB2312"/>
          <w:color w:val="000000"/>
          <w:szCs w:val="28"/>
        </w:rPr>
        <w:t>6、《评估报告》质量合格，同意送审。</w:t>
      </w:r>
    </w:p>
    <w:p>
      <w:pPr>
        <w:rPr>
          <w:rFonts w:ascii="仿宋_GB2312" w:hAnsi="仿宋_GB2312" w:eastAsia="仿宋_GB2312" w:cs="仿宋_GB2312"/>
          <w:color w:val="000000"/>
        </w:rPr>
      </w:pPr>
    </w:p>
    <w:p>
      <w:pPr>
        <w:pStyle w:val="64"/>
        <w:spacing w:line="480" w:lineRule="auto"/>
        <w:ind w:firstLine="560" w:firstLineChars="200"/>
        <w:rPr>
          <w:rFonts w:ascii="仿宋_GB2312" w:hAnsi="仿宋_GB2312" w:cs="仿宋_GB2312"/>
          <w:color w:val="000000"/>
          <w:szCs w:val="28"/>
        </w:rPr>
      </w:pPr>
      <w:r>
        <w:rPr>
          <w:rFonts w:hint="eastAsia" w:ascii="仿宋_GB2312" w:hAnsi="仿宋_GB2312" w:cs="仿宋_GB2312"/>
          <w:color w:val="000000"/>
          <w:szCs w:val="28"/>
        </w:rPr>
        <w:t xml:space="preserve">             审核人：               </w:t>
      </w:r>
    </w:p>
    <w:p>
      <w:pPr>
        <w:rPr>
          <w:rFonts w:ascii="仿宋_GB2312" w:hAnsi="仿宋_GB2312" w:eastAsia="仿宋_GB2312" w:cs="仿宋_GB2312"/>
          <w:color w:val="000000"/>
        </w:rPr>
      </w:pPr>
    </w:p>
    <w:p>
      <w:pPr>
        <w:pStyle w:val="64"/>
        <w:ind w:left="13681" w:leftChars="6134" w:hanging="800" w:hangingChars="250"/>
        <w:rPr>
          <w:rFonts w:ascii="仿宋" w:hAnsi="仿宋" w:eastAsia="仿宋"/>
          <w:sz w:val="32"/>
          <w:szCs w:val="32"/>
        </w:rPr>
      </w:pPr>
      <w:r>
        <w:rPr>
          <w:rFonts w:hint="eastAsia" w:ascii="仿宋" w:hAnsi="仿宋" w:eastAsia="仿宋"/>
          <w:sz w:val="32"/>
          <w:szCs w:val="32"/>
        </w:rPr>
        <w:t>重庆开源地质勘探有限公司</w:t>
      </w:r>
    </w:p>
    <w:p>
      <w:pPr>
        <w:pStyle w:val="64"/>
        <w:ind w:left="13301" w:leftChars="6334"/>
        <w:rPr>
          <w:rFonts w:ascii="仿宋" w:hAnsi="仿宋" w:eastAsia="仿宋"/>
          <w:sz w:val="32"/>
          <w:szCs w:val="32"/>
        </w:rPr>
        <w:sectPr>
          <w:headerReference r:id="rId7" w:type="first"/>
          <w:footerReference r:id="rId9" w:type="first"/>
          <w:headerReference r:id="rId6" w:type="default"/>
          <w:footerReference r:id="rId8" w:type="default"/>
          <w:pgSz w:w="23814" w:h="16840" w:orient="landscape"/>
          <w:pgMar w:top="1797" w:right="1701" w:bottom="1797" w:left="1701" w:header="851" w:footer="992" w:gutter="0"/>
          <w:pgNumType w:start="1"/>
          <w:cols w:space="425" w:num="1"/>
          <w:titlePg/>
          <w:docGrid w:linePitch="312" w:charSpace="-3686"/>
        </w:sectPr>
      </w:pPr>
      <w:r>
        <w:rPr>
          <w:rFonts w:hint="eastAsia" w:ascii="仿宋" w:hAnsi="仿宋" w:eastAsia="仿宋"/>
          <w:sz w:val="32"/>
          <w:szCs w:val="32"/>
        </w:rPr>
        <w:t>2022年8月4日</w:t>
      </w:r>
    </w:p>
    <w:p>
      <w:pPr>
        <w:adjustRightInd w:val="0"/>
        <w:snapToGrid w:val="0"/>
        <w:spacing w:line="360" w:lineRule="auto"/>
        <w:ind w:right="15"/>
        <w:rPr>
          <w:rFonts w:ascii="仿宋_GB2312" w:eastAsia="仿宋_GB2312"/>
          <w:color w:val="FF0000"/>
          <w:sz w:val="28"/>
          <w:szCs w:val="28"/>
        </w:rPr>
      </w:pPr>
      <w:r>
        <w:rPr>
          <w:rFonts w:hint="eastAsia" w:ascii="仿宋_GB2312" w:eastAsia="仿宋_GB2312"/>
          <w:b/>
          <w:bCs/>
          <w:sz w:val="28"/>
          <w:szCs w:val="28"/>
        </w:rPr>
        <w:t>目    录</w:t>
      </w:r>
      <w:r>
        <w:rPr>
          <w:rFonts w:hint="eastAsia"/>
          <w:sz w:val="28"/>
          <w:szCs w:val="28"/>
        </w:rPr>
        <w:fldChar w:fldCharType="begin"/>
      </w:r>
      <w:r>
        <w:rPr>
          <w:rFonts w:hint="eastAsia"/>
          <w:sz w:val="28"/>
          <w:szCs w:val="28"/>
        </w:rPr>
        <w:instrText xml:space="preserve"> TOC \o "1-2" \h \z \t "标题 7,7,标题 8,8,标题 9,9" </w:instrText>
      </w:r>
      <w:r>
        <w:rPr>
          <w:rFonts w:hint="eastAsia"/>
          <w:sz w:val="28"/>
          <w:szCs w:val="28"/>
        </w:rPr>
        <w:fldChar w:fldCharType="separate"/>
      </w:r>
    </w:p>
    <w:p>
      <w:pPr>
        <w:pStyle w:val="23"/>
        <w:tabs>
          <w:tab w:val="right" w:leader="dot" w:pos="9523"/>
          <w:tab w:val="clear" w:pos="8505"/>
        </w:tabs>
      </w:pPr>
      <w:r>
        <w:fldChar w:fldCharType="begin"/>
      </w:r>
      <w:r>
        <w:instrText xml:space="preserve"> HYPERLINK \l "_Toc15756" </w:instrText>
      </w:r>
      <w:r>
        <w:fldChar w:fldCharType="separate"/>
      </w:r>
      <w:r>
        <w:rPr>
          <w:rFonts w:hint="eastAsia"/>
          <w:szCs w:val="36"/>
        </w:rPr>
        <w:t>1 前  言</w:t>
      </w:r>
      <w:r>
        <w:tab/>
      </w:r>
      <w:r>
        <w:fldChar w:fldCharType="begin"/>
      </w:r>
      <w:r>
        <w:instrText xml:space="preserve"> PAGEREF _Toc15756 \h </w:instrText>
      </w:r>
      <w:r>
        <w:fldChar w:fldCharType="separate"/>
      </w:r>
      <w:r>
        <w:t>1</w:t>
      </w:r>
      <w:r>
        <w:fldChar w:fldCharType="end"/>
      </w:r>
      <w:r>
        <w:fldChar w:fldCharType="end"/>
      </w:r>
    </w:p>
    <w:p>
      <w:pPr>
        <w:pStyle w:val="28"/>
        <w:tabs>
          <w:tab w:val="right" w:leader="dot" w:pos="9523"/>
          <w:tab w:val="clear" w:pos="8352"/>
        </w:tabs>
      </w:pPr>
      <w:r>
        <w:fldChar w:fldCharType="begin"/>
      </w:r>
      <w:r>
        <w:instrText xml:space="preserve"> HYPERLINK \l "_Toc19555" </w:instrText>
      </w:r>
      <w:r>
        <w:fldChar w:fldCharType="separate"/>
      </w:r>
      <w:r>
        <w:rPr>
          <w:rFonts w:hint="eastAsia"/>
        </w:rPr>
        <w:t>1.1 任务由来</w:t>
      </w:r>
      <w:r>
        <w:tab/>
      </w:r>
      <w:r>
        <w:fldChar w:fldCharType="begin"/>
      </w:r>
      <w:r>
        <w:instrText xml:space="preserve"> PAGEREF _Toc19555 \h </w:instrText>
      </w:r>
      <w:r>
        <w:fldChar w:fldCharType="separate"/>
      </w:r>
      <w:r>
        <w:t>1</w:t>
      </w:r>
      <w:r>
        <w:fldChar w:fldCharType="end"/>
      </w:r>
      <w:r>
        <w:fldChar w:fldCharType="end"/>
      </w:r>
    </w:p>
    <w:p>
      <w:pPr>
        <w:pStyle w:val="28"/>
        <w:tabs>
          <w:tab w:val="right" w:leader="dot" w:pos="9523"/>
          <w:tab w:val="clear" w:pos="8352"/>
        </w:tabs>
      </w:pPr>
      <w:r>
        <w:fldChar w:fldCharType="begin"/>
      </w:r>
      <w:r>
        <w:instrText xml:space="preserve"> HYPERLINK \l "_Toc30379" </w:instrText>
      </w:r>
      <w:r>
        <w:fldChar w:fldCharType="separate"/>
      </w:r>
      <w:r>
        <w:rPr>
          <w:rFonts w:hint="eastAsia"/>
        </w:rPr>
        <w:t>1.2 评估目的与任务</w:t>
      </w:r>
      <w:r>
        <w:tab/>
      </w:r>
      <w:r>
        <w:fldChar w:fldCharType="begin"/>
      </w:r>
      <w:r>
        <w:instrText xml:space="preserve"> PAGEREF _Toc30379 \h </w:instrText>
      </w:r>
      <w:r>
        <w:fldChar w:fldCharType="separate"/>
      </w:r>
      <w:r>
        <w:t>1</w:t>
      </w:r>
      <w:r>
        <w:fldChar w:fldCharType="end"/>
      </w:r>
      <w:r>
        <w:fldChar w:fldCharType="end"/>
      </w:r>
    </w:p>
    <w:p>
      <w:pPr>
        <w:pStyle w:val="28"/>
        <w:tabs>
          <w:tab w:val="right" w:leader="dot" w:pos="9523"/>
          <w:tab w:val="clear" w:pos="8352"/>
        </w:tabs>
      </w:pPr>
      <w:r>
        <w:fldChar w:fldCharType="begin"/>
      </w:r>
      <w:r>
        <w:instrText xml:space="preserve"> HYPERLINK \l "_Toc11799" </w:instrText>
      </w:r>
      <w:r>
        <w:fldChar w:fldCharType="separate"/>
      </w:r>
      <w:r>
        <w:rPr>
          <w:rFonts w:hint="eastAsia"/>
        </w:rPr>
        <w:t>1.3 调查评估范围</w:t>
      </w:r>
      <w:r>
        <w:tab/>
      </w:r>
      <w:r>
        <w:fldChar w:fldCharType="begin"/>
      </w:r>
      <w:r>
        <w:instrText xml:space="preserve"> PAGEREF _Toc11799 \h </w:instrText>
      </w:r>
      <w:r>
        <w:fldChar w:fldCharType="separate"/>
      </w:r>
      <w:r>
        <w:t>1</w:t>
      </w:r>
      <w:r>
        <w:fldChar w:fldCharType="end"/>
      </w:r>
      <w:r>
        <w:fldChar w:fldCharType="end"/>
      </w:r>
    </w:p>
    <w:p>
      <w:pPr>
        <w:pStyle w:val="28"/>
        <w:tabs>
          <w:tab w:val="right" w:leader="dot" w:pos="9523"/>
          <w:tab w:val="clear" w:pos="8352"/>
        </w:tabs>
      </w:pPr>
      <w:r>
        <w:fldChar w:fldCharType="begin"/>
      </w:r>
      <w:r>
        <w:instrText xml:space="preserve"> HYPERLINK \l "_Toc29946" </w:instrText>
      </w:r>
      <w:r>
        <w:fldChar w:fldCharType="separate"/>
      </w:r>
      <w:r>
        <w:rPr>
          <w:rFonts w:hint="eastAsia"/>
        </w:rPr>
        <w:t>1.4 前人研究程度</w:t>
      </w:r>
      <w:r>
        <w:tab/>
      </w:r>
      <w:r>
        <w:fldChar w:fldCharType="begin"/>
      </w:r>
      <w:r>
        <w:instrText xml:space="preserve"> PAGEREF _Toc29946 \h </w:instrText>
      </w:r>
      <w:r>
        <w:fldChar w:fldCharType="separate"/>
      </w:r>
      <w:r>
        <w:t>2</w:t>
      </w:r>
      <w:r>
        <w:fldChar w:fldCharType="end"/>
      </w:r>
      <w:r>
        <w:fldChar w:fldCharType="end"/>
      </w:r>
    </w:p>
    <w:p>
      <w:pPr>
        <w:pStyle w:val="28"/>
        <w:tabs>
          <w:tab w:val="right" w:leader="dot" w:pos="9523"/>
          <w:tab w:val="clear" w:pos="8352"/>
        </w:tabs>
      </w:pPr>
      <w:r>
        <w:fldChar w:fldCharType="begin"/>
      </w:r>
      <w:r>
        <w:instrText xml:space="preserve"> HYPERLINK \l "_Toc26893" </w:instrText>
      </w:r>
      <w:r>
        <w:fldChar w:fldCharType="separate"/>
      </w:r>
      <w:r>
        <w:rPr>
          <w:rFonts w:hint="eastAsia"/>
        </w:rPr>
        <w:t>1.5 评估的依据及执行的技术标准</w:t>
      </w:r>
      <w:r>
        <w:tab/>
      </w:r>
      <w:r>
        <w:fldChar w:fldCharType="begin"/>
      </w:r>
      <w:r>
        <w:instrText xml:space="preserve"> PAGEREF _Toc26893 \h </w:instrText>
      </w:r>
      <w:r>
        <w:fldChar w:fldCharType="separate"/>
      </w:r>
      <w:r>
        <w:t>3</w:t>
      </w:r>
      <w:r>
        <w:fldChar w:fldCharType="end"/>
      </w:r>
      <w:r>
        <w:fldChar w:fldCharType="end"/>
      </w:r>
    </w:p>
    <w:p>
      <w:pPr>
        <w:pStyle w:val="28"/>
        <w:tabs>
          <w:tab w:val="right" w:leader="dot" w:pos="9523"/>
          <w:tab w:val="clear" w:pos="8352"/>
        </w:tabs>
      </w:pPr>
      <w:r>
        <w:fldChar w:fldCharType="begin"/>
      </w:r>
      <w:r>
        <w:instrText xml:space="preserve"> HYPERLINK \l "_Toc16909" </w:instrText>
      </w:r>
      <w:r>
        <w:fldChar w:fldCharType="separate"/>
      </w:r>
      <w:r>
        <w:rPr>
          <w:rFonts w:hint="eastAsia"/>
        </w:rPr>
        <w:t>1.6 评估级别</w:t>
      </w:r>
      <w:r>
        <w:tab/>
      </w:r>
      <w:r>
        <w:fldChar w:fldCharType="begin"/>
      </w:r>
      <w:r>
        <w:instrText xml:space="preserve"> PAGEREF _Toc16909 \h </w:instrText>
      </w:r>
      <w:r>
        <w:fldChar w:fldCharType="separate"/>
      </w:r>
      <w:r>
        <w:t>3</w:t>
      </w:r>
      <w:r>
        <w:fldChar w:fldCharType="end"/>
      </w:r>
      <w:r>
        <w:fldChar w:fldCharType="end"/>
      </w:r>
    </w:p>
    <w:p>
      <w:pPr>
        <w:pStyle w:val="28"/>
        <w:tabs>
          <w:tab w:val="right" w:leader="dot" w:pos="9523"/>
          <w:tab w:val="clear" w:pos="8352"/>
        </w:tabs>
      </w:pPr>
      <w:r>
        <w:fldChar w:fldCharType="begin"/>
      </w:r>
      <w:r>
        <w:instrText xml:space="preserve"> HYPERLINK \l "_Toc10514" </w:instrText>
      </w:r>
      <w:r>
        <w:fldChar w:fldCharType="separate"/>
      </w:r>
      <w:r>
        <w:rPr>
          <w:rFonts w:hint="eastAsia"/>
        </w:rPr>
        <w:t>1.7 评估工作概况</w:t>
      </w:r>
      <w:r>
        <w:tab/>
      </w:r>
      <w:r>
        <w:fldChar w:fldCharType="begin"/>
      </w:r>
      <w:r>
        <w:instrText xml:space="preserve"> PAGEREF _Toc10514 \h </w:instrText>
      </w:r>
      <w:r>
        <w:fldChar w:fldCharType="separate"/>
      </w:r>
      <w:r>
        <w:t>3</w:t>
      </w:r>
      <w:r>
        <w:fldChar w:fldCharType="end"/>
      </w:r>
      <w:r>
        <w:fldChar w:fldCharType="end"/>
      </w:r>
    </w:p>
    <w:p>
      <w:pPr>
        <w:pStyle w:val="28"/>
        <w:tabs>
          <w:tab w:val="right" w:leader="dot" w:pos="9523"/>
          <w:tab w:val="clear" w:pos="8352"/>
        </w:tabs>
      </w:pPr>
      <w:r>
        <w:fldChar w:fldCharType="begin"/>
      </w:r>
      <w:r>
        <w:instrText xml:space="preserve"> HYPERLINK \l "_Toc10466" </w:instrText>
      </w:r>
      <w:r>
        <w:fldChar w:fldCharType="separate"/>
      </w:r>
      <w:r>
        <w:rPr>
          <w:rFonts w:hint="eastAsia"/>
        </w:rPr>
        <w:t>1.8 工作量及质量评述</w:t>
      </w:r>
      <w:r>
        <w:tab/>
      </w:r>
      <w:r>
        <w:fldChar w:fldCharType="begin"/>
      </w:r>
      <w:r>
        <w:instrText xml:space="preserve"> PAGEREF _Toc10466 \h </w:instrText>
      </w:r>
      <w:r>
        <w:fldChar w:fldCharType="separate"/>
      </w:r>
      <w:r>
        <w:t>3</w:t>
      </w:r>
      <w:r>
        <w:fldChar w:fldCharType="end"/>
      </w:r>
      <w:r>
        <w:fldChar w:fldCharType="end"/>
      </w:r>
    </w:p>
    <w:p>
      <w:pPr>
        <w:pStyle w:val="23"/>
        <w:tabs>
          <w:tab w:val="right" w:leader="dot" w:pos="9523"/>
          <w:tab w:val="clear" w:pos="8505"/>
        </w:tabs>
      </w:pPr>
      <w:r>
        <w:fldChar w:fldCharType="begin"/>
      </w:r>
      <w:r>
        <w:instrText xml:space="preserve"> HYPERLINK \l "_Toc10760" </w:instrText>
      </w:r>
      <w:r>
        <w:fldChar w:fldCharType="separate"/>
      </w:r>
      <w:r>
        <w:rPr>
          <w:rFonts w:hint="eastAsia"/>
          <w:szCs w:val="36"/>
        </w:rPr>
        <w:t>2 区域基本情况</w:t>
      </w:r>
      <w:r>
        <w:tab/>
      </w:r>
      <w:r>
        <w:fldChar w:fldCharType="begin"/>
      </w:r>
      <w:r>
        <w:instrText xml:space="preserve"> PAGEREF _Toc10760 \h </w:instrText>
      </w:r>
      <w:r>
        <w:fldChar w:fldCharType="separate"/>
      </w:r>
      <w:r>
        <w:t>4</w:t>
      </w:r>
      <w:r>
        <w:fldChar w:fldCharType="end"/>
      </w:r>
      <w:r>
        <w:fldChar w:fldCharType="end"/>
      </w:r>
    </w:p>
    <w:p>
      <w:pPr>
        <w:pStyle w:val="28"/>
        <w:tabs>
          <w:tab w:val="right" w:leader="dot" w:pos="9523"/>
          <w:tab w:val="clear" w:pos="8352"/>
        </w:tabs>
      </w:pPr>
      <w:r>
        <w:fldChar w:fldCharType="begin"/>
      </w:r>
      <w:r>
        <w:instrText xml:space="preserve"> HYPERLINK \l "_Toc1861" </w:instrText>
      </w:r>
      <w:r>
        <w:fldChar w:fldCharType="separate"/>
      </w:r>
      <w:r>
        <w:rPr>
          <w:rFonts w:hint="eastAsia"/>
        </w:rPr>
        <w:t>2.1 区域用地规划概况</w:t>
      </w:r>
      <w:r>
        <w:tab/>
      </w:r>
      <w:r>
        <w:fldChar w:fldCharType="begin"/>
      </w:r>
      <w:r>
        <w:instrText xml:space="preserve"> PAGEREF _Toc1861 \h </w:instrText>
      </w:r>
      <w:r>
        <w:fldChar w:fldCharType="separate"/>
      </w:r>
      <w:r>
        <w:t>4</w:t>
      </w:r>
      <w:r>
        <w:fldChar w:fldCharType="end"/>
      </w:r>
      <w:r>
        <w:fldChar w:fldCharType="end"/>
      </w:r>
    </w:p>
    <w:p>
      <w:pPr>
        <w:pStyle w:val="28"/>
        <w:tabs>
          <w:tab w:val="right" w:leader="dot" w:pos="9523"/>
          <w:tab w:val="clear" w:pos="8352"/>
        </w:tabs>
      </w:pPr>
      <w:r>
        <w:fldChar w:fldCharType="begin"/>
      </w:r>
      <w:r>
        <w:instrText xml:space="preserve"> HYPERLINK \l "_Toc26161" </w:instrText>
      </w:r>
      <w:r>
        <w:fldChar w:fldCharType="separate"/>
      </w:r>
      <w:r>
        <w:rPr>
          <w:rFonts w:hint="eastAsia"/>
        </w:rPr>
        <w:t>2.2拟建项目概况</w:t>
      </w:r>
      <w:r>
        <w:tab/>
      </w:r>
      <w:r>
        <w:fldChar w:fldCharType="begin"/>
      </w:r>
      <w:r>
        <w:instrText xml:space="preserve"> PAGEREF _Toc26161 \h </w:instrText>
      </w:r>
      <w:r>
        <w:fldChar w:fldCharType="separate"/>
      </w:r>
      <w:r>
        <w:t>4</w:t>
      </w:r>
      <w:r>
        <w:fldChar w:fldCharType="end"/>
      </w:r>
      <w:r>
        <w:fldChar w:fldCharType="end"/>
      </w:r>
    </w:p>
    <w:p>
      <w:pPr>
        <w:pStyle w:val="23"/>
        <w:tabs>
          <w:tab w:val="right" w:leader="dot" w:pos="9523"/>
          <w:tab w:val="clear" w:pos="8505"/>
        </w:tabs>
      </w:pPr>
      <w:r>
        <w:fldChar w:fldCharType="begin"/>
      </w:r>
      <w:r>
        <w:instrText xml:space="preserve"> HYPERLINK \l "_Toc23407" </w:instrText>
      </w:r>
      <w:r>
        <w:fldChar w:fldCharType="separate"/>
      </w:r>
      <w:r>
        <w:rPr>
          <w:rFonts w:hint="eastAsia"/>
          <w:szCs w:val="36"/>
        </w:rPr>
        <w:t>3 区域用地的自然地理概况</w:t>
      </w:r>
      <w:r>
        <w:tab/>
      </w:r>
      <w:r>
        <w:fldChar w:fldCharType="begin"/>
      </w:r>
      <w:r>
        <w:instrText xml:space="preserve"> PAGEREF _Toc23407 \h </w:instrText>
      </w:r>
      <w:r>
        <w:fldChar w:fldCharType="separate"/>
      </w:r>
      <w:r>
        <w:t>6</w:t>
      </w:r>
      <w:r>
        <w:fldChar w:fldCharType="end"/>
      </w:r>
      <w:r>
        <w:fldChar w:fldCharType="end"/>
      </w:r>
    </w:p>
    <w:p>
      <w:pPr>
        <w:pStyle w:val="28"/>
        <w:tabs>
          <w:tab w:val="right" w:leader="dot" w:pos="9523"/>
          <w:tab w:val="clear" w:pos="8352"/>
        </w:tabs>
      </w:pPr>
      <w:r>
        <w:fldChar w:fldCharType="begin"/>
      </w:r>
      <w:r>
        <w:instrText xml:space="preserve"> HYPERLINK \l "_Toc9185" </w:instrText>
      </w:r>
      <w:r>
        <w:fldChar w:fldCharType="separate"/>
      </w:r>
      <w:r>
        <w:rPr>
          <w:rFonts w:hint="eastAsia"/>
        </w:rPr>
        <w:t>3.1 行政区划及交通位置</w:t>
      </w:r>
      <w:r>
        <w:tab/>
      </w:r>
      <w:r>
        <w:fldChar w:fldCharType="begin"/>
      </w:r>
      <w:r>
        <w:instrText xml:space="preserve"> PAGEREF _Toc9185 \h </w:instrText>
      </w:r>
      <w:r>
        <w:fldChar w:fldCharType="separate"/>
      </w:r>
      <w:r>
        <w:t>6</w:t>
      </w:r>
      <w:r>
        <w:fldChar w:fldCharType="end"/>
      </w:r>
      <w:r>
        <w:fldChar w:fldCharType="end"/>
      </w:r>
    </w:p>
    <w:p>
      <w:pPr>
        <w:pStyle w:val="28"/>
        <w:tabs>
          <w:tab w:val="right" w:leader="dot" w:pos="9523"/>
          <w:tab w:val="clear" w:pos="8352"/>
        </w:tabs>
      </w:pPr>
      <w:r>
        <w:fldChar w:fldCharType="begin"/>
      </w:r>
      <w:r>
        <w:instrText xml:space="preserve"> HYPERLINK \l "_Toc30586" </w:instrText>
      </w:r>
      <w:r>
        <w:fldChar w:fldCharType="separate"/>
      </w:r>
      <w:r>
        <w:rPr>
          <w:rFonts w:hint="eastAsia"/>
        </w:rPr>
        <w:t>3.2 气 象</w:t>
      </w:r>
      <w:r>
        <w:tab/>
      </w:r>
      <w:r>
        <w:fldChar w:fldCharType="begin"/>
      </w:r>
      <w:r>
        <w:instrText xml:space="preserve"> PAGEREF _Toc30586 \h </w:instrText>
      </w:r>
      <w:r>
        <w:fldChar w:fldCharType="separate"/>
      </w:r>
      <w:r>
        <w:t>7</w:t>
      </w:r>
      <w:r>
        <w:fldChar w:fldCharType="end"/>
      </w:r>
      <w:r>
        <w:fldChar w:fldCharType="end"/>
      </w:r>
    </w:p>
    <w:p>
      <w:pPr>
        <w:pStyle w:val="28"/>
        <w:tabs>
          <w:tab w:val="right" w:leader="dot" w:pos="9523"/>
          <w:tab w:val="clear" w:pos="8352"/>
        </w:tabs>
      </w:pPr>
      <w:r>
        <w:fldChar w:fldCharType="begin"/>
      </w:r>
      <w:r>
        <w:instrText xml:space="preserve"> HYPERLINK \l "_Toc17806" </w:instrText>
      </w:r>
      <w:r>
        <w:fldChar w:fldCharType="separate"/>
      </w:r>
      <w:r>
        <w:rPr>
          <w:rFonts w:hint="eastAsia"/>
        </w:rPr>
        <w:t>3.3 水文</w:t>
      </w:r>
      <w:r>
        <w:tab/>
      </w:r>
      <w:r>
        <w:fldChar w:fldCharType="begin"/>
      </w:r>
      <w:r>
        <w:instrText xml:space="preserve"> PAGEREF _Toc17806 \h </w:instrText>
      </w:r>
      <w:r>
        <w:fldChar w:fldCharType="separate"/>
      </w:r>
      <w:r>
        <w:t>7</w:t>
      </w:r>
      <w:r>
        <w:fldChar w:fldCharType="end"/>
      </w:r>
      <w:r>
        <w:fldChar w:fldCharType="end"/>
      </w:r>
    </w:p>
    <w:p>
      <w:pPr>
        <w:pStyle w:val="28"/>
        <w:tabs>
          <w:tab w:val="right" w:leader="dot" w:pos="9523"/>
          <w:tab w:val="clear" w:pos="8352"/>
        </w:tabs>
      </w:pPr>
      <w:r>
        <w:fldChar w:fldCharType="begin"/>
      </w:r>
      <w:r>
        <w:instrText xml:space="preserve"> HYPERLINK \l "_Toc20901" </w:instrText>
      </w:r>
      <w:r>
        <w:fldChar w:fldCharType="separate"/>
      </w:r>
      <w:r>
        <w:rPr>
          <w:rFonts w:hint="eastAsia"/>
        </w:rPr>
        <w:t>3.4社会经济概况</w:t>
      </w:r>
      <w:r>
        <w:tab/>
      </w:r>
      <w:r>
        <w:fldChar w:fldCharType="begin"/>
      </w:r>
      <w:r>
        <w:instrText xml:space="preserve"> PAGEREF _Toc20901 \h </w:instrText>
      </w:r>
      <w:r>
        <w:fldChar w:fldCharType="separate"/>
      </w:r>
      <w:r>
        <w:t>7</w:t>
      </w:r>
      <w:r>
        <w:fldChar w:fldCharType="end"/>
      </w:r>
      <w:r>
        <w:fldChar w:fldCharType="end"/>
      </w:r>
    </w:p>
    <w:p>
      <w:pPr>
        <w:pStyle w:val="23"/>
        <w:tabs>
          <w:tab w:val="right" w:leader="dot" w:pos="9523"/>
          <w:tab w:val="clear" w:pos="8505"/>
        </w:tabs>
      </w:pPr>
      <w:r>
        <w:fldChar w:fldCharType="begin"/>
      </w:r>
      <w:r>
        <w:instrText xml:space="preserve"> HYPERLINK \l "_Toc6043" </w:instrText>
      </w:r>
      <w:r>
        <w:fldChar w:fldCharType="separate"/>
      </w:r>
      <w:r>
        <w:rPr>
          <w:rFonts w:hint="eastAsia"/>
          <w:szCs w:val="36"/>
        </w:rPr>
        <w:t>4 区域用地地质环境概况</w:t>
      </w:r>
      <w:r>
        <w:tab/>
      </w:r>
      <w:r>
        <w:fldChar w:fldCharType="begin"/>
      </w:r>
      <w:r>
        <w:instrText xml:space="preserve"> PAGEREF _Toc6043 \h </w:instrText>
      </w:r>
      <w:r>
        <w:fldChar w:fldCharType="separate"/>
      </w:r>
      <w:r>
        <w:t>8</w:t>
      </w:r>
      <w:r>
        <w:fldChar w:fldCharType="end"/>
      </w:r>
      <w:r>
        <w:fldChar w:fldCharType="end"/>
      </w:r>
    </w:p>
    <w:p>
      <w:pPr>
        <w:pStyle w:val="28"/>
        <w:tabs>
          <w:tab w:val="right" w:leader="dot" w:pos="9523"/>
          <w:tab w:val="clear" w:pos="8352"/>
        </w:tabs>
      </w:pPr>
      <w:r>
        <w:fldChar w:fldCharType="begin"/>
      </w:r>
      <w:r>
        <w:instrText xml:space="preserve"> HYPERLINK \l "_Toc24440" </w:instrText>
      </w:r>
      <w:r>
        <w:fldChar w:fldCharType="separate"/>
      </w:r>
      <w:r>
        <w:rPr>
          <w:rFonts w:hint="eastAsia"/>
        </w:rPr>
        <w:t>4.1 地形、地貌</w:t>
      </w:r>
      <w:r>
        <w:tab/>
      </w:r>
      <w:r>
        <w:fldChar w:fldCharType="begin"/>
      </w:r>
      <w:r>
        <w:instrText xml:space="preserve"> PAGEREF _Toc24440 \h </w:instrText>
      </w:r>
      <w:r>
        <w:fldChar w:fldCharType="separate"/>
      </w:r>
      <w:r>
        <w:t>8</w:t>
      </w:r>
      <w:r>
        <w:fldChar w:fldCharType="end"/>
      </w:r>
      <w:r>
        <w:fldChar w:fldCharType="end"/>
      </w:r>
    </w:p>
    <w:p>
      <w:pPr>
        <w:pStyle w:val="28"/>
        <w:tabs>
          <w:tab w:val="right" w:leader="dot" w:pos="9523"/>
          <w:tab w:val="clear" w:pos="8352"/>
        </w:tabs>
      </w:pPr>
      <w:r>
        <w:fldChar w:fldCharType="begin"/>
      </w:r>
      <w:r>
        <w:instrText xml:space="preserve"> HYPERLINK \l "_Toc29015" </w:instrText>
      </w:r>
      <w:r>
        <w:fldChar w:fldCharType="separate"/>
      </w:r>
      <w:r>
        <w:rPr>
          <w:rFonts w:hint="eastAsia"/>
        </w:rPr>
        <w:t>4.2 地质构造及地震</w:t>
      </w:r>
      <w:r>
        <w:tab/>
      </w:r>
      <w:r>
        <w:fldChar w:fldCharType="begin"/>
      </w:r>
      <w:r>
        <w:instrText xml:space="preserve"> PAGEREF _Toc29015 \h </w:instrText>
      </w:r>
      <w:r>
        <w:fldChar w:fldCharType="separate"/>
      </w:r>
      <w:r>
        <w:t>8</w:t>
      </w:r>
      <w:r>
        <w:fldChar w:fldCharType="end"/>
      </w:r>
      <w:r>
        <w:fldChar w:fldCharType="end"/>
      </w:r>
    </w:p>
    <w:p>
      <w:pPr>
        <w:pStyle w:val="28"/>
        <w:tabs>
          <w:tab w:val="right" w:leader="dot" w:pos="9523"/>
          <w:tab w:val="clear" w:pos="8352"/>
        </w:tabs>
      </w:pPr>
      <w:r>
        <w:fldChar w:fldCharType="begin"/>
      </w:r>
      <w:r>
        <w:instrText xml:space="preserve"> HYPERLINK \l "_Toc6983" </w:instrText>
      </w:r>
      <w:r>
        <w:fldChar w:fldCharType="separate"/>
      </w:r>
      <w:r>
        <w:rPr>
          <w:rFonts w:hint="eastAsia"/>
        </w:rPr>
        <w:t>4.3 地层岩性</w:t>
      </w:r>
      <w:r>
        <w:tab/>
      </w:r>
      <w:r>
        <w:fldChar w:fldCharType="begin"/>
      </w:r>
      <w:r>
        <w:instrText xml:space="preserve"> PAGEREF _Toc6983 \h </w:instrText>
      </w:r>
      <w:r>
        <w:fldChar w:fldCharType="separate"/>
      </w:r>
      <w:r>
        <w:t>9</w:t>
      </w:r>
      <w:r>
        <w:fldChar w:fldCharType="end"/>
      </w:r>
      <w:r>
        <w:fldChar w:fldCharType="end"/>
      </w:r>
    </w:p>
    <w:p>
      <w:pPr>
        <w:pStyle w:val="28"/>
        <w:tabs>
          <w:tab w:val="right" w:leader="dot" w:pos="9523"/>
          <w:tab w:val="clear" w:pos="8352"/>
        </w:tabs>
      </w:pPr>
      <w:r>
        <w:fldChar w:fldCharType="begin"/>
      </w:r>
      <w:r>
        <w:instrText xml:space="preserve"> HYPERLINK \l "_Toc27391" </w:instrText>
      </w:r>
      <w:r>
        <w:fldChar w:fldCharType="separate"/>
      </w:r>
      <w:r>
        <w:rPr>
          <w:rFonts w:hint="eastAsia"/>
        </w:rPr>
        <w:t>4.4 水文地质条件</w:t>
      </w:r>
      <w:r>
        <w:tab/>
      </w:r>
      <w:r>
        <w:fldChar w:fldCharType="begin"/>
      </w:r>
      <w:r>
        <w:instrText xml:space="preserve"> PAGEREF _Toc27391 \h </w:instrText>
      </w:r>
      <w:r>
        <w:fldChar w:fldCharType="separate"/>
      </w:r>
      <w:r>
        <w:t>9</w:t>
      </w:r>
      <w:r>
        <w:fldChar w:fldCharType="end"/>
      </w:r>
      <w:r>
        <w:fldChar w:fldCharType="end"/>
      </w:r>
    </w:p>
    <w:p>
      <w:pPr>
        <w:pStyle w:val="28"/>
        <w:tabs>
          <w:tab w:val="right" w:leader="dot" w:pos="9523"/>
          <w:tab w:val="clear" w:pos="8352"/>
        </w:tabs>
      </w:pPr>
      <w:r>
        <w:fldChar w:fldCharType="begin"/>
      </w:r>
      <w:r>
        <w:instrText xml:space="preserve"> HYPERLINK \l "_Toc3760" </w:instrText>
      </w:r>
      <w:r>
        <w:fldChar w:fldCharType="separate"/>
      </w:r>
      <w:r>
        <w:rPr>
          <w:rFonts w:hint="eastAsia"/>
        </w:rPr>
        <w:t>4.5 不良地质现象</w:t>
      </w:r>
      <w:r>
        <w:tab/>
      </w:r>
      <w:r>
        <w:fldChar w:fldCharType="begin"/>
      </w:r>
      <w:r>
        <w:instrText xml:space="preserve"> PAGEREF _Toc3760 \h </w:instrText>
      </w:r>
      <w:r>
        <w:fldChar w:fldCharType="separate"/>
      </w:r>
      <w:r>
        <w:t>10</w:t>
      </w:r>
      <w:r>
        <w:fldChar w:fldCharType="end"/>
      </w:r>
      <w:r>
        <w:fldChar w:fldCharType="end"/>
      </w:r>
    </w:p>
    <w:p>
      <w:pPr>
        <w:pStyle w:val="28"/>
        <w:tabs>
          <w:tab w:val="right" w:leader="dot" w:pos="9523"/>
          <w:tab w:val="clear" w:pos="8352"/>
        </w:tabs>
      </w:pPr>
      <w:r>
        <w:fldChar w:fldCharType="begin"/>
      </w:r>
      <w:r>
        <w:instrText xml:space="preserve"> HYPERLINK \l "_Toc14534" </w:instrText>
      </w:r>
      <w:r>
        <w:fldChar w:fldCharType="separate"/>
      </w:r>
      <w:r>
        <w:rPr>
          <w:rFonts w:hint="eastAsia"/>
        </w:rPr>
        <w:t>4.6 破坏地质环境的人类活动</w:t>
      </w:r>
      <w:r>
        <w:tab/>
      </w:r>
      <w:r>
        <w:fldChar w:fldCharType="begin"/>
      </w:r>
      <w:r>
        <w:instrText xml:space="preserve"> PAGEREF _Toc14534 \h </w:instrText>
      </w:r>
      <w:r>
        <w:fldChar w:fldCharType="separate"/>
      </w:r>
      <w:r>
        <w:t>11</w:t>
      </w:r>
      <w:r>
        <w:fldChar w:fldCharType="end"/>
      </w:r>
      <w:r>
        <w:fldChar w:fldCharType="end"/>
      </w:r>
    </w:p>
    <w:p>
      <w:pPr>
        <w:pStyle w:val="28"/>
        <w:tabs>
          <w:tab w:val="right" w:leader="dot" w:pos="9523"/>
          <w:tab w:val="clear" w:pos="8352"/>
        </w:tabs>
      </w:pPr>
      <w:r>
        <w:fldChar w:fldCharType="begin"/>
      </w:r>
      <w:r>
        <w:instrText xml:space="preserve"> HYPERLINK \l "_Toc20984" </w:instrText>
      </w:r>
      <w:r>
        <w:fldChar w:fldCharType="separate"/>
      </w:r>
      <w:r>
        <w:rPr>
          <w:rFonts w:hint="eastAsia" w:hAnsi="Times New Roman"/>
        </w:rPr>
        <w:t>4.7贯通性结构面与斜（边）坡的关系</w:t>
      </w:r>
      <w:r>
        <w:tab/>
      </w:r>
      <w:r>
        <w:fldChar w:fldCharType="begin"/>
      </w:r>
      <w:r>
        <w:instrText xml:space="preserve"> PAGEREF _Toc20984 \h </w:instrText>
      </w:r>
      <w:r>
        <w:fldChar w:fldCharType="separate"/>
      </w:r>
      <w:r>
        <w:t>11</w:t>
      </w:r>
      <w:r>
        <w:fldChar w:fldCharType="end"/>
      </w:r>
      <w:r>
        <w:fldChar w:fldCharType="end"/>
      </w:r>
    </w:p>
    <w:p>
      <w:pPr>
        <w:pStyle w:val="28"/>
        <w:tabs>
          <w:tab w:val="right" w:leader="dot" w:pos="9523"/>
          <w:tab w:val="clear" w:pos="8352"/>
        </w:tabs>
      </w:pPr>
      <w:r>
        <w:fldChar w:fldCharType="begin"/>
      </w:r>
      <w:r>
        <w:instrText xml:space="preserve"> HYPERLINK \l "_Toc31539" </w:instrText>
      </w:r>
      <w:r>
        <w:fldChar w:fldCharType="separate"/>
      </w:r>
      <w:r>
        <w:rPr>
          <w:rFonts w:hint="eastAsia" w:hAnsi="Times New Roman"/>
        </w:rPr>
        <w:t>4.8地质环境复杂程度评价</w:t>
      </w:r>
      <w:r>
        <w:tab/>
      </w:r>
      <w:r>
        <w:fldChar w:fldCharType="begin"/>
      </w:r>
      <w:r>
        <w:instrText xml:space="preserve"> PAGEREF _Toc31539 \h </w:instrText>
      </w:r>
      <w:r>
        <w:fldChar w:fldCharType="separate"/>
      </w:r>
      <w:r>
        <w:t>11</w:t>
      </w:r>
      <w:r>
        <w:fldChar w:fldCharType="end"/>
      </w:r>
      <w:r>
        <w:fldChar w:fldCharType="end"/>
      </w:r>
    </w:p>
    <w:p>
      <w:pPr>
        <w:pStyle w:val="23"/>
        <w:tabs>
          <w:tab w:val="right" w:leader="dot" w:pos="9523"/>
          <w:tab w:val="clear" w:pos="8505"/>
        </w:tabs>
      </w:pPr>
      <w:r>
        <w:fldChar w:fldCharType="begin"/>
      </w:r>
      <w:r>
        <w:instrText xml:space="preserve"> HYPERLINK \l "_Toc12159" </w:instrText>
      </w:r>
      <w:r>
        <w:fldChar w:fldCharType="separate"/>
      </w:r>
      <w:r>
        <w:rPr>
          <w:rFonts w:hint="eastAsia"/>
          <w:szCs w:val="36"/>
        </w:rPr>
        <w:t>5 地质灾害及地质环境问题</w:t>
      </w:r>
      <w:r>
        <w:tab/>
      </w:r>
      <w:r>
        <w:fldChar w:fldCharType="begin"/>
      </w:r>
      <w:r>
        <w:instrText xml:space="preserve"> PAGEREF _Toc12159 \h </w:instrText>
      </w:r>
      <w:r>
        <w:fldChar w:fldCharType="separate"/>
      </w:r>
      <w:r>
        <w:t>11</w:t>
      </w:r>
      <w:r>
        <w:fldChar w:fldCharType="end"/>
      </w:r>
      <w:r>
        <w:fldChar w:fldCharType="end"/>
      </w:r>
    </w:p>
    <w:p>
      <w:pPr>
        <w:pStyle w:val="28"/>
        <w:tabs>
          <w:tab w:val="right" w:leader="dot" w:pos="9523"/>
          <w:tab w:val="clear" w:pos="8352"/>
        </w:tabs>
      </w:pPr>
      <w:r>
        <w:fldChar w:fldCharType="begin"/>
      </w:r>
      <w:r>
        <w:instrText xml:space="preserve"> HYPERLINK \l "_Toc5971" </w:instrText>
      </w:r>
      <w:r>
        <w:fldChar w:fldCharType="separate"/>
      </w:r>
      <w:r>
        <w:rPr>
          <w:rFonts w:hint="eastAsia"/>
          <w:kern w:val="30"/>
        </w:rPr>
        <w:t>5.1斜（边）坡稳定性</w:t>
      </w:r>
      <w:r>
        <w:tab/>
      </w:r>
      <w:r>
        <w:fldChar w:fldCharType="begin"/>
      </w:r>
      <w:r>
        <w:instrText xml:space="preserve"> PAGEREF _Toc5971 \h </w:instrText>
      </w:r>
      <w:r>
        <w:fldChar w:fldCharType="separate"/>
      </w:r>
      <w:r>
        <w:t>11</w:t>
      </w:r>
      <w:r>
        <w:fldChar w:fldCharType="end"/>
      </w:r>
      <w:r>
        <w:fldChar w:fldCharType="end"/>
      </w:r>
    </w:p>
    <w:p>
      <w:pPr>
        <w:pStyle w:val="28"/>
        <w:tabs>
          <w:tab w:val="right" w:leader="dot" w:pos="9523"/>
          <w:tab w:val="clear" w:pos="8352"/>
        </w:tabs>
      </w:pPr>
      <w:r>
        <w:fldChar w:fldCharType="begin"/>
      </w:r>
      <w:r>
        <w:instrText xml:space="preserve"> HYPERLINK \l "_Toc21408" </w:instrText>
      </w:r>
      <w:r>
        <w:fldChar w:fldCharType="separate"/>
      </w:r>
      <w:r>
        <w:rPr>
          <w:rFonts w:hint="eastAsia"/>
          <w:kern w:val="30"/>
        </w:rPr>
        <w:t>5.2含水层破坏</w:t>
      </w:r>
      <w:r>
        <w:tab/>
      </w:r>
      <w:r>
        <w:fldChar w:fldCharType="begin"/>
      </w:r>
      <w:r>
        <w:instrText xml:space="preserve"> PAGEREF _Toc21408 \h </w:instrText>
      </w:r>
      <w:r>
        <w:fldChar w:fldCharType="separate"/>
      </w:r>
      <w:r>
        <w:t>13</w:t>
      </w:r>
      <w:r>
        <w:fldChar w:fldCharType="end"/>
      </w:r>
      <w:r>
        <w:fldChar w:fldCharType="end"/>
      </w:r>
    </w:p>
    <w:p>
      <w:pPr>
        <w:pStyle w:val="28"/>
        <w:tabs>
          <w:tab w:val="right" w:leader="dot" w:pos="9523"/>
          <w:tab w:val="clear" w:pos="8352"/>
        </w:tabs>
      </w:pPr>
      <w:r>
        <w:fldChar w:fldCharType="begin"/>
      </w:r>
      <w:r>
        <w:instrText xml:space="preserve"> HYPERLINK \l "_Toc32142" </w:instrText>
      </w:r>
      <w:r>
        <w:fldChar w:fldCharType="separate"/>
      </w:r>
      <w:r>
        <w:rPr>
          <w:rFonts w:hint="eastAsia"/>
          <w:kern w:val="30"/>
        </w:rPr>
        <w:t>5.3地下空间的影响</w:t>
      </w:r>
      <w:r>
        <w:tab/>
      </w:r>
      <w:r>
        <w:fldChar w:fldCharType="begin"/>
      </w:r>
      <w:r>
        <w:instrText xml:space="preserve"> PAGEREF _Toc32142 \h </w:instrText>
      </w:r>
      <w:r>
        <w:fldChar w:fldCharType="separate"/>
      </w:r>
      <w:r>
        <w:t>13</w:t>
      </w:r>
      <w:r>
        <w:fldChar w:fldCharType="end"/>
      </w:r>
      <w:r>
        <w:fldChar w:fldCharType="end"/>
      </w:r>
    </w:p>
    <w:p>
      <w:pPr>
        <w:pStyle w:val="28"/>
        <w:tabs>
          <w:tab w:val="right" w:leader="dot" w:pos="9523"/>
          <w:tab w:val="clear" w:pos="8352"/>
        </w:tabs>
      </w:pPr>
      <w:r>
        <w:fldChar w:fldCharType="begin"/>
      </w:r>
      <w:r>
        <w:instrText xml:space="preserve"> HYPERLINK \l "_Toc29875" </w:instrText>
      </w:r>
      <w:r>
        <w:fldChar w:fldCharType="separate"/>
      </w:r>
      <w:r>
        <w:rPr>
          <w:rFonts w:hint="eastAsia"/>
          <w:kern w:val="30"/>
        </w:rPr>
        <w:t>5.4地表水</w:t>
      </w:r>
      <w:r>
        <w:tab/>
      </w:r>
      <w:r>
        <w:fldChar w:fldCharType="begin"/>
      </w:r>
      <w:r>
        <w:instrText xml:space="preserve"> PAGEREF _Toc29875 \h </w:instrText>
      </w:r>
      <w:r>
        <w:fldChar w:fldCharType="separate"/>
      </w:r>
      <w:r>
        <w:t>13</w:t>
      </w:r>
      <w:r>
        <w:fldChar w:fldCharType="end"/>
      </w:r>
      <w:r>
        <w:fldChar w:fldCharType="end"/>
      </w:r>
    </w:p>
    <w:p>
      <w:pPr>
        <w:pStyle w:val="28"/>
        <w:tabs>
          <w:tab w:val="right" w:leader="dot" w:pos="9523"/>
          <w:tab w:val="clear" w:pos="8352"/>
        </w:tabs>
      </w:pPr>
      <w:r>
        <w:fldChar w:fldCharType="begin"/>
      </w:r>
      <w:r>
        <w:instrText xml:space="preserve"> HYPERLINK \l "_Toc15400" </w:instrText>
      </w:r>
      <w:r>
        <w:fldChar w:fldCharType="separate"/>
      </w:r>
      <w:r>
        <w:rPr>
          <w:rFonts w:hint="eastAsia"/>
          <w:kern w:val="30"/>
        </w:rPr>
        <w:t>5.5地质遗迹、自然和人文景观、风景名胜区</w:t>
      </w:r>
      <w:r>
        <w:tab/>
      </w:r>
      <w:r>
        <w:fldChar w:fldCharType="begin"/>
      </w:r>
      <w:r>
        <w:instrText xml:space="preserve"> PAGEREF _Toc15400 \h </w:instrText>
      </w:r>
      <w:r>
        <w:fldChar w:fldCharType="separate"/>
      </w:r>
      <w:r>
        <w:t>13</w:t>
      </w:r>
      <w:r>
        <w:fldChar w:fldCharType="end"/>
      </w:r>
      <w:r>
        <w:fldChar w:fldCharType="end"/>
      </w:r>
    </w:p>
    <w:p>
      <w:pPr>
        <w:pStyle w:val="28"/>
        <w:tabs>
          <w:tab w:val="right" w:leader="dot" w:pos="9523"/>
          <w:tab w:val="clear" w:pos="8352"/>
        </w:tabs>
      </w:pPr>
      <w:r>
        <w:fldChar w:fldCharType="begin"/>
      </w:r>
      <w:r>
        <w:instrText xml:space="preserve"> HYPERLINK \l "_Toc31761" </w:instrText>
      </w:r>
      <w:r>
        <w:fldChar w:fldCharType="separate"/>
      </w:r>
      <w:r>
        <w:rPr>
          <w:rFonts w:hint="eastAsia"/>
          <w:kern w:val="30"/>
        </w:rPr>
        <w:t>5.6土地资源及建构筑物</w:t>
      </w:r>
      <w:r>
        <w:tab/>
      </w:r>
      <w:r>
        <w:fldChar w:fldCharType="begin"/>
      </w:r>
      <w:r>
        <w:instrText xml:space="preserve"> PAGEREF _Toc31761 \h </w:instrText>
      </w:r>
      <w:r>
        <w:fldChar w:fldCharType="separate"/>
      </w:r>
      <w:r>
        <w:t>13</w:t>
      </w:r>
      <w:r>
        <w:fldChar w:fldCharType="end"/>
      </w:r>
      <w:r>
        <w:fldChar w:fldCharType="end"/>
      </w:r>
    </w:p>
    <w:p>
      <w:pPr>
        <w:pStyle w:val="28"/>
        <w:tabs>
          <w:tab w:val="right" w:leader="dot" w:pos="9523"/>
          <w:tab w:val="clear" w:pos="8352"/>
        </w:tabs>
      </w:pPr>
      <w:r>
        <w:fldChar w:fldCharType="begin"/>
      </w:r>
      <w:r>
        <w:instrText xml:space="preserve"> HYPERLINK \l "_Toc25259" </w:instrText>
      </w:r>
      <w:r>
        <w:fldChar w:fldCharType="separate"/>
      </w:r>
      <w:r>
        <w:rPr>
          <w:rFonts w:hint="eastAsia"/>
          <w:kern w:val="30"/>
        </w:rPr>
        <w:t>5.7小结</w:t>
      </w:r>
      <w:r>
        <w:tab/>
      </w:r>
      <w:r>
        <w:fldChar w:fldCharType="begin"/>
      </w:r>
      <w:r>
        <w:instrText xml:space="preserve"> PAGEREF _Toc25259 \h </w:instrText>
      </w:r>
      <w:r>
        <w:fldChar w:fldCharType="separate"/>
      </w:r>
      <w:r>
        <w:t>13</w:t>
      </w:r>
      <w:r>
        <w:fldChar w:fldCharType="end"/>
      </w:r>
      <w:r>
        <w:fldChar w:fldCharType="end"/>
      </w:r>
    </w:p>
    <w:p>
      <w:pPr>
        <w:pStyle w:val="23"/>
        <w:tabs>
          <w:tab w:val="right" w:leader="dot" w:pos="9523"/>
          <w:tab w:val="clear" w:pos="8505"/>
        </w:tabs>
      </w:pPr>
      <w:r>
        <w:fldChar w:fldCharType="begin"/>
      </w:r>
      <w:r>
        <w:instrText xml:space="preserve"> HYPERLINK \l "_Toc16459" </w:instrText>
      </w:r>
      <w:r>
        <w:fldChar w:fldCharType="separate"/>
      </w:r>
      <w:r>
        <w:rPr>
          <w:rFonts w:hint="eastAsia"/>
          <w:szCs w:val="36"/>
        </w:rPr>
        <w:t>6 地质灾害发生可能性分析</w:t>
      </w:r>
      <w:r>
        <w:tab/>
      </w:r>
      <w:r>
        <w:fldChar w:fldCharType="begin"/>
      </w:r>
      <w:r>
        <w:instrText xml:space="preserve"> PAGEREF _Toc16459 \h </w:instrText>
      </w:r>
      <w:r>
        <w:fldChar w:fldCharType="separate"/>
      </w:r>
      <w:r>
        <w:t>13</w:t>
      </w:r>
      <w:r>
        <w:fldChar w:fldCharType="end"/>
      </w:r>
      <w:r>
        <w:fldChar w:fldCharType="end"/>
      </w:r>
    </w:p>
    <w:p>
      <w:pPr>
        <w:pStyle w:val="28"/>
        <w:tabs>
          <w:tab w:val="right" w:leader="dot" w:pos="9523"/>
          <w:tab w:val="clear" w:pos="8352"/>
        </w:tabs>
      </w:pPr>
      <w:r>
        <w:fldChar w:fldCharType="begin"/>
      </w:r>
      <w:r>
        <w:instrText xml:space="preserve"> HYPERLINK \l "_Toc9685" </w:instrText>
      </w:r>
      <w:r>
        <w:fldChar w:fldCharType="separate"/>
      </w:r>
      <w:r>
        <w:rPr>
          <w:rFonts w:hint="eastAsia"/>
          <w:kern w:val="30"/>
        </w:rPr>
        <w:t>6.1 地质灾害分区原则</w:t>
      </w:r>
      <w:r>
        <w:tab/>
      </w:r>
      <w:r>
        <w:fldChar w:fldCharType="begin"/>
      </w:r>
      <w:r>
        <w:instrText xml:space="preserve"> PAGEREF _Toc9685 \h </w:instrText>
      </w:r>
      <w:r>
        <w:fldChar w:fldCharType="separate"/>
      </w:r>
      <w:r>
        <w:t>14</w:t>
      </w:r>
      <w:r>
        <w:fldChar w:fldCharType="end"/>
      </w:r>
      <w:r>
        <w:fldChar w:fldCharType="end"/>
      </w:r>
    </w:p>
    <w:p>
      <w:pPr>
        <w:pStyle w:val="28"/>
        <w:tabs>
          <w:tab w:val="right" w:leader="dot" w:pos="9523"/>
          <w:tab w:val="clear" w:pos="8352"/>
        </w:tabs>
      </w:pPr>
      <w:r>
        <w:fldChar w:fldCharType="begin"/>
      </w:r>
      <w:r>
        <w:instrText xml:space="preserve"> HYPERLINK \l "_Toc8683" </w:instrText>
      </w:r>
      <w:r>
        <w:fldChar w:fldCharType="separate"/>
      </w:r>
      <w:r>
        <w:rPr>
          <w:rFonts w:hint="eastAsia"/>
          <w:kern w:val="30"/>
        </w:rPr>
        <w:t>6.2宏观分区及各区地质环境复杂程度</w:t>
      </w:r>
      <w:r>
        <w:tab/>
      </w:r>
      <w:r>
        <w:fldChar w:fldCharType="begin"/>
      </w:r>
      <w:r>
        <w:instrText xml:space="preserve"> PAGEREF _Toc8683 \h </w:instrText>
      </w:r>
      <w:r>
        <w:fldChar w:fldCharType="separate"/>
      </w:r>
      <w:r>
        <w:t>14</w:t>
      </w:r>
      <w:r>
        <w:fldChar w:fldCharType="end"/>
      </w:r>
      <w:r>
        <w:fldChar w:fldCharType="end"/>
      </w:r>
    </w:p>
    <w:p>
      <w:pPr>
        <w:pStyle w:val="28"/>
        <w:tabs>
          <w:tab w:val="right" w:leader="dot" w:pos="9523"/>
          <w:tab w:val="clear" w:pos="8352"/>
        </w:tabs>
      </w:pPr>
      <w:r>
        <w:fldChar w:fldCharType="begin"/>
      </w:r>
      <w:r>
        <w:instrText xml:space="preserve"> HYPERLINK \l "_Toc28604" </w:instrText>
      </w:r>
      <w:r>
        <w:fldChar w:fldCharType="separate"/>
      </w:r>
      <w:r>
        <w:rPr>
          <w:rFonts w:hint="eastAsia"/>
          <w:kern w:val="30"/>
        </w:rPr>
        <w:t>6.3 地质环境问题发生可能性指数计算</w:t>
      </w:r>
      <w:r>
        <w:tab/>
      </w:r>
      <w:r>
        <w:fldChar w:fldCharType="begin"/>
      </w:r>
      <w:r>
        <w:instrText xml:space="preserve"> PAGEREF _Toc28604 \h </w:instrText>
      </w:r>
      <w:r>
        <w:fldChar w:fldCharType="separate"/>
      </w:r>
      <w:r>
        <w:t>17</w:t>
      </w:r>
      <w:r>
        <w:fldChar w:fldCharType="end"/>
      </w:r>
      <w:r>
        <w:fldChar w:fldCharType="end"/>
      </w:r>
    </w:p>
    <w:p>
      <w:pPr>
        <w:pStyle w:val="28"/>
        <w:tabs>
          <w:tab w:val="right" w:leader="dot" w:pos="9523"/>
          <w:tab w:val="clear" w:pos="8352"/>
        </w:tabs>
      </w:pPr>
      <w:r>
        <w:fldChar w:fldCharType="begin"/>
      </w:r>
      <w:r>
        <w:instrText xml:space="preserve"> HYPERLINK \l "_Toc10110" </w:instrText>
      </w:r>
      <w:r>
        <w:fldChar w:fldCharType="separate"/>
      </w:r>
      <w:r>
        <w:rPr>
          <w:rFonts w:hint="eastAsia"/>
        </w:rPr>
        <w:t>6.4 地质灾害危险性分级</w:t>
      </w:r>
      <w:r>
        <w:tab/>
      </w:r>
      <w:r>
        <w:fldChar w:fldCharType="begin"/>
      </w:r>
      <w:r>
        <w:instrText xml:space="preserve"> PAGEREF _Toc10110 \h </w:instrText>
      </w:r>
      <w:r>
        <w:fldChar w:fldCharType="separate"/>
      </w:r>
      <w:r>
        <w:t>18</w:t>
      </w:r>
      <w:r>
        <w:fldChar w:fldCharType="end"/>
      </w:r>
      <w:r>
        <w:fldChar w:fldCharType="end"/>
      </w:r>
    </w:p>
    <w:p>
      <w:pPr>
        <w:pStyle w:val="28"/>
        <w:tabs>
          <w:tab w:val="right" w:leader="dot" w:pos="9523"/>
          <w:tab w:val="clear" w:pos="8352"/>
        </w:tabs>
      </w:pPr>
      <w:r>
        <w:fldChar w:fldCharType="begin"/>
      </w:r>
      <w:r>
        <w:instrText xml:space="preserve"> HYPERLINK \l "_Toc9797" </w:instrText>
      </w:r>
      <w:r>
        <w:fldChar w:fldCharType="separate"/>
      </w:r>
      <w:r>
        <w:rPr>
          <w:rFonts w:hint="eastAsia"/>
        </w:rPr>
        <w:t>6.5未来人类工程活动对相邻建构筑物影响分析</w:t>
      </w:r>
      <w:r>
        <w:tab/>
      </w:r>
      <w:r>
        <w:fldChar w:fldCharType="begin"/>
      </w:r>
      <w:r>
        <w:instrText xml:space="preserve"> PAGEREF _Toc9797 \h </w:instrText>
      </w:r>
      <w:r>
        <w:fldChar w:fldCharType="separate"/>
      </w:r>
      <w:r>
        <w:t>18</w:t>
      </w:r>
      <w:r>
        <w:fldChar w:fldCharType="end"/>
      </w:r>
      <w:r>
        <w:fldChar w:fldCharType="end"/>
      </w:r>
    </w:p>
    <w:p>
      <w:pPr>
        <w:pStyle w:val="23"/>
        <w:tabs>
          <w:tab w:val="right" w:leader="dot" w:pos="9523"/>
          <w:tab w:val="clear" w:pos="8505"/>
        </w:tabs>
      </w:pPr>
      <w:r>
        <w:fldChar w:fldCharType="begin"/>
      </w:r>
      <w:r>
        <w:instrText xml:space="preserve"> HYPERLINK \l "_Toc23228" </w:instrText>
      </w:r>
      <w:r>
        <w:fldChar w:fldCharType="separate"/>
      </w:r>
      <w:r>
        <w:rPr>
          <w:rFonts w:hint="eastAsia"/>
          <w:szCs w:val="36"/>
        </w:rPr>
        <w:t>7 地质灾害危险性分区评价</w:t>
      </w:r>
      <w:r>
        <w:tab/>
      </w:r>
      <w:r>
        <w:fldChar w:fldCharType="begin"/>
      </w:r>
      <w:r>
        <w:instrText xml:space="preserve"> PAGEREF _Toc23228 \h </w:instrText>
      </w:r>
      <w:r>
        <w:fldChar w:fldCharType="separate"/>
      </w:r>
      <w:r>
        <w:t>18</w:t>
      </w:r>
      <w:r>
        <w:fldChar w:fldCharType="end"/>
      </w:r>
      <w:r>
        <w:fldChar w:fldCharType="end"/>
      </w:r>
    </w:p>
    <w:p>
      <w:pPr>
        <w:pStyle w:val="23"/>
        <w:tabs>
          <w:tab w:val="right" w:leader="dot" w:pos="9523"/>
          <w:tab w:val="clear" w:pos="8505"/>
        </w:tabs>
      </w:pPr>
      <w:r>
        <w:fldChar w:fldCharType="begin"/>
      </w:r>
      <w:r>
        <w:instrText xml:space="preserve"> HYPERLINK \l "_Toc545" </w:instrText>
      </w:r>
      <w:r>
        <w:fldChar w:fldCharType="separate"/>
      </w:r>
      <w:r>
        <w:rPr>
          <w:rFonts w:hint="eastAsia"/>
          <w:szCs w:val="36"/>
        </w:rPr>
        <w:t>8地质灾害防治措施建议</w:t>
      </w:r>
      <w:r>
        <w:tab/>
      </w:r>
      <w:r>
        <w:fldChar w:fldCharType="begin"/>
      </w:r>
      <w:r>
        <w:instrText xml:space="preserve"> PAGEREF _Toc545 \h </w:instrText>
      </w:r>
      <w:r>
        <w:fldChar w:fldCharType="separate"/>
      </w:r>
      <w:r>
        <w:t>21</w:t>
      </w:r>
      <w:r>
        <w:fldChar w:fldCharType="end"/>
      </w:r>
      <w:r>
        <w:fldChar w:fldCharType="end"/>
      </w:r>
    </w:p>
    <w:p>
      <w:pPr>
        <w:pStyle w:val="28"/>
        <w:tabs>
          <w:tab w:val="right" w:leader="dot" w:pos="9523"/>
          <w:tab w:val="clear" w:pos="8352"/>
        </w:tabs>
      </w:pPr>
      <w:r>
        <w:fldChar w:fldCharType="begin"/>
      </w:r>
      <w:r>
        <w:instrText xml:space="preserve"> HYPERLINK \l "_Toc30719" </w:instrText>
      </w:r>
      <w:r>
        <w:fldChar w:fldCharType="separate"/>
      </w:r>
      <w:r>
        <w:rPr>
          <w:rFonts w:hint="eastAsia"/>
        </w:rPr>
        <w:t>8.1 防治措施总体建议</w:t>
      </w:r>
      <w:r>
        <w:tab/>
      </w:r>
      <w:r>
        <w:fldChar w:fldCharType="begin"/>
      </w:r>
      <w:r>
        <w:instrText xml:space="preserve"> PAGEREF _Toc30719 \h </w:instrText>
      </w:r>
      <w:r>
        <w:fldChar w:fldCharType="separate"/>
      </w:r>
      <w:r>
        <w:t>21</w:t>
      </w:r>
      <w:r>
        <w:fldChar w:fldCharType="end"/>
      </w:r>
      <w:r>
        <w:fldChar w:fldCharType="end"/>
      </w:r>
    </w:p>
    <w:p>
      <w:pPr>
        <w:pStyle w:val="28"/>
        <w:tabs>
          <w:tab w:val="right" w:leader="dot" w:pos="9523"/>
          <w:tab w:val="clear" w:pos="8352"/>
        </w:tabs>
      </w:pPr>
      <w:r>
        <w:fldChar w:fldCharType="begin"/>
      </w:r>
      <w:r>
        <w:instrText xml:space="preserve"> HYPERLINK \l "_Toc25328" </w:instrText>
      </w:r>
      <w:r>
        <w:fldChar w:fldCharType="separate"/>
      </w:r>
      <w:r>
        <w:rPr>
          <w:rFonts w:hint="eastAsia"/>
        </w:rPr>
        <w:t>8.2各功能区地块防治措施建议</w:t>
      </w:r>
      <w:r>
        <w:tab/>
      </w:r>
      <w:r>
        <w:fldChar w:fldCharType="begin"/>
      </w:r>
      <w:r>
        <w:instrText xml:space="preserve"> PAGEREF _Toc25328 \h </w:instrText>
      </w:r>
      <w:r>
        <w:fldChar w:fldCharType="separate"/>
      </w:r>
      <w:r>
        <w:t>21</w:t>
      </w:r>
      <w:r>
        <w:fldChar w:fldCharType="end"/>
      </w:r>
      <w:r>
        <w:fldChar w:fldCharType="end"/>
      </w:r>
    </w:p>
    <w:p>
      <w:pPr>
        <w:pStyle w:val="23"/>
        <w:tabs>
          <w:tab w:val="right" w:leader="dot" w:pos="9523"/>
          <w:tab w:val="clear" w:pos="8505"/>
        </w:tabs>
      </w:pPr>
      <w:r>
        <w:fldChar w:fldCharType="begin"/>
      </w:r>
      <w:r>
        <w:instrText xml:space="preserve"> HYPERLINK \l "_Toc19052" </w:instrText>
      </w:r>
      <w:r>
        <w:fldChar w:fldCharType="separate"/>
      </w:r>
      <w:r>
        <w:rPr>
          <w:rFonts w:hint="eastAsia"/>
          <w:szCs w:val="36"/>
        </w:rPr>
        <w:t>9 结论与建议</w:t>
      </w:r>
      <w:r>
        <w:tab/>
      </w:r>
      <w:r>
        <w:fldChar w:fldCharType="begin"/>
      </w:r>
      <w:r>
        <w:instrText xml:space="preserve"> PAGEREF _Toc19052 \h </w:instrText>
      </w:r>
      <w:r>
        <w:fldChar w:fldCharType="separate"/>
      </w:r>
      <w:r>
        <w:t>21</w:t>
      </w:r>
      <w:r>
        <w:fldChar w:fldCharType="end"/>
      </w:r>
      <w:r>
        <w:fldChar w:fldCharType="end"/>
      </w:r>
    </w:p>
    <w:p>
      <w:pPr>
        <w:pStyle w:val="28"/>
        <w:tabs>
          <w:tab w:val="right" w:leader="dot" w:pos="9523"/>
          <w:tab w:val="clear" w:pos="8352"/>
        </w:tabs>
      </w:pPr>
      <w:r>
        <w:fldChar w:fldCharType="begin"/>
      </w:r>
      <w:r>
        <w:instrText xml:space="preserve"> HYPERLINK \l "_Toc12602" </w:instrText>
      </w:r>
      <w:r>
        <w:fldChar w:fldCharType="separate"/>
      </w:r>
      <w:r>
        <w:rPr>
          <w:rFonts w:hint="eastAsia"/>
        </w:rPr>
        <w:t>9.1 结论</w:t>
      </w:r>
      <w:r>
        <w:tab/>
      </w:r>
      <w:r>
        <w:fldChar w:fldCharType="begin"/>
      </w:r>
      <w:r>
        <w:instrText xml:space="preserve"> PAGEREF _Toc12602 \h </w:instrText>
      </w:r>
      <w:r>
        <w:fldChar w:fldCharType="separate"/>
      </w:r>
      <w:r>
        <w:t>21</w:t>
      </w:r>
      <w:r>
        <w:fldChar w:fldCharType="end"/>
      </w:r>
      <w:r>
        <w:fldChar w:fldCharType="end"/>
      </w:r>
    </w:p>
    <w:p>
      <w:pPr>
        <w:pStyle w:val="28"/>
        <w:tabs>
          <w:tab w:val="right" w:leader="dot" w:pos="9523"/>
          <w:tab w:val="clear" w:pos="8352"/>
        </w:tabs>
      </w:pPr>
      <w:r>
        <w:fldChar w:fldCharType="begin"/>
      </w:r>
      <w:r>
        <w:instrText xml:space="preserve"> HYPERLINK \l "_Toc8832" </w:instrText>
      </w:r>
      <w:r>
        <w:fldChar w:fldCharType="separate"/>
      </w:r>
      <w:r>
        <w:rPr>
          <w:rFonts w:hint="eastAsia"/>
        </w:rPr>
        <w:t>9.2 建议</w:t>
      </w:r>
      <w:r>
        <w:tab/>
      </w:r>
      <w:r>
        <w:fldChar w:fldCharType="begin"/>
      </w:r>
      <w:r>
        <w:instrText xml:space="preserve"> PAGEREF _Toc8832 \h </w:instrText>
      </w:r>
      <w:r>
        <w:fldChar w:fldCharType="separate"/>
      </w:r>
      <w:r>
        <w:t>21</w:t>
      </w:r>
      <w:r>
        <w:fldChar w:fldCharType="end"/>
      </w:r>
      <w:r>
        <w:fldChar w:fldCharType="end"/>
      </w:r>
    </w:p>
    <w:p>
      <w:pPr>
        <w:adjustRightInd w:val="0"/>
        <w:snapToGrid w:val="0"/>
        <w:spacing w:line="360" w:lineRule="auto"/>
        <w:ind w:right="15"/>
        <w:jc w:val="center"/>
        <w:rPr>
          <w:rFonts w:ascii="仿宋_GB2312" w:eastAsia="仿宋_GB2312"/>
          <w:color w:val="FF0000"/>
          <w:sz w:val="28"/>
          <w:szCs w:val="28"/>
        </w:rPr>
      </w:pPr>
      <w:r>
        <w:rPr>
          <w:rFonts w:hint="eastAsia" w:ascii="仿宋_GB2312" w:eastAsia="仿宋_GB2312"/>
          <w:color w:val="FF0000"/>
          <w:sz w:val="28"/>
          <w:szCs w:val="28"/>
        </w:rPr>
        <w:fldChar w:fldCharType="end"/>
      </w:r>
    </w:p>
    <w:p>
      <w:pPr>
        <w:adjustRightInd w:val="0"/>
        <w:snapToGrid w:val="0"/>
        <w:spacing w:line="360" w:lineRule="auto"/>
        <w:ind w:right="15"/>
        <w:jc w:val="center"/>
        <w:rPr>
          <w:rFonts w:ascii="仿宋_GB2312" w:eastAsia="仿宋_GB2312"/>
          <w:color w:val="FF0000"/>
          <w:sz w:val="28"/>
          <w:szCs w:val="28"/>
        </w:rPr>
      </w:pPr>
    </w:p>
    <w:p>
      <w:pPr>
        <w:adjustRightInd w:val="0"/>
        <w:snapToGrid w:val="0"/>
        <w:spacing w:line="360" w:lineRule="auto"/>
        <w:ind w:right="15"/>
        <w:jc w:val="center"/>
        <w:rPr>
          <w:rFonts w:ascii="仿宋_GB2312" w:eastAsia="仿宋_GB2312"/>
          <w:color w:val="FF0000"/>
          <w:sz w:val="28"/>
          <w:szCs w:val="28"/>
        </w:rPr>
      </w:pPr>
    </w:p>
    <w:p>
      <w:pPr>
        <w:adjustRightInd w:val="0"/>
        <w:snapToGrid w:val="0"/>
        <w:spacing w:line="360" w:lineRule="auto"/>
        <w:ind w:right="15"/>
        <w:jc w:val="center"/>
        <w:rPr>
          <w:rFonts w:ascii="仿宋_GB2312" w:eastAsia="仿宋_GB2312"/>
          <w:color w:val="FF0000"/>
          <w:sz w:val="28"/>
          <w:szCs w:val="28"/>
        </w:rPr>
      </w:pPr>
    </w:p>
    <w:p>
      <w:pPr>
        <w:adjustRightInd w:val="0"/>
        <w:snapToGrid w:val="0"/>
        <w:spacing w:line="360" w:lineRule="auto"/>
        <w:ind w:right="15"/>
        <w:jc w:val="center"/>
        <w:rPr>
          <w:rFonts w:ascii="仿宋_GB2312" w:eastAsia="仿宋_GB2312"/>
          <w:bCs/>
          <w:color w:val="000000"/>
          <w:sz w:val="28"/>
          <w:szCs w:val="28"/>
        </w:rPr>
      </w:pPr>
      <w:r>
        <w:rPr>
          <w:rFonts w:hint="eastAsia" w:ascii="仿宋_GB2312" w:eastAsia="仿宋_GB2312"/>
          <w:bCs/>
          <w:color w:val="000000"/>
          <w:sz w:val="28"/>
          <w:szCs w:val="28"/>
        </w:rPr>
        <w:t>附 表：</w:t>
      </w:r>
    </w:p>
    <w:p>
      <w:pPr>
        <w:adjustRightInd w:val="0"/>
        <w:snapToGrid w:val="0"/>
        <w:spacing w:line="360" w:lineRule="auto"/>
        <w:ind w:right="15" w:firstLine="570"/>
        <w:rPr>
          <w:rFonts w:ascii="仿宋_GB2312" w:eastAsia="仿宋_GB2312"/>
          <w:color w:val="000000"/>
          <w:sz w:val="28"/>
          <w:szCs w:val="28"/>
        </w:rPr>
      </w:pPr>
      <w:r>
        <w:rPr>
          <w:rFonts w:hint="eastAsia" w:ascii="仿宋_GB2312" w:eastAsia="仿宋_GB2312"/>
          <w:color w:val="000000"/>
          <w:sz w:val="28"/>
          <w:szCs w:val="28"/>
        </w:rPr>
        <w:t>表1  各功能区地块防治措施建议一览表</w:t>
      </w:r>
    </w:p>
    <w:p>
      <w:pPr>
        <w:adjustRightInd w:val="0"/>
        <w:snapToGrid w:val="0"/>
        <w:spacing w:line="360" w:lineRule="auto"/>
        <w:ind w:right="15" w:firstLine="570"/>
        <w:rPr>
          <w:rFonts w:ascii="仿宋_GB2312" w:eastAsia="仿宋_GB2312"/>
          <w:color w:val="000000"/>
          <w:sz w:val="28"/>
          <w:szCs w:val="28"/>
        </w:rPr>
      </w:pPr>
      <w:r>
        <w:rPr>
          <w:rFonts w:hint="eastAsia" w:ascii="仿宋_GB2312" w:eastAsia="仿宋_GB2312"/>
          <w:color w:val="000000"/>
          <w:sz w:val="28"/>
          <w:szCs w:val="28"/>
        </w:rPr>
        <w:t>表2  各功能区地块间拟建道路防治措施建议一览表</w:t>
      </w:r>
    </w:p>
    <w:p>
      <w:pPr>
        <w:adjustRightInd w:val="0"/>
        <w:snapToGrid w:val="0"/>
        <w:spacing w:line="360" w:lineRule="auto"/>
        <w:ind w:right="15" w:firstLine="570"/>
        <w:rPr>
          <w:rFonts w:ascii="仿宋_GB2312" w:eastAsia="仿宋_GB2312"/>
          <w:color w:val="000000"/>
          <w:sz w:val="28"/>
          <w:szCs w:val="28"/>
        </w:rPr>
      </w:pPr>
      <w:r>
        <w:rPr>
          <w:rFonts w:hint="eastAsia" w:ascii="仿宋_GB2312" w:eastAsia="仿宋_GB2312"/>
          <w:color w:val="000000"/>
          <w:sz w:val="28"/>
          <w:szCs w:val="28"/>
        </w:rPr>
        <w:t>斜边坡调查表及地质点调查表</w:t>
      </w:r>
    </w:p>
    <w:p>
      <w:pPr>
        <w:adjustRightInd w:val="0"/>
        <w:snapToGrid w:val="0"/>
        <w:spacing w:line="360" w:lineRule="auto"/>
        <w:ind w:right="15"/>
        <w:rPr>
          <w:rFonts w:ascii="仿宋_GB2312" w:eastAsia="仿宋_GB2312"/>
          <w:bCs/>
          <w:color w:val="000000"/>
          <w:sz w:val="28"/>
          <w:szCs w:val="28"/>
        </w:rPr>
      </w:pPr>
      <w:r>
        <w:rPr>
          <w:rFonts w:hint="eastAsia" w:ascii="仿宋_GB2312" w:eastAsia="仿宋_GB2312"/>
          <w:bCs/>
          <w:color w:val="000000"/>
          <w:sz w:val="28"/>
          <w:szCs w:val="28"/>
        </w:rPr>
        <w:t>附 图：</w:t>
      </w:r>
    </w:p>
    <w:p>
      <w:pPr>
        <w:tabs>
          <w:tab w:val="right" w:pos="7776"/>
        </w:tabs>
        <w:adjustRightInd w:val="0"/>
        <w:snapToGrid w:val="0"/>
        <w:spacing w:line="360" w:lineRule="auto"/>
        <w:ind w:right="17" w:firstLine="560" w:firstLineChars="200"/>
        <w:rPr>
          <w:rFonts w:ascii="仿宋_GB2312" w:eastAsia="仿宋_GB2312"/>
          <w:color w:val="000000"/>
          <w:sz w:val="28"/>
          <w:szCs w:val="28"/>
        </w:rPr>
      </w:pPr>
      <w:r>
        <w:rPr>
          <w:rFonts w:hint="eastAsia" w:ascii="仿宋_GB2312" w:eastAsia="仿宋_GB2312"/>
          <w:color w:val="000000"/>
          <w:sz w:val="28"/>
          <w:szCs w:val="28"/>
        </w:rPr>
        <w:t>1地质灾害危险性评估平面图（1:2000）                 1张</w:t>
      </w:r>
    </w:p>
    <w:p>
      <w:pPr>
        <w:tabs>
          <w:tab w:val="right" w:pos="7776"/>
        </w:tabs>
        <w:adjustRightInd w:val="0"/>
        <w:snapToGrid w:val="0"/>
        <w:spacing w:line="360" w:lineRule="auto"/>
        <w:ind w:right="17" w:firstLine="560" w:firstLineChars="200"/>
        <w:rPr>
          <w:rFonts w:ascii="仿宋_GB2312" w:eastAsia="仿宋_GB2312"/>
          <w:color w:val="000000"/>
          <w:sz w:val="28"/>
          <w:szCs w:val="28"/>
        </w:rPr>
      </w:pPr>
      <w:r>
        <w:rPr>
          <w:rFonts w:hint="eastAsia" w:ascii="仿宋_GB2312" w:eastAsia="仿宋_GB2312"/>
          <w:color w:val="000000"/>
          <w:sz w:val="28"/>
          <w:szCs w:val="28"/>
        </w:rPr>
        <w:t>2地质灾害危险性评估剖面图(1:2000）                  13条</w:t>
      </w:r>
    </w:p>
    <w:p>
      <w:pPr>
        <w:tabs>
          <w:tab w:val="right" w:pos="7776"/>
        </w:tabs>
        <w:adjustRightInd w:val="0"/>
        <w:snapToGrid w:val="0"/>
        <w:spacing w:line="360" w:lineRule="auto"/>
        <w:ind w:right="17" w:firstLine="560" w:firstLineChars="200"/>
        <w:rPr>
          <w:rFonts w:ascii="仿宋_GB2312" w:eastAsia="仿宋_GB2312"/>
          <w:color w:val="000000"/>
          <w:sz w:val="28"/>
          <w:szCs w:val="28"/>
        </w:rPr>
      </w:pPr>
      <w:r>
        <w:rPr>
          <w:rFonts w:hint="eastAsia" w:ascii="仿宋_GB2312" w:eastAsia="仿宋_GB2312"/>
          <w:color w:val="000000"/>
          <w:sz w:val="28"/>
          <w:szCs w:val="28"/>
        </w:rPr>
        <w:t>4地质灾害危险性评估剖面图(1:500）                   1条</w:t>
      </w:r>
    </w:p>
    <w:p>
      <w:pPr>
        <w:autoSpaceDE w:val="0"/>
        <w:autoSpaceDN w:val="0"/>
        <w:adjustRightInd w:val="0"/>
        <w:spacing w:line="360" w:lineRule="auto"/>
        <w:ind w:firstLine="560" w:firstLineChars="200"/>
        <w:jc w:val="left"/>
        <w:rPr>
          <w:rFonts w:ascii="仿宋_GB2312" w:eastAsia="仿宋_GB2312"/>
          <w:color w:val="000000"/>
          <w:sz w:val="28"/>
          <w:szCs w:val="28"/>
        </w:rPr>
      </w:pPr>
      <w:r>
        <w:rPr>
          <w:rFonts w:hint="eastAsia" w:ascii="仿宋_GB2312" w:eastAsia="仿宋_GB2312"/>
          <w:color w:val="000000"/>
          <w:sz w:val="28"/>
          <w:szCs w:val="28"/>
        </w:rPr>
        <w:t xml:space="preserve">3规划地块平面图(1:2000）                            1张   </w:t>
      </w:r>
    </w:p>
    <w:p>
      <w:pPr>
        <w:autoSpaceDE w:val="0"/>
        <w:autoSpaceDN w:val="0"/>
        <w:adjustRightInd w:val="0"/>
        <w:spacing w:line="360" w:lineRule="auto"/>
        <w:ind w:firstLine="560" w:firstLineChars="200"/>
        <w:jc w:val="left"/>
        <w:rPr>
          <w:rFonts w:ascii="仿宋_GB2312" w:eastAsia="仿宋_GB2312"/>
          <w:color w:val="000000"/>
          <w:sz w:val="28"/>
          <w:szCs w:val="28"/>
        </w:rPr>
      </w:pPr>
      <w:r>
        <w:rPr>
          <w:rFonts w:hint="eastAsia" w:ascii="仿宋_GB2312" w:eastAsia="仿宋_GB2312"/>
          <w:color w:val="000000"/>
          <w:sz w:val="28"/>
          <w:szCs w:val="28"/>
        </w:rPr>
        <w:t>4道路地块平面图(1:2000）                            1张</w:t>
      </w:r>
    </w:p>
    <w:p>
      <w:pPr>
        <w:autoSpaceDE w:val="0"/>
        <w:autoSpaceDN w:val="0"/>
        <w:adjustRightInd w:val="0"/>
        <w:spacing w:line="360" w:lineRule="auto"/>
        <w:ind w:firstLine="560" w:firstLineChars="200"/>
        <w:jc w:val="left"/>
        <w:rPr>
          <w:rFonts w:ascii="仿宋_GB2312" w:eastAsia="仿宋_GB2312"/>
          <w:color w:val="000000"/>
          <w:sz w:val="28"/>
          <w:szCs w:val="28"/>
        </w:rPr>
      </w:pPr>
      <w:r>
        <w:rPr>
          <w:rFonts w:hint="eastAsia" w:ascii="仿宋_GB2312" w:eastAsia="仿宋_GB2312"/>
          <w:color w:val="000000"/>
          <w:sz w:val="28"/>
          <w:szCs w:val="28"/>
        </w:rPr>
        <w:t>5综合成果图 (1:2000）                                          1张</w:t>
      </w:r>
    </w:p>
    <w:p>
      <w:pPr>
        <w:autoSpaceDE w:val="0"/>
        <w:autoSpaceDN w:val="0"/>
        <w:adjustRightInd w:val="0"/>
        <w:spacing w:line="360" w:lineRule="auto"/>
        <w:ind w:firstLine="560" w:firstLineChars="200"/>
        <w:jc w:val="left"/>
        <w:rPr>
          <w:rFonts w:ascii="仿宋_GB2312" w:eastAsia="仿宋_GB2312"/>
          <w:color w:val="000000"/>
          <w:sz w:val="28"/>
          <w:szCs w:val="28"/>
        </w:rPr>
      </w:pPr>
    </w:p>
    <w:p>
      <w:pPr>
        <w:autoSpaceDE w:val="0"/>
        <w:autoSpaceDN w:val="0"/>
        <w:adjustRightInd w:val="0"/>
        <w:spacing w:line="360" w:lineRule="auto"/>
        <w:jc w:val="left"/>
        <w:rPr>
          <w:rFonts w:ascii="仿宋_GB2312" w:eastAsia="仿宋_GB2312"/>
          <w:bCs/>
          <w:color w:val="000000"/>
          <w:sz w:val="28"/>
          <w:szCs w:val="28"/>
        </w:rPr>
      </w:pPr>
      <w:r>
        <w:rPr>
          <w:rFonts w:hint="eastAsia" w:ascii="仿宋_GB2312" w:eastAsia="仿宋_GB2312"/>
          <w:color w:val="000000"/>
          <w:sz w:val="28"/>
          <w:szCs w:val="28"/>
        </w:rPr>
        <w:t xml:space="preserve"> </w:t>
      </w:r>
      <w:r>
        <w:rPr>
          <w:rFonts w:hint="eastAsia" w:ascii="仿宋_GB2312" w:eastAsia="仿宋_GB2312"/>
          <w:bCs/>
          <w:color w:val="000000"/>
          <w:sz w:val="28"/>
          <w:szCs w:val="28"/>
        </w:rPr>
        <w:t>附 件：</w:t>
      </w:r>
    </w:p>
    <w:p>
      <w:pPr>
        <w:tabs>
          <w:tab w:val="right" w:pos="7776"/>
        </w:tabs>
        <w:adjustRightInd w:val="0"/>
        <w:snapToGrid w:val="0"/>
        <w:spacing w:line="460" w:lineRule="atLeast"/>
        <w:ind w:right="17" w:firstLine="560"/>
        <w:rPr>
          <w:rFonts w:ascii="仿宋_GB2312" w:eastAsia="仿宋_GB2312"/>
          <w:color w:val="000000"/>
          <w:sz w:val="28"/>
          <w:szCs w:val="28"/>
        </w:rPr>
      </w:pPr>
      <w:r>
        <w:rPr>
          <w:rFonts w:hint="eastAsia" w:ascii="仿宋_GB2312" w:eastAsia="仿宋_GB2312"/>
          <w:color w:val="000000"/>
          <w:sz w:val="28"/>
          <w:szCs w:val="28"/>
        </w:rPr>
        <w:t>1照片</w:t>
      </w:r>
    </w:p>
    <w:p>
      <w:pPr>
        <w:tabs>
          <w:tab w:val="right" w:pos="7776"/>
        </w:tabs>
        <w:adjustRightInd w:val="0"/>
        <w:snapToGrid w:val="0"/>
        <w:spacing w:line="460" w:lineRule="atLeast"/>
        <w:ind w:right="17" w:firstLine="560"/>
        <w:rPr>
          <w:rFonts w:ascii="仿宋_GB2312" w:eastAsia="仿宋_GB2312"/>
          <w:color w:val="000000"/>
          <w:sz w:val="28"/>
          <w:szCs w:val="28"/>
        </w:rPr>
      </w:pPr>
      <w:r>
        <w:rPr>
          <w:rFonts w:hint="eastAsia" w:ascii="仿宋_GB2312" w:eastAsia="仿宋_GB2312"/>
          <w:color w:val="000000"/>
          <w:sz w:val="28"/>
          <w:szCs w:val="28"/>
        </w:rPr>
        <w:t>2纲要</w:t>
      </w:r>
    </w:p>
    <w:p>
      <w:pPr>
        <w:tabs>
          <w:tab w:val="right" w:pos="7776"/>
        </w:tabs>
        <w:adjustRightInd w:val="0"/>
        <w:snapToGrid w:val="0"/>
        <w:spacing w:line="460" w:lineRule="atLeast"/>
        <w:ind w:right="17" w:firstLine="560"/>
        <w:rPr>
          <w:rFonts w:ascii="仿宋_GB2312" w:eastAsia="仿宋_GB2312"/>
          <w:color w:val="000000"/>
          <w:sz w:val="28"/>
          <w:szCs w:val="28"/>
        </w:rPr>
      </w:pPr>
      <w:r>
        <w:rPr>
          <w:rFonts w:hint="eastAsia" w:ascii="仿宋_GB2312" w:eastAsia="仿宋_GB2312"/>
          <w:color w:val="000000"/>
          <w:sz w:val="28"/>
          <w:szCs w:val="28"/>
        </w:rPr>
        <w:t>3批复</w:t>
      </w:r>
    </w:p>
    <w:p>
      <w:pPr>
        <w:tabs>
          <w:tab w:val="right" w:pos="7776"/>
        </w:tabs>
        <w:adjustRightInd w:val="0"/>
        <w:snapToGrid w:val="0"/>
        <w:spacing w:line="460" w:lineRule="atLeast"/>
        <w:ind w:right="17" w:firstLine="560"/>
        <w:rPr>
          <w:rFonts w:ascii="仿宋_GB2312" w:eastAsia="仿宋_GB2312"/>
          <w:color w:val="000000"/>
          <w:sz w:val="28"/>
          <w:szCs w:val="28"/>
        </w:rPr>
      </w:pPr>
      <w:r>
        <w:rPr>
          <w:rFonts w:hint="eastAsia" w:ascii="仿宋_GB2312" w:eastAsia="仿宋_GB2312"/>
          <w:color w:val="000000"/>
          <w:sz w:val="28"/>
          <w:szCs w:val="28"/>
        </w:rPr>
        <w:t>4合同</w:t>
      </w:r>
    </w:p>
    <w:p>
      <w:pPr>
        <w:tabs>
          <w:tab w:val="right" w:pos="7776"/>
        </w:tabs>
        <w:adjustRightInd w:val="0"/>
        <w:snapToGrid w:val="0"/>
        <w:spacing w:line="460" w:lineRule="atLeast"/>
        <w:ind w:right="17" w:firstLine="560"/>
        <w:rPr>
          <w:rFonts w:ascii="仿宋_GB2312" w:eastAsia="仿宋_GB2312"/>
          <w:color w:val="000000"/>
          <w:sz w:val="28"/>
          <w:szCs w:val="28"/>
        </w:rPr>
      </w:pPr>
      <w:r>
        <w:rPr>
          <w:rFonts w:hint="eastAsia" w:ascii="仿宋_GB2312" w:eastAsia="仿宋_GB2312"/>
          <w:color w:val="000000"/>
          <w:sz w:val="28"/>
          <w:szCs w:val="28"/>
        </w:rPr>
        <w:t>5承诺书委托书</w:t>
      </w:r>
    </w:p>
    <w:p>
      <w:pPr>
        <w:tabs>
          <w:tab w:val="right" w:pos="7776"/>
        </w:tabs>
        <w:adjustRightInd w:val="0"/>
        <w:snapToGrid w:val="0"/>
        <w:spacing w:line="460" w:lineRule="atLeast"/>
        <w:ind w:right="17" w:firstLine="560"/>
        <w:rPr>
          <w:rFonts w:ascii="仿宋_GB2312" w:eastAsia="仿宋_GB2312"/>
          <w:color w:val="000000"/>
          <w:sz w:val="28"/>
          <w:szCs w:val="28"/>
        </w:rPr>
      </w:pPr>
      <w:r>
        <w:rPr>
          <w:rFonts w:hint="eastAsia" w:ascii="仿宋_GB2312" w:eastAsia="仿宋_GB2312"/>
          <w:color w:val="000000"/>
          <w:sz w:val="28"/>
          <w:szCs w:val="28"/>
        </w:rPr>
        <w:t>6资质评估人员</w:t>
      </w: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r>
        <w:rPr>
          <w:rFonts w:hint="eastAsia" w:ascii="仿宋_GB2312" w:eastAsia="仿宋_GB2312"/>
          <w:color w:val="000000"/>
          <w:sz w:val="28"/>
          <w:szCs w:val="28"/>
        </w:rPr>
        <w:t xml:space="preserve"> </w:t>
      </w: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tabs>
          <w:tab w:val="right" w:pos="7776"/>
        </w:tabs>
        <w:adjustRightInd w:val="0"/>
        <w:snapToGrid w:val="0"/>
        <w:spacing w:line="460" w:lineRule="atLeast"/>
        <w:ind w:right="17" w:firstLine="560"/>
        <w:rPr>
          <w:rFonts w:ascii="仿宋_GB2312" w:eastAsia="仿宋_GB2312"/>
          <w:color w:val="000000"/>
          <w:sz w:val="28"/>
          <w:szCs w:val="28"/>
        </w:rPr>
      </w:pPr>
    </w:p>
    <w:p>
      <w:pPr>
        <w:pStyle w:val="2"/>
        <w:adjustRightInd w:val="0"/>
        <w:snapToGrid w:val="0"/>
        <w:spacing w:before="360" w:beforeLines="150" w:line="360" w:lineRule="auto"/>
        <w:ind w:firstLine="0"/>
        <w:rPr>
          <w:rFonts w:ascii="仿宋_GB2312" w:hAnsi="宋体" w:eastAsia="仿宋_GB2312"/>
          <w:b/>
          <w:bCs/>
          <w:i w:val="0"/>
          <w:iCs w:val="0"/>
          <w:sz w:val="36"/>
          <w:szCs w:val="36"/>
        </w:rPr>
        <w:sectPr>
          <w:footerReference r:id="rId10" w:type="default"/>
          <w:pgSz w:w="23814" w:h="16840" w:orient="landscape"/>
          <w:pgMar w:top="1797" w:right="1701" w:bottom="1797" w:left="1701" w:header="851" w:footer="992" w:gutter="0"/>
          <w:pgNumType w:start="1"/>
          <w:cols w:space="1366" w:num="2"/>
          <w:docGrid w:linePitch="312" w:charSpace="-3686"/>
        </w:sectPr>
      </w:pPr>
    </w:p>
    <w:p>
      <w:pPr>
        <w:pStyle w:val="2"/>
        <w:adjustRightInd w:val="0"/>
        <w:snapToGrid w:val="0"/>
        <w:spacing w:before="360" w:beforeLines="150" w:line="360" w:lineRule="auto"/>
        <w:ind w:firstLine="0"/>
        <w:rPr>
          <w:rFonts w:ascii="仿宋_GB2312" w:hAnsi="宋体" w:eastAsia="仿宋_GB2312"/>
          <w:b/>
          <w:bCs/>
          <w:i w:val="0"/>
          <w:iCs w:val="0"/>
          <w:sz w:val="36"/>
          <w:szCs w:val="36"/>
        </w:rPr>
      </w:pPr>
      <w:bookmarkStart w:id="0" w:name="_Toc15756"/>
      <w:r>
        <w:rPr>
          <w:rFonts w:hint="eastAsia" w:ascii="仿宋_GB2312" w:hAnsi="宋体" w:eastAsia="仿宋_GB2312"/>
          <w:b/>
          <w:bCs/>
          <w:i w:val="0"/>
          <w:iCs w:val="0"/>
          <w:sz w:val="36"/>
          <w:szCs w:val="36"/>
        </w:rPr>
        <w:fldChar w:fldCharType="begin"/>
      </w:r>
      <w:r>
        <w:rPr>
          <w:rFonts w:hint="eastAsia" w:ascii="仿宋_GB2312" w:hAnsi="宋体" w:eastAsia="仿宋_GB2312"/>
          <w:b/>
          <w:bCs/>
          <w:i w:val="0"/>
          <w:iCs w:val="0"/>
          <w:sz w:val="36"/>
          <w:szCs w:val="36"/>
        </w:rPr>
        <w:instrText xml:space="preserve"> = 1 \* Arabic </w:instrText>
      </w:r>
      <w:r>
        <w:rPr>
          <w:rFonts w:hint="eastAsia" w:ascii="仿宋_GB2312" w:hAnsi="宋体" w:eastAsia="仿宋_GB2312"/>
          <w:b/>
          <w:bCs/>
          <w:i w:val="0"/>
          <w:iCs w:val="0"/>
          <w:sz w:val="36"/>
          <w:szCs w:val="36"/>
        </w:rPr>
        <w:fldChar w:fldCharType="separate"/>
      </w:r>
      <w:bookmarkStart w:id="1" w:name="_Toc490563036"/>
      <w:bookmarkStart w:id="2" w:name="_Toc222307450"/>
      <w:r>
        <w:rPr>
          <w:rFonts w:hint="eastAsia" w:ascii="仿宋_GB2312" w:hAnsi="宋体" w:eastAsia="仿宋_GB2312"/>
          <w:b/>
          <w:bCs/>
          <w:i w:val="0"/>
          <w:iCs w:val="0"/>
          <w:sz w:val="36"/>
          <w:szCs w:val="36"/>
        </w:rPr>
        <w:t>1</w:t>
      </w:r>
      <w:r>
        <w:rPr>
          <w:rFonts w:hint="eastAsia" w:ascii="仿宋_GB2312" w:hAnsi="宋体" w:eastAsia="仿宋_GB2312"/>
          <w:b/>
          <w:bCs/>
          <w:i w:val="0"/>
          <w:iCs w:val="0"/>
          <w:sz w:val="36"/>
          <w:szCs w:val="36"/>
        </w:rPr>
        <w:fldChar w:fldCharType="end"/>
      </w:r>
      <w:bookmarkEnd w:id="1"/>
      <w:bookmarkEnd w:id="2"/>
      <w:r>
        <w:rPr>
          <w:rFonts w:hint="eastAsia" w:ascii="仿宋_GB2312" w:hAnsi="宋体" w:eastAsia="仿宋_GB2312"/>
          <w:b/>
          <w:bCs/>
          <w:i w:val="0"/>
          <w:iCs w:val="0"/>
          <w:sz w:val="36"/>
          <w:szCs w:val="36"/>
        </w:rPr>
        <w:t xml:space="preserve"> 前  言</w:t>
      </w:r>
      <w:bookmarkEnd w:id="0"/>
    </w:p>
    <w:p>
      <w:pPr>
        <w:pStyle w:val="3"/>
        <w:adjustRightInd w:val="0"/>
        <w:snapToGrid w:val="0"/>
        <w:spacing w:before="0" w:after="0" w:line="360" w:lineRule="auto"/>
        <w:rPr>
          <w:rFonts w:ascii="仿宋_GB2312" w:hAnsi="宋体" w:eastAsia="仿宋_GB2312"/>
          <w:b w:val="0"/>
          <w:bCs w:val="0"/>
          <w:color w:val="000000"/>
          <w:kern w:val="0"/>
        </w:rPr>
      </w:pPr>
      <w:bookmarkStart w:id="3" w:name="_Toc19555"/>
      <w:r>
        <w:rPr>
          <w:rFonts w:hint="eastAsia" w:ascii="仿宋_GB2312" w:hAnsi="宋体" w:eastAsia="仿宋_GB2312"/>
          <w:b w:val="0"/>
          <w:bCs w:val="0"/>
          <w:color w:val="000000"/>
          <w:kern w:val="0"/>
        </w:rPr>
        <w:t>1.1 任务由来</w:t>
      </w:r>
      <w:bookmarkEnd w:id="3"/>
    </w:p>
    <w:p>
      <w:pPr>
        <w:pStyle w:val="13"/>
        <w:spacing w:line="360" w:lineRule="auto"/>
        <w:rPr>
          <w:rFonts w:ascii="仿宋_GB2312" w:eastAsia="仿宋_GB2312"/>
          <w:color w:val="000000"/>
        </w:rPr>
      </w:pPr>
      <w:r>
        <w:rPr>
          <w:rFonts w:hint="eastAsia" w:ascii="仿宋_GB2312" w:eastAsia="仿宋_GB2312"/>
          <w:color w:val="000000"/>
        </w:rPr>
        <w:t>2022年3月重庆开源地质勘探有限公司受重庆綦江工业园区建设开发股份有限公司委托对扶欢循环经济产业园进行区域用地地质灾害危险性评估工作。</w:t>
      </w:r>
    </w:p>
    <w:p>
      <w:pPr>
        <w:pStyle w:val="3"/>
        <w:adjustRightInd w:val="0"/>
        <w:snapToGrid w:val="0"/>
        <w:spacing w:before="0" w:after="0" w:line="360" w:lineRule="auto"/>
        <w:rPr>
          <w:rFonts w:ascii="仿宋_GB2312" w:hAnsi="宋体" w:eastAsia="仿宋_GB2312"/>
          <w:b w:val="0"/>
          <w:bCs w:val="0"/>
          <w:color w:val="000000"/>
          <w:kern w:val="0"/>
        </w:rPr>
      </w:pPr>
      <w:bookmarkStart w:id="4" w:name="_Toc30379"/>
      <w:r>
        <w:rPr>
          <w:rFonts w:hint="eastAsia" w:ascii="仿宋_GB2312" w:hAnsi="宋体" w:eastAsia="仿宋_GB2312"/>
          <w:b w:val="0"/>
          <w:bCs w:val="0"/>
          <w:color w:val="000000"/>
          <w:kern w:val="0"/>
        </w:rPr>
        <w:t>1.2 评估目的与任务</w:t>
      </w:r>
      <w:bookmarkEnd w:id="4"/>
    </w:p>
    <w:p>
      <w:pPr>
        <w:pStyle w:val="13"/>
        <w:adjustRightInd w:val="0"/>
        <w:snapToGrid w:val="0"/>
        <w:spacing w:line="360" w:lineRule="auto"/>
        <w:rPr>
          <w:rFonts w:ascii="仿宋_GB2312" w:eastAsia="仿宋_GB2312"/>
          <w:color w:val="000000"/>
          <w:kern w:val="0"/>
        </w:rPr>
      </w:pPr>
      <w:r>
        <w:rPr>
          <w:rFonts w:hint="eastAsia" w:ascii="仿宋_GB2312" w:eastAsia="仿宋_GB2312"/>
          <w:color w:val="000000"/>
        </w:rPr>
        <w:t>本次地质评估目的：为该地块区域用地内</w:t>
      </w:r>
      <w:r>
        <w:rPr>
          <w:rFonts w:hint="eastAsia" w:ascii="仿宋_GB2312" w:eastAsia="仿宋_GB2312"/>
          <w:color w:val="000000"/>
          <w:szCs w:val="21"/>
        </w:rPr>
        <w:t>的减灾、防灾，</w:t>
      </w:r>
      <w:r>
        <w:rPr>
          <w:rFonts w:eastAsia="仿宋_GB2312"/>
        </w:rPr>
        <w:t>避免建设工程遭受地质灾害危害以及预防工程建设引发或加剧地质灾害的发生</w:t>
      </w:r>
      <w:r>
        <w:rPr>
          <w:rFonts w:hint="eastAsia" w:ascii="仿宋_GB2312" w:eastAsia="仿宋_GB2312"/>
          <w:color w:val="000000"/>
        </w:rPr>
        <w:t>，</w:t>
      </w:r>
      <w:r>
        <w:rPr>
          <w:rFonts w:eastAsia="仿宋_GB2312"/>
        </w:rPr>
        <w:t>为业主合理用地及行政主管部门的项目审批提供</w:t>
      </w:r>
      <w:r>
        <w:rPr>
          <w:rFonts w:hint="eastAsia" w:eastAsia="仿宋_GB2312"/>
        </w:rPr>
        <w:t>地质</w:t>
      </w:r>
      <w:r>
        <w:rPr>
          <w:rFonts w:eastAsia="仿宋_GB2312"/>
        </w:rPr>
        <w:t>依据。</w:t>
      </w:r>
      <w:r>
        <w:rPr>
          <w:rFonts w:hint="eastAsia" w:ascii="仿宋_GB2312" w:eastAsia="仿宋_GB2312"/>
          <w:color w:val="000000"/>
          <w:szCs w:val="36"/>
        </w:rPr>
        <w:t xml:space="preserve">评估的主要任务如下： </w:t>
      </w:r>
    </w:p>
    <w:p>
      <w:pPr>
        <w:spacing w:line="360" w:lineRule="auto"/>
        <w:ind w:firstLine="560" w:firstLineChars="200"/>
        <w:rPr>
          <w:rFonts w:ascii="宋体" w:hAnsi="宋体" w:eastAsia="仿宋_GB2312"/>
          <w:sz w:val="28"/>
          <w:szCs w:val="28"/>
        </w:rPr>
      </w:pPr>
      <w:r>
        <w:rPr>
          <w:rFonts w:ascii="宋体" w:hAnsi="宋体" w:eastAsia="仿宋_GB2312"/>
          <w:sz w:val="28"/>
          <w:szCs w:val="28"/>
        </w:rPr>
        <w:t>①基本</w:t>
      </w:r>
      <w:r>
        <w:rPr>
          <w:rFonts w:hint="eastAsia" w:ascii="宋体" w:hAnsi="宋体" w:eastAsia="仿宋_GB2312"/>
          <w:sz w:val="28"/>
          <w:szCs w:val="28"/>
        </w:rPr>
        <w:t>查明区内地质环境条件</w:t>
      </w:r>
      <w:r>
        <w:rPr>
          <w:rFonts w:ascii="宋体" w:hAnsi="宋体" w:eastAsia="仿宋_GB2312"/>
          <w:sz w:val="28"/>
          <w:szCs w:val="28"/>
        </w:rPr>
        <w:t>；</w:t>
      </w:r>
    </w:p>
    <w:p>
      <w:pPr>
        <w:spacing w:line="360" w:lineRule="auto"/>
        <w:ind w:firstLine="560" w:firstLineChars="200"/>
        <w:rPr>
          <w:rFonts w:ascii="宋体" w:hAnsi="宋体" w:eastAsia="仿宋_GB2312"/>
          <w:sz w:val="28"/>
          <w:szCs w:val="28"/>
        </w:rPr>
      </w:pPr>
      <w:r>
        <w:rPr>
          <w:rFonts w:ascii="宋体" w:hAnsi="宋体" w:eastAsia="仿宋_GB2312"/>
          <w:sz w:val="28"/>
          <w:szCs w:val="28"/>
        </w:rPr>
        <w:t>②基本</w:t>
      </w:r>
      <w:r>
        <w:rPr>
          <w:rFonts w:hint="eastAsia" w:ascii="宋体" w:hAnsi="宋体" w:eastAsia="仿宋_GB2312"/>
          <w:sz w:val="28"/>
          <w:szCs w:val="28"/>
        </w:rPr>
        <w:t>查明区内主要地质环境问题的分布特征</w:t>
      </w:r>
      <w:r>
        <w:rPr>
          <w:rFonts w:ascii="宋体" w:hAnsi="宋体" w:eastAsia="仿宋_GB2312"/>
          <w:sz w:val="28"/>
          <w:szCs w:val="28"/>
        </w:rPr>
        <w:t>；</w:t>
      </w:r>
    </w:p>
    <w:p>
      <w:pPr>
        <w:spacing w:line="360" w:lineRule="auto"/>
        <w:ind w:firstLine="560" w:firstLineChars="200"/>
        <w:rPr>
          <w:rFonts w:ascii="宋体" w:hAnsi="宋体" w:eastAsia="仿宋_GB2312"/>
          <w:sz w:val="28"/>
          <w:szCs w:val="28"/>
        </w:rPr>
      </w:pPr>
      <w:r>
        <w:rPr>
          <w:rFonts w:ascii="宋体" w:hAnsi="宋体" w:eastAsia="仿宋_GB2312"/>
          <w:sz w:val="28"/>
          <w:szCs w:val="28"/>
        </w:rPr>
        <w:t>③</w:t>
      </w:r>
      <w:r>
        <w:rPr>
          <w:rFonts w:hint="eastAsia" w:ascii="宋体" w:hAnsi="宋体" w:eastAsia="仿宋_GB2312"/>
          <w:sz w:val="28"/>
          <w:szCs w:val="28"/>
        </w:rPr>
        <w:t>对区内地质灾害发生可能性进行分析评价</w:t>
      </w:r>
      <w:r>
        <w:rPr>
          <w:rFonts w:ascii="宋体" w:hAnsi="宋体" w:eastAsia="仿宋_GB2312"/>
          <w:sz w:val="28"/>
          <w:szCs w:val="28"/>
        </w:rPr>
        <w:t>；</w:t>
      </w:r>
    </w:p>
    <w:p>
      <w:pPr>
        <w:spacing w:line="360" w:lineRule="auto"/>
        <w:ind w:firstLine="560" w:firstLineChars="200"/>
        <w:rPr>
          <w:rFonts w:ascii="宋体" w:hAnsi="宋体" w:eastAsia="仿宋_GB2312"/>
          <w:sz w:val="28"/>
          <w:szCs w:val="28"/>
        </w:rPr>
      </w:pPr>
      <w:r>
        <w:rPr>
          <w:rFonts w:ascii="宋体" w:hAnsi="宋体" w:eastAsia="仿宋_GB2312"/>
          <w:sz w:val="28"/>
          <w:szCs w:val="28"/>
        </w:rPr>
        <w:t>④</w:t>
      </w:r>
      <w:r>
        <w:rPr>
          <w:rFonts w:hint="eastAsia" w:ascii="宋体" w:hAnsi="宋体" w:eastAsia="仿宋_GB2312"/>
          <w:sz w:val="28"/>
          <w:szCs w:val="28"/>
        </w:rPr>
        <w:t>根据规划功能分区，对评估内区域用地地质灾害危险性进行分区评价；</w:t>
      </w:r>
    </w:p>
    <w:p>
      <w:pPr>
        <w:pStyle w:val="13"/>
        <w:adjustRightInd w:val="0"/>
        <w:snapToGrid w:val="0"/>
        <w:spacing w:line="360" w:lineRule="auto"/>
        <w:rPr>
          <w:rFonts w:eastAsia="仿宋_GB2312"/>
        </w:rPr>
      </w:pPr>
      <w:r>
        <w:rPr>
          <w:rFonts w:hint="eastAsia" w:eastAsia="仿宋_GB2312"/>
        </w:rPr>
        <w:t>⑤针对区内存在的地质环境问题，提出相应的地质灾害防治措施建议。1.13+0.45</w:t>
      </w:r>
    </w:p>
    <w:p>
      <w:pPr>
        <w:pStyle w:val="13"/>
        <w:adjustRightInd w:val="0"/>
        <w:snapToGrid w:val="0"/>
        <w:spacing w:line="360" w:lineRule="auto"/>
        <w:rPr>
          <w:rFonts w:eastAsia="仿宋_GB2312"/>
        </w:rPr>
      </w:pPr>
      <w:bookmarkStart w:id="5" w:name="_Toc11799"/>
      <w:r>
        <w:rPr>
          <w:rFonts w:hint="eastAsia" w:ascii="仿宋_GB2312" w:eastAsia="仿宋_GB2312"/>
          <w:color w:val="000000"/>
          <w:kern w:val="0"/>
        </w:rPr>
        <w:t>1.3 调查评估范围</w:t>
      </w:r>
      <w:bookmarkEnd w:id="5"/>
    </w:p>
    <w:p>
      <w:pPr>
        <w:pStyle w:val="13"/>
        <w:adjustRightInd w:val="0"/>
        <w:snapToGrid w:val="0"/>
        <w:spacing w:line="360" w:lineRule="auto"/>
        <w:rPr>
          <w:rFonts w:eastAsia="仿宋_GB2312"/>
        </w:rPr>
      </w:pPr>
      <w:r>
        <w:rPr>
          <w:rFonts w:hint="eastAsia" w:eastAsia="仿宋_GB2312"/>
        </w:rPr>
        <w:t>重庆市綦江区扶欢循环经济产业园规划总面积约5.24km</w:t>
      </w:r>
      <w:r>
        <w:rPr>
          <w:rFonts w:hint="eastAsia" w:eastAsia="仿宋_GB2312"/>
          <w:vertAlign w:val="superscript"/>
        </w:rPr>
        <w:t>2</w:t>
      </w:r>
      <w:r>
        <w:rPr>
          <w:rFonts w:hint="eastAsia" w:eastAsia="仿宋_GB2312"/>
        </w:rPr>
        <w:t>，前期由我公司已作其中煤电园部分面积3.66km</w:t>
      </w:r>
      <w:r>
        <w:rPr>
          <w:rFonts w:hint="eastAsia" w:eastAsia="仿宋_GB2312"/>
          <w:vertAlign w:val="superscript"/>
        </w:rPr>
        <w:t>2</w:t>
      </w:r>
      <w:r>
        <w:rPr>
          <w:rFonts w:hint="eastAsia" w:eastAsia="仿宋_GB2312"/>
        </w:rPr>
        <w:t>，本次评估为产业园未作评估部分，面积为1.58km</w:t>
      </w:r>
      <w:r>
        <w:rPr>
          <w:rFonts w:hint="eastAsia" w:eastAsia="仿宋_GB2312"/>
          <w:vertAlign w:val="superscript"/>
        </w:rPr>
        <w:t>2</w:t>
      </w:r>
      <w:r>
        <w:rPr>
          <w:rFonts w:hint="eastAsia" w:eastAsia="仿宋_GB2312"/>
        </w:rPr>
        <w:t>。其中北西侧地块面积1.13km</w:t>
      </w:r>
      <w:r>
        <w:rPr>
          <w:rFonts w:hint="eastAsia" w:eastAsia="仿宋_GB2312"/>
          <w:vertAlign w:val="superscript"/>
        </w:rPr>
        <w:t>2</w:t>
      </w:r>
      <w:r>
        <w:rPr>
          <w:rFonts w:hint="eastAsia" w:eastAsia="仿宋_GB2312"/>
        </w:rPr>
        <w:t>，南东侧地块面积0.45km</w:t>
      </w:r>
      <w:r>
        <w:rPr>
          <w:rFonts w:hint="eastAsia" w:eastAsia="仿宋_GB2312"/>
          <w:vertAlign w:val="superscript"/>
        </w:rPr>
        <w:t>2</w:t>
      </w:r>
      <w:r>
        <w:rPr>
          <w:rFonts w:hint="eastAsia" w:eastAsia="仿宋_GB2312"/>
        </w:rPr>
        <w:t xml:space="preserve"> </w:t>
      </w:r>
      <w:r>
        <w:rPr>
          <w:rFonts w:hint="eastAsia" w:eastAsia="仿宋_GB2312"/>
          <w:vertAlign w:val="subscript"/>
        </w:rPr>
        <w:t>。</w:t>
      </w:r>
      <w:r>
        <w:rPr>
          <w:rFonts w:hint="eastAsia" w:eastAsia="仿宋_GB2312"/>
        </w:rPr>
        <w:t>本次评估范围与已作评估的煤电园部分相互关系见下图：</w:t>
      </w:r>
    </w:p>
    <w:p>
      <w:pPr>
        <w:pStyle w:val="13"/>
        <w:adjustRightInd w:val="0"/>
        <w:snapToGrid w:val="0"/>
        <w:spacing w:line="360" w:lineRule="auto"/>
        <w:rPr>
          <w:rFonts w:eastAsia="仿宋_GB2312"/>
        </w:rPr>
      </w:pPr>
    </w:p>
    <w:p>
      <w:pPr>
        <w:pStyle w:val="13"/>
        <w:adjustRightInd w:val="0"/>
        <w:snapToGrid w:val="0"/>
        <w:spacing w:line="360" w:lineRule="auto"/>
        <w:rPr>
          <w:rFonts w:eastAsia="仿宋_GB2312"/>
        </w:rPr>
      </w:pPr>
      <w:r>
        <w:drawing>
          <wp:inline distT="0" distB="0" distL="114300" distR="114300">
            <wp:extent cx="4410075" cy="43529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4410075" cy="4352925"/>
                    </a:xfrm>
                    <a:prstGeom prst="rect">
                      <a:avLst/>
                    </a:prstGeom>
                    <a:noFill/>
                    <a:ln>
                      <a:noFill/>
                    </a:ln>
                  </pic:spPr>
                </pic:pic>
              </a:graphicData>
            </a:graphic>
          </wp:inline>
        </w:drawing>
      </w:r>
    </w:p>
    <w:p>
      <w:pPr>
        <w:pStyle w:val="13"/>
        <w:adjustRightInd w:val="0"/>
        <w:snapToGrid w:val="0"/>
        <w:spacing w:line="360" w:lineRule="auto"/>
        <w:jc w:val="center"/>
        <w:rPr>
          <w:rFonts w:eastAsia="仿宋_GB2312"/>
        </w:rPr>
      </w:pPr>
      <w:r>
        <w:rPr>
          <w:rFonts w:hint="eastAsia" w:eastAsia="仿宋_GB2312"/>
        </w:rPr>
        <w:t>图1.3-1   煤电园部分</w:t>
      </w:r>
      <w:r>
        <w:rPr>
          <w:rFonts w:hint="eastAsia" w:eastAsia="仿宋_GB2312"/>
          <w:lang w:val="en-US" w:eastAsia="zh-CN"/>
        </w:rPr>
        <w:t>与本次评估</w:t>
      </w:r>
      <w:r>
        <w:rPr>
          <w:rFonts w:hint="eastAsia" w:eastAsia="仿宋_GB2312"/>
        </w:rPr>
        <w:t>相互关系图</w:t>
      </w:r>
    </w:p>
    <w:p>
      <w:pPr>
        <w:pStyle w:val="13"/>
        <w:adjustRightInd w:val="0"/>
        <w:snapToGrid w:val="0"/>
        <w:spacing w:line="360" w:lineRule="auto"/>
        <w:rPr>
          <w:rFonts w:eastAsia="仿宋_GB2312"/>
        </w:rPr>
      </w:pPr>
    </w:p>
    <w:p>
      <w:pPr>
        <w:adjustRightInd w:val="0"/>
        <w:snapToGrid w:val="0"/>
        <w:spacing w:line="360" w:lineRule="auto"/>
        <w:ind w:firstLine="560" w:firstLineChars="200"/>
        <w:rPr>
          <w:rFonts w:ascii="仿宋_GB2312" w:eastAsia="仿宋_GB2312"/>
          <w:kern w:val="44"/>
          <w:sz w:val="28"/>
        </w:rPr>
      </w:pPr>
      <w:r>
        <w:rPr>
          <w:rFonts w:hint="eastAsia" w:ascii="宋体" w:hAnsi="宋体" w:eastAsia="仿宋_GB2312"/>
          <w:sz w:val="28"/>
          <w:szCs w:val="28"/>
        </w:rPr>
        <w:t>本次评估地块分为北</w:t>
      </w:r>
      <w:r>
        <w:rPr>
          <w:rFonts w:hint="eastAsia" w:ascii="宋体" w:hAnsi="宋体" w:eastAsiaTheme="minorEastAsia"/>
          <w:color w:val="000000" w:themeColor="text1"/>
          <w:sz w:val="28"/>
          <w:szCs w:val="28"/>
        </w:rPr>
        <w:t>西</w:t>
      </w:r>
      <w:r>
        <w:rPr>
          <w:rFonts w:hint="eastAsia" w:ascii="宋体" w:hAnsi="宋体" w:eastAsia="仿宋_GB2312"/>
          <w:sz w:val="28"/>
          <w:szCs w:val="28"/>
        </w:rPr>
        <w:t>侧地块和南东侧地块。其</w:t>
      </w:r>
      <w:r>
        <w:rPr>
          <w:rFonts w:hint="eastAsia" w:ascii="仿宋_GB2312" w:hAnsi="宋体" w:eastAsia="仿宋_GB2312"/>
          <w:color w:val="000000"/>
          <w:sz w:val="28"/>
          <w:szCs w:val="28"/>
        </w:rPr>
        <w:t>主要角点坐标见表1.3-1。本评估报告中高程采用1985年国家高程系，坐标系统采用2000国家坐标系。</w:t>
      </w:r>
      <w:r>
        <w:rPr>
          <w:rFonts w:hint="eastAsia" w:ascii="仿宋_GB2312" w:eastAsia="仿宋_GB2312"/>
          <w:kern w:val="44"/>
          <w:sz w:val="28"/>
        </w:rPr>
        <w:t>评估范围在区域用地范围外扩</w:t>
      </w:r>
      <w:r>
        <w:rPr>
          <w:rFonts w:ascii="仿宋_GB2312" w:eastAsia="仿宋_GB2312"/>
          <w:kern w:val="44"/>
          <w:sz w:val="28"/>
        </w:rPr>
        <w:t>3</w:t>
      </w:r>
      <w:r>
        <w:rPr>
          <w:rFonts w:hint="eastAsia" w:ascii="仿宋_GB2312" w:eastAsia="仿宋_GB2312"/>
          <w:kern w:val="44"/>
          <w:sz w:val="28"/>
        </w:rPr>
        <w:t>0m～</w:t>
      </w:r>
      <w:r>
        <w:rPr>
          <w:rFonts w:ascii="仿宋_GB2312" w:eastAsia="仿宋_GB2312"/>
          <w:kern w:val="44"/>
          <w:sz w:val="28"/>
        </w:rPr>
        <w:t>2</w:t>
      </w:r>
      <w:r>
        <w:rPr>
          <w:rFonts w:hint="eastAsia" w:ascii="仿宋_GB2312" w:eastAsia="仿宋_GB2312"/>
          <w:kern w:val="44"/>
          <w:sz w:val="28"/>
        </w:rPr>
        <w:t>00m，包括周边不良地质现象与其影响范围，评估区面积约2.5</w:t>
      </w:r>
      <w:r>
        <w:rPr>
          <w:rFonts w:ascii="仿宋_GB2312" w:eastAsia="仿宋_GB2312"/>
          <w:kern w:val="44"/>
          <w:sz w:val="28"/>
        </w:rPr>
        <w:t>km</w:t>
      </w:r>
      <w:r>
        <w:rPr>
          <w:rFonts w:hint="eastAsia" w:ascii="仿宋_GB2312" w:eastAsia="仿宋_GB2312"/>
          <w:kern w:val="44"/>
          <w:sz w:val="28"/>
          <w:vertAlign w:val="superscript"/>
        </w:rPr>
        <w:t>2</w:t>
      </w:r>
      <w:r>
        <w:rPr>
          <w:rFonts w:hint="eastAsia" w:ascii="仿宋_GB2312" w:eastAsia="仿宋_GB2312"/>
          <w:kern w:val="44"/>
          <w:sz w:val="28"/>
        </w:rPr>
        <w:t>。</w:t>
      </w:r>
    </w:p>
    <w:p>
      <w:pPr>
        <w:adjustRightInd w:val="0"/>
        <w:snapToGrid w:val="0"/>
        <w:spacing w:line="360" w:lineRule="auto"/>
        <w:ind w:firstLine="482" w:firstLineChars="200"/>
        <w:rPr>
          <w:rFonts w:ascii="仿宋_GB2312" w:eastAsia="仿宋_GB2312"/>
          <w:b/>
          <w:kern w:val="0"/>
          <w:sz w:val="24"/>
        </w:rPr>
      </w:pPr>
    </w:p>
    <w:p>
      <w:pPr>
        <w:adjustRightInd w:val="0"/>
        <w:snapToGrid w:val="0"/>
        <w:spacing w:line="360" w:lineRule="auto"/>
        <w:ind w:firstLine="482" w:firstLineChars="200"/>
        <w:rPr>
          <w:rFonts w:ascii="仿宋_GB2312" w:eastAsia="仿宋_GB2312"/>
          <w:b/>
          <w:kern w:val="0"/>
          <w:sz w:val="24"/>
        </w:rPr>
      </w:pPr>
    </w:p>
    <w:p>
      <w:pPr>
        <w:adjustRightInd w:val="0"/>
        <w:snapToGrid w:val="0"/>
        <w:spacing w:line="360" w:lineRule="auto"/>
        <w:ind w:firstLine="482" w:firstLineChars="200"/>
        <w:rPr>
          <w:rFonts w:ascii="仿宋_GB2312" w:eastAsia="仿宋_GB2312"/>
          <w:b/>
          <w:kern w:val="0"/>
          <w:sz w:val="24"/>
        </w:rPr>
      </w:pPr>
    </w:p>
    <w:p>
      <w:pPr>
        <w:adjustRightInd w:val="0"/>
        <w:snapToGrid w:val="0"/>
        <w:spacing w:line="360" w:lineRule="auto"/>
        <w:ind w:firstLine="482" w:firstLineChars="200"/>
        <w:rPr>
          <w:rFonts w:ascii="仿宋_GB2312" w:eastAsia="仿宋_GB2312"/>
          <w:b/>
          <w:kern w:val="0"/>
          <w:sz w:val="24"/>
        </w:rPr>
      </w:pPr>
    </w:p>
    <w:p>
      <w:pPr>
        <w:adjustRightInd w:val="0"/>
        <w:snapToGrid w:val="0"/>
        <w:spacing w:line="360" w:lineRule="auto"/>
        <w:ind w:firstLine="482" w:firstLineChars="200"/>
        <w:rPr>
          <w:rFonts w:ascii="仿宋_GB2312" w:eastAsia="仿宋_GB2312"/>
          <w:b/>
          <w:kern w:val="0"/>
          <w:sz w:val="24"/>
        </w:rPr>
      </w:pPr>
    </w:p>
    <w:p>
      <w:pPr>
        <w:adjustRightInd w:val="0"/>
        <w:snapToGrid w:val="0"/>
        <w:spacing w:line="360" w:lineRule="auto"/>
        <w:ind w:firstLine="482" w:firstLineChars="200"/>
        <w:rPr>
          <w:rFonts w:ascii="仿宋_GB2312" w:eastAsia="仿宋_GB2312"/>
          <w:b/>
          <w:kern w:val="0"/>
          <w:sz w:val="24"/>
        </w:rPr>
      </w:pPr>
    </w:p>
    <w:p>
      <w:pPr>
        <w:adjustRightInd w:val="0"/>
        <w:snapToGrid w:val="0"/>
        <w:spacing w:line="360" w:lineRule="auto"/>
        <w:ind w:firstLine="482" w:firstLineChars="200"/>
        <w:rPr>
          <w:rFonts w:ascii="仿宋_GB2312" w:eastAsia="仿宋_GB2312"/>
          <w:kern w:val="0"/>
          <w:szCs w:val="21"/>
        </w:rPr>
      </w:pPr>
      <w:r>
        <w:rPr>
          <w:rFonts w:hint="eastAsia" w:ascii="仿宋_GB2312" w:eastAsia="仿宋_GB2312"/>
          <w:b/>
          <w:kern w:val="0"/>
          <w:sz w:val="24"/>
        </w:rPr>
        <w:t>表1.3-1  北西侧地块主要拐点坐标一览表</w:t>
      </w:r>
      <w:r>
        <w:rPr>
          <w:rFonts w:hint="eastAsia" w:ascii="仿宋_GB2312" w:eastAsia="仿宋_GB2312"/>
          <w:b/>
          <w:i/>
          <w:kern w:val="0"/>
          <w:sz w:val="28"/>
          <w:szCs w:val="28"/>
        </w:rPr>
        <w:t xml:space="preserve">   </w:t>
      </w:r>
    </w:p>
    <w:tbl>
      <w:tblPr>
        <w:tblStyle w:val="30"/>
        <w:tblW w:w="4782" w:type="pct"/>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1694"/>
        <w:gridCol w:w="1838"/>
        <w:gridCol w:w="1129"/>
        <w:gridCol w:w="1694"/>
        <w:gridCol w:w="18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05" w:type="pct"/>
            <w:vMerge w:val="restart"/>
            <w:tcBorders>
              <w:top w:val="single" w:color="auto" w:sz="12" w:space="0"/>
            </w:tcBorders>
            <w:vAlign w:val="center"/>
          </w:tcPr>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角点</w:t>
            </w:r>
          </w:p>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编号</w:t>
            </w:r>
          </w:p>
        </w:tc>
        <w:tc>
          <w:tcPr>
            <w:tcW w:w="1895" w:type="pct"/>
            <w:gridSpan w:val="2"/>
            <w:tcBorders>
              <w:top w:val="single" w:color="auto" w:sz="12" w:space="0"/>
              <w:bottom w:val="single" w:color="auto" w:sz="4" w:space="0"/>
            </w:tcBorders>
            <w:vAlign w:val="center"/>
          </w:tcPr>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2000国家坐标系</w:t>
            </w:r>
          </w:p>
        </w:tc>
        <w:tc>
          <w:tcPr>
            <w:tcW w:w="606" w:type="pct"/>
            <w:vMerge w:val="restart"/>
            <w:tcBorders>
              <w:top w:val="single" w:color="auto" w:sz="12" w:space="0"/>
            </w:tcBorders>
          </w:tcPr>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角点</w:t>
            </w:r>
          </w:p>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编号</w:t>
            </w:r>
          </w:p>
        </w:tc>
        <w:tc>
          <w:tcPr>
            <w:tcW w:w="1892" w:type="pct"/>
            <w:gridSpan w:val="2"/>
            <w:tcBorders>
              <w:top w:val="single" w:color="auto" w:sz="12" w:space="0"/>
              <w:bottom w:val="single" w:color="auto" w:sz="4" w:space="0"/>
            </w:tcBorders>
            <w:vAlign w:val="center"/>
          </w:tcPr>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2000国家坐标系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605" w:type="pct"/>
            <w:vMerge w:val="continue"/>
            <w:tcBorders>
              <w:bottom w:val="double" w:color="auto" w:sz="4" w:space="0"/>
            </w:tcBorders>
            <w:vAlign w:val="center"/>
          </w:tcPr>
          <w:p>
            <w:pPr>
              <w:adjustRightInd w:val="0"/>
              <w:snapToGrid w:val="0"/>
              <w:spacing w:line="240" w:lineRule="atLeast"/>
              <w:jc w:val="center"/>
              <w:rPr>
                <w:rFonts w:ascii="仿宋" w:hAnsi="仿宋" w:eastAsia="仿宋" w:cs="仿宋"/>
                <w:color w:val="000000"/>
                <w:sz w:val="24"/>
              </w:rPr>
            </w:pPr>
          </w:p>
        </w:tc>
        <w:tc>
          <w:tcPr>
            <w:tcW w:w="909" w:type="pct"/>
            <w:tcBorders>
              <w:top w:val="single" w:color="auto" w:sz="4" w:space="0"/>
              <w:bottom w:val="double" w:color="auto" w:sz="4" w:space="0"/>
            </w:tcBorders>
            <w:vAlign w:val="center"/>
          </w:tcPr>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X</w:t>
            </w:r>
          </w:p>
        </w:tc>
        <w:tc>
          <w:tcPr>
            <w:tcW w:w="986" w:type="pct"/>
            <w:tcBorders>
              <w:top w:val="single" w:color="auto" w:sz="4" w:space="0"/>
              <w:bottom w:val="double" w:color="auto" w:sz="4" w:space="0"/>
            </w:tcBorders>
            <w:vAlign w:val="center"/>
          </w:tcPr>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Y</w:t>
            </w:r>
          </w:p>
        </w:tc>
        <w:tc>
          <w:tcPr>
            <w:tcW w:w="606" w:type="pct"/>
            <w:vMerge w:val="continue"/>
            <w:tcBorders>
              <w:bottom w:val="double" w:color="auto" w:sz="4" w:space="0"/>
            </w:tcBorders>
          </w:tcPr>
          <w:p>
            <w:pPr>
              <w:adjustRightInd w:val="0"/>
              <w:snapToGrid w:val="0"/>
              <w:spacing w:line="240" w:lineRule="atLeast"/>
              <w:jc w:val="center"/>
              <w:rPr>
                <w:rFonts w:ascii="仿宋" w:hAnsi="仿宋" w:eastAsia="仿宋" w:cs="仿宋"/>
                <w:color w:val="000000"/>
                <w:sz w:val="24"/>
              </w:rPr>
            </w:pPr>
          </w:p>
        </w:tc>
        <w:tc>
          <w:tcPr>
            <w:tcW w:w="909" w:type="pct"/>
            <w:tcBorders>
              <w:top w:val="single" w:color="auto" w:sz="4" w:space="0"/>
              <w:bottom w:val="double" w:color="auto" w:sz="4" w:space="0"/>
            </w:tcBorders>
            <w:vAlign w:val="center"/>
          </w:tcPr>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X</w:t>
            </w:r>
          </w:p>
        </w:tc>
        <w:tc>
          <w:tcPr>
            <w:tcW w:w="983" w:type="pct"/>
            <w:tcBorders>
              <w:top w:val="single" w:color="auto" w:sz="4" w:space="0"/>
              <w:bottom w:val="double" w:color="auto" w:sz="4" w:space="0"/>
            </w:tcBorders>
            <w:vAlign w:val="center"/>
          </w:tcPr>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05" w:type="pct"/>
            <w:tcBorders>
              <w:top w:val="double" w:color="auto" w:sz="4" w:space="0"/>
            </w:tcBorders>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G1</w:t>
            </w:r>
          </w:p>
        </w:tc>
        <w:tc>
          <w:tcPr>
            <w:tcW w:w="1694" w:type="dxa"/>
            <w:tcBorders>
              <w:top w:val="double" w:color="auto" w:sz="4" w:space="0"/>
            </w:tcBorders>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3191535.841</w:t>
            </w:r>
          </w:p>
        </w:tc>
        <w:tc>
          <w:tcPr>
            <w:tcW w:w="1838" w:type="dxa"/>
            <w:tcBorders>
              <w:top w:val="double" w:color="auto" w:sz="4" w:space="0"/>
            </w:tcBorders>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36377943.18</w:t>
            </w:r>
          </w:p>
        </w:tc>
        <w:tc>
          <w:tcPr>
            <w:tcW w:w="606" w:type="pct"/>
            <w:tcBorders>
              <w:top w:val="double" w:color="auto" w:sz="4" w:space="0"/>
            </w:tcBorders>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G14</w:t>
            </w:r>
          </w:p>
        </w:tc>
        <w:tc>
          <w:tcPr>
            <w:tcW w:w="1694" w:type="dxa"/>
            <w:tcBorders>
              <w:top w:val="double" w:color="auto" w:sz="4" w:space="0"/>
            </w:tcBorders>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3193084.435</w:t>
            </w:r>
          </w:p>
        </w:tc>
        <w:tc>
          <w:tcPr>
            <w:tcW w:w="1832" w:type="dxa"/>
            <w:tcBorders>
              <w:top w:val="double" w:color="auto" w:sz="4" w:space="0"/>
            </w:tcBorders>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36379821.33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G2</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3191895.975</w:t>
            </w:r>
          </w:p>
        </w:tc>
        <w:tc>
          <w:tcPr>
            <w:tcW w:w="1838"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36378920.51</w:t>
            </w:r>
          </w:p>
        </w:tc>
        <w:tc>
          <w:tcPr>
            <w:tcW w:w="606"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G15</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3193138.118</w:t>
            </w:r>
          </w:p>
        </w:tc>
        <w:tc>
          <w:tcPr>
            <w:tcW w:w="1832"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36379841.92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G3</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3191793.708</w:t>
            </w:r>
          </w:p>
        </w:tc>
        <w:tc>
          <w:tcPr>
            <w:tcW w:w="1838"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36378961.85</w:t>
            </w:r>
          </w:p>
        </w:tc>
        <w:tc>
          <w:tcPr>
            <w:tcW w:w="606"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G16</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3193188.438</w:t>
            </w:r>
          </w:p>
        </w:tc>
        <w:tc>
          <w:tcPr>
            <w:tcW w:w="1832"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36379786.7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G4</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3191859.604</w:t>
            </w:r>
          </w:p>
        </w:tc>
        <w:tc>
          <w:tcPr>
            <w:tcW w:w="1838"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36379141.31</w:t>
            </w:r>
          </w:p>
        </w:tc>
        <w:tc>
          <w:tcPr>
            <w:tcW w:w="606"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G17</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3192970.87</w:t>
            </w:r>
          </w:p>
        </w:tc>
        <w:tc>
          <w:tcPr>
            <w:tcW w:w="1832"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36379510.14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G5</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3192050.164</w:t>
            </w:r>
          </w:p>
        </w:tc>
        <w:tc>
          <w:tcPr>
            <w:tcW w:w="1838"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36379133.49</w:t>
            </w:r>
          </w:p>
        </w:tc>
        <w:tc>
          <w:tcPr>
            <w:tcW w:w="606"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G18</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3192981.052</w:t>
            </w:r>
          </w:p>
        </w:tc>
        <w:tc>
          <w:tcPr>
            <w:tcW w:w="1832"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36379457.48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G6</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3192211.657</w:t>
            </w:r>
          </w:p>
        </w:tc>
        <w:tc>
          <w:tcPr>
            <w:tcW w:w="1838"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36379176.65</w:t>
            </w:r>
          </w:p>
        </w:tc>
        <w:tc>
          <w:tcPr>
            <w:tcW w:w="606"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G19</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3193083.314</w:t>
            </w:r>
          </w:p>
        </w:tc>
        <w:tc>
          <w:tcPr>
            <w:tcW w:w="1832"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36379407.89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G7</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3192799.731</w:t>
            </w:r>
          </w:p>
        </w:tc>
        <w:tc>
          <w:tcPr>
            <w:tcW w:w="1838"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36379422.94</w:t>
            </w:r>
          </w:p>
        </w:tc>
        <w:tc>
          <w:tcPr>
            <w:tcW w:w="606"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G20</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3192565.027</w:t>
            </w:r>
          </w:p>
        </w:tc>
        <w:tc>
          <w:tcPr>
            <w:tcW w:w="1832"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36378465.2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G8</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3192799.731</w:t>
            </w:r>
          </w:p>
        </w:tc>
        <w:tc>
          <w:tcPr>
            <w:tcW w:w="1838"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36379745.78</w:t>
            </w:r>
          </w:p>
        </w:tc>
        <w:tc>
          <w:tcPr>
            <w:tcW w:w="606"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G21</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3192047.672</w:t>
            </w:r>
          </w:p>
        </w:tc>
        <w:tc>
          <w:tcPr>
            <w:tcW w:w="1832"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36378173.98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G9</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3192915.34</w:t>
            </w:r>
          </w:p>
        </w:tc>
        <w:tc>
          <w:tcPr>
            <w:tcW w:w="1838"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36379785.52</w:t>
            </w:r>
          </w:p>
        </w:tc>
        <w:tc>
          <w:tcPr>
            <w:tcW w:w="606"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G22</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3191951.076</w:t>
            </w:r>
          </w:p>
        </w:tc>
        <w:tc>
          <w:tcPr>
            <w:tcW w:w="1832"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36378130.61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G10</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3192954.706</w:t>
            </w:r>
          </w:p>
        </w:tc>
        <w:tc>
          <w:tcPr>
            <w:tcW w:w="1838"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36379781.04</w:t>
            </w:r>
          </w:p>
        </w:tc>
        <w:tc>
          <w:tcPr>
            <w:tcW w:w="606"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G23</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3191722.173</w:t>
            </w:r>
          </w:p>
        </w:tc>
        <w:tc>
          <w:tcPr>
            <w:tcW w:w="1832"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36377972.47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G11</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3192965.442</w:t>
            </w:r>
          </w:p>
        </w:tc>
        <w:tc>
          <w:tcPr>
            <w:tcW w:w="1838"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36379801.64</w:t>
            </w:r>
          </w:p>
        </w:tc>
        <w:tc>
          <w:tcPr>
            <w:tcW w:w="606"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G24</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3191661.713</w:t>
            </w:r>
          </w:p>
        </w:tc>
        <w:tc>
          <w:tcPr>
            <w:tcW w:w="1832"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36377936.6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G12</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3193047.187</w:t>
            </w:r>
          </w:p>
        </w:tc>
        <w:tc>
          <w:tcPr>
            <w:tcW w:w="1838"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36379822.75</w:t>
            </w:r>
          </w:p>
        </w:tc>
        <w:tc>
          <w:tcPr>
            <w:tcW w:w="606"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G25</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3191607.417</w:t>
            </w:r>
          </w:p>
        </w:tc>
        <w:tc>
          <w:tcPr>
            <w:tcW w:w="1832"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36377927.53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G13</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3193058.491</w:t>
            </w:r>
          </w:p>
        </w:tc>
        <w:tc>
          <w:tcPr>
            <w:tcW w:w="1838"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36379839.24</w:t>
            </w:r>
          </w:p>
        </w:tc>
        <w:tc>
          <w:tcPr>
            <w:tcW w:w="606"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G26</w:t>
            </w:r>
          </w:p>
        </w:tc>
        <w:tc>
          <w:tcPr>
            <w:tcW w:w="1694"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3191559.563</w:t>
            </w:r>
          </w:p>
        </w:tc>
        <w:tc>
          <w:tcPr>
            <w:tcW w:w="1832"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36377934.53</w:t>
            </w:r>
          </w:p>
        </w:tc>
      </w:tr>
    </w:tbl>
    <w:p>
      <w:pPr>
        <w:widowControl/>
        <w:jc w:val="right"/>
        <w:textAlignment w:val="center"/>
        <w:rPr>
          <w:rFonts w:ascii="仿宋" w:hAnsi="仿宋" w:eastAsia="仿宋" w:cs="仿宋"/>
          <w:color w:val="000000"/>
          <w:kern w:val="0"/>
          <w:sz w:val="22"/>
          <w:szCs w:val="22"/>
          <w:lang w:bidi="ar"/>
        </w:rPr>
      </w:pPr>
    </w:p>
    <w:p>
      <w:pPr>
        <w:adjustRightInd w:val="0"/>
        <w:snapToGrid w:val="0"/>
        <w:spacing w:before="200" w:line="600" w:lineRule="atLeast"/>
        <w:jc w:val="center"/>
        <w:rPr>
          <w:rFonts w:ascii="仿宋_GB2312" w:eastAsia="仿宋_GB2312"/>
          <w:kern w:val="0"/>
          <w:szCs w:val="21"/>
        </w:rPr>
      </w:pPr>
      <w:r>
        <w:rPr>
          <w:rFonts w:hint="eastAsia" w:ascii="仿宋_GB2312" w:eastAsia="仿宋_GB2312"/>
          <w:b/>
          <w:kern w:val="0"/>
          <w:sz w:val="24"/>
        </w:rPr>
        <w:t>表1.3-2  南东侧地块主要拐点坐标一览表</w:t>
      </w:r>
      <w:r>
        <w:rPr>
          <w:rFonts w:hint="eastAsia" w:ascii="仿宋_GB2312" w:eastAsia="仿宋_GB2312"/>
          <w:b/>
          <w:i/>
          <w:kern w:val="0"/>
          <w:sz w:val="28"/>
          <w:szCs w:val="28"/>
        </w:rPr>
        <w:t xml:space="preserve">   </w:t>
      </w:r>
    </w:p>
    <w:tbl>
      <w:tblPr>
        <w:tblStyle w:val="30"/>
        <w:tblW w:w="4781" w:type="pct"/>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1693"/>
        <w:gridCol w:w="1839"/>
        <w:gridCol w:w="1129"/>
        <w:gridCol w:w="1693"/>
        <w:gridCol w:w="18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05" w:type="pct"/>
            <w:vMerge w:val="restart"/>
            <w:tcBorders>
              <w:top w:val="single" w:color="auto" w:sz="12" w:space="0"/>
            </w:tcBorders>
            <w:vAlign w:val="center"/>
          </w:tcPr>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角点</w:t>
            </w:r>
          </w:p>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编号</w:t>
            </w:r>
          </w:p>
        </w:tc>
        <w:tc>
          <w:tcPr>
            <w:tcW w:w="1896" w:type="pct"/>
            <w:gridSpan w:val="2"/>
            <w:tcBorders>
              <w:top w:val="single" w:color="auto" w:sz="12" w:space="0"/>
              <w:bottom w:val="single" w:color="auto" w:sz="4" w:space="0"/>
            </w:tcBorders>
            <w:vAlign w:val="center"/>
          </w:tcPr>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2000国家坐标系</w:t>
            </w:r>
          </w:p>
        </w:tc>
        <w:tc>
          <w:tcPr>
            <w:tcW w:w="606" w:type="pct"/>
            <w:vMerge w:val="restart"/>
            <w:tcBorders>
              <w:top w:val="single" w:color="auto" w:sz="12" w:space="0"/>
            </w:tcBorders>
          </w:tcPr>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角点</w:t>
            </w:r>
          </w:p>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编号</w:t>
            </w:r>
          </w:p>
        </w:tc>
        <w:tc>
          <w:tcPr>
            <w:tcW w:w="1892" w:type="pct"/>
            <w:gridSpan w:val="2"/>
            <w:tcBorders>
              <w:top w:val="single" w:color="auto" w:sz="12" w:space="0"/>
              <w:bottom w:val="single" w:color="auto" w:sz="4" w:space="0"/>
            </w:tcBorders>
            <w:vAlign w:val="center"/>
          </w:tcPr>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2000国家坐标系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605" w:type="pct"/>
            <w:vMerge w:val="continue"/>
            <w:tcBorders>
              <w:bottom w:val="double" w:color="auto" w:sz="4" w:space="0"/>
            </w:tcBorders>
            <w:vAlign w:val="center"/>
          </w:tcPr>
          <w:p>
            <w:pPr>
              <w:adjustRightInd w:val="0"/>
              <w:snapToGrid w:val="0"/>
              <w:spacing w:line="240" w:lineRule="atLeast"/>
              <w:jc w:val="center"/>
              <w:rPr>
                <w:rFonts w:ascii="仿宋" w:hAnsi="仿宋" w:eastAsia="仿宋" w:cs="仿宋"/>
                <w:color w:val="000000"/>
                <w:sz w:val="24"/>
              </w:rPr>
            </w:pPr>
          </w:p>
        </w:tc>
        <w:tc>
          <w:tcPr>
            <w:tcW w:w="909" w:type="pct"/>
            <w:tcBorders>
              <w:top w:val="single" w:color="auto" w:sz="4" w:space="0"/>
              <w:bottom w:val="double" w:color="auto" w:sz="4" w:space="0"/>
            </w:tcBorders>
            <w:vAlign w:val="center"/>
          </w:tcPr>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X</w:t>
            </w:r>
          </w:p>
        </w:tc>
        <w:tc>
          <w:tcPr>
            <w:tcW w:w="986" w:type="pct"/>
            <w:tcBorders>
              <w:top w:val="single" w:color="auto" w:sz="4" w:space="0"/>
              <w:bottom w:val="double" w:color="auto" w:sz="4" w:space="0"/>
            </w:tcBorders>
            <w:vAlign w:val="center"/>
          </w:tcPr>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Y</w:t>
            </w:r>
          </w:p>
        </w:tc>
        <w:tc>
          <w:tcPr>
            <w:tcW w:w="606" w:type="pct"/>
            <w:vMerge w:val="continue"/>
            <w:tcBorders>
              <w:bottom w:val="double" w:color="auto" w:sz="4" w:space="0"/>
            </w:tcBorders>
          </w:tcPr>
          <w:p>
            <w:pPr>
              <w:adjustRightInd w:val="0"/>
              <w:snapToGrid w:val="0"/>
              <w:spacing w:line="240" w:lineRule="atLeast"/>
              <w:jc w:val="center"/>
              <w:rPr>
                <w:rFonts w:ascii="仿宋" w:hAnsi="仿宋" w:eastAsia="仿宋" w:cs="仿宋"/>
                <w:color w:val="000000"/>
                <w:sz w:val="24"/>
              </w:rPr>
            </w:pPr>
          </w:p>
        </w:tc>
        <w:tc>
          <w:tcPr>
            <w:tcW w:w="909" w:type="pct"/>
            <w:tcBorders>
              <w:top w:val="single" w:color="auto" w:sz="4" w:space="0"/>
              <w:bottom w:val="double" w:color="auto" w:sz="4" w:space="0"/>
            </w:tcBorders>
            <w:vAlign w:val="center"/>
          </w:tcPr>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X</w:t>
            </w:r>
          </w:p>
        </w:tc>
        <w:tc>
          <w:tcPr>
            <w:tcW w:w="983" w:type="pct"/>
            <w:tcBorders>
              <w:top w:val="single" w:color="auto" w:sz="4" w:space="0"/>
              <w:bottom w:val="double" w:color="auto" w:sz="4" w:space="0"/>
            </w:tcBorders>
            <w:vAlign w:val="center"/>
          </w:tcPr>
          <w:p>
            <w:pPr>
              <w:adjustRightInd w:val="0"/>
              <w:snapToGrid w:val="0"/>
              <w:spacing w:line="240" w:lineRule="atLeast"/>
              <w:jc w:val="center"/>
              <w:rPr>
                <w:rFonts w:ascii="仿宋" w:hAnsi="仿宋" w:eastAsia="仿宋" w:cs="仿宋"/>
                <w:color w:val="000000"/>
                <w:sz w:val="24"/>
              </w:rPr>
            </w:pPr>
            <w:r>
              <w:rPr>
                <w:rFonts w:hint="eastAsia" w:ascii="仿宋" w:hAnsi="仿宋" w:eastAsia="仿宋" w:cs="仿宋"/>
                <w:color w:val="000000"/>
                <w:sz w:val="24"/>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05" w:type="pct"/>
            <w:tcBorders>
              <w:top w:val="double" w:color="auto" w:sz="4" w:space="0"/>
            </w:tcBorders>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G1</w:t>
            </w:r>
          </w:p>
        </w:tc>
        <w:tc>
          <w:tcPr>
            <w:tcW w:w="1693" w:type="dxa"/>
            <w:tcBorders>
              <w:top w:val="double" w:color="auto" w:sz="4" w:space="0"/>
            </w:tcBorders>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3189757.925</w:t>
            </w:r>
          </w:p>
        </w:tc>
        <w:tc>
          <w:tcPr>
            <w:tcW w:w="1839" w:type="dxa"/>
            <w:tcBorders>
              <w:top w:val="double" w:color="auto" w:sz="4" w:space="0"/>
            </w:tcBorders>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36379069.63</w:t>
            </w:r>
          </w:p>
        </w:tc>
        <w:tc>
          <w:tcPr>
            <w:tcW w:w="606" w:type="pct"/>
            <w:tcBorders>
              <w:top w:val="double" w:color="auto" w:sz="4" w:space="0"/>
            </w:tcBorders>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G7</w:t>
            </w:r>
          </w:p>
        </w:tc>
        <w:tc>
          <w:tcPr>
            <w:tcW w:w="1693" w:type="dxa"/>
            <w:tcBorders>
              <w:top w:val="double" w:color="auto" w:sz="4" w:space="0"/>
            </w:tcBorders>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3190156.751</w:t>
            </w:r>
          </w:p>
        </w:tc>
        <w:tc>
          <w:tcPr>
            <w:tcW w:w="1831" w:type="dxa"/>
            <w:tcBorders>
              <w:top w:val="double" w:color="auto" w:sz="4" w:space="0"/>
            </w:tcBorders>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36379409.33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G2</w:t>
            </w:r>
          </w:p>
        </w:tc>
        <w:tc>
          <w:tcPr>
            <w:tcW w:w="1693"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3189426.971</w:t>
            </w:r>
          </w:p>
        </w:tc>
        <w:tc>
          <w:tcPr>
            <w:tcW w:w="1839"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36379392.54</w:t>
            </w:r>
          </w:p>
        </w:tc>
        <w:tc>
          <w:tcPr>
            <w:tcW w:w="606"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G8</w:t>
            </w:r>
          </w:p>
        </w:tc>
        <w:tc>
          <w:tcPr>
            <w:tcW w:w="1693"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3190070.619</w:t>
            </w:r>
          </w:p>
        </w:tc>
        <w:tc>
          <w:tcPr>
            <w:tcW w:w="1831"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36379334.03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G3</w:t>
            </w:r>
          </w:p>
        </w:tc>
        <w:tc>
          <w:tcPr>
            <w:tcW w:w="1693"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3190566.047</w:t>
            </w:r>
          </w:p>
        </w:tc>
        <w:tc>
          <w:tcPr>
            <w:tcW w:w="1839"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36380530.49</w:t>
            </w:r>
          </w:p>
        </w:tc>
        <w:tc>
          <w:tcPr>
            <w:tcW w:w="606"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G9</w:t>
            </w:r>
          </w:p>
        </w:tc>
        <w:tc>
          <w:tcPr>
            <w:tcW w:w="1693"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3189907.207</w:t>
            </w:r>
          </w:p>
        </w:tc>
        <w:tc>
          <w:tcPr>
            <w:tcW w:w="1831"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36379260.49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G4</w:t>
            </w:r>
          </w:p>
        </w:tc>
        <w:tc>
          <w:tcPr>
            <w:tcW w:w="1693"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3190199.67</w:t>
            </w:r>
          </w:p>
        </w:tc>
        <w:tc>
          <w:tcPr>
            <w:tcW w:w="1839"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36379846.04</w:t>
            </w:r>
          </w:p>
        </w:tc>
        <w:tc>
          <w:tcPr>
            <w:tcW w:w="606"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G10</w:t>
            </w:r>
          </w:p>
        </w:tc>
        <w:tc>
          <w:tcPr>
            <w:tcW w:w="1693"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3189814.805</w:t>
            </w:r>
          </w:p>
        </w:tc>
        <w:tc>
          <w:tcPr>
            <w:tcW w:w="1831"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36379172.68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G5</w:t>
            </w:r>
          </w:p>
        </w:tc>
        <w:tc>
          <w:tcPr>
            <w:tcW w:w="1693"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3190173.726</w:t>
            </w:r>
          </w:p>
        </w:tc>
        <w:tc>
          <w:tcPr>
            <w:tcW w:w="1839"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36379729.94</w:t>
            </w:r>
          </w:p>
        </w:tc>
        <w:tc>
          <w:tcPr>
            <w:tcW w:w="606"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G11</w:t>
            </w:r>
          </w:p>
        </w:tc>
        <w:tc>
          <w:tcPr>
            <w:tcW w:w="1693"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3189782.982</w:t>
            </w:r>
          </w:p>
        </w:tc>
        <w:tc>
          <w:tcPr>
            <w:tcW w:w="1831"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36379102.83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05" w:type="pct"/>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G6</w:t>
            </w:r>
          </w:p>
        </w:tc>
        <w:tc>
          <w:tcPr>
            <w:tcW w:w="1693"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3190185.231</w:t>
            </w:r>
          </w:p>
        </w:tc>
        <w:tc>
          <w:tcPr>
            <w:tcW w:w="1839" w:type="dxa"/>
            <w:vAlign w:val="center"/>
          </w:tcPr>
          <w:p>
            <w:pPr>
              <w:widowControl/>
              <w:jc w:val="cente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36379533.21</w:t>
            </w:r>
          </w:p>
        </w:tc>
        <w:tc>
          <w:tcPr>
            <w:tcW w:w="606" w:type="pct"/>
            <w:vAlign w:val="center"/>
          </w:tcPr>
          <w:p>
            <w:pPr>
              <w:widowControl/>
              <w:jc w:val="center"/>
              <w:textAlignment w:val="center"/>
              <w:rPr>
                <w:rFonts w:ascii="仿宋" w:hAnsi="仿宋" w:eastAsia="仿宋" w:cs="仿宋"/>
                <w:color w:val="000000"/>
                <w:kern w:val="0"/>
                <w:sz w:val="22"/>
                <w:szCs w:val="22"/>
                <w:lang w:bidi="ar"/>
              </w:rPr>
            </w:pPr>
          </w:p>
        </w:tc>
        <w:tc>
          <w:tcPr>
            <w:tcW w:w="909" w:type="pct"/>
            <w:vAlign w:val="center"/>
          </w:tcPr>
          <w:p>
            <w:pPr>
              <w:widowControl/>
              <w:jc w:val="center"/>
              <w:textAlignment w:val="center"/>
              <w:rPr>
                <w:rFonts w:ascii="仿宋" w:hAnsi="仿宋" w:eastAsia="仿宋" w:cs="仿宋"/>
                <w:color w:val="000000"/>
                <w:kern w:val="0"/>
                <w:sz w:val="22"/>
                <w:szCs w:val="22"/>
                <w:lang w:bidi="ar"/>
              </w:rPr>
            </w:pPr>
          </w:p>
        </w:tc>
        <w:tc>
          <w:tcPr>
            <w:tcW w:w="983" w:type="pct"/>
            <w:vAlign w:val="center"/>
          </w:tcPr>
          <w:p>
            <w:pPr>
              <w:widowControl/>
              <w:jc w:val="center"/>
              <w:textAlignment w:val="center"/>
              <w:rPr>
                <w:rFonts w:ascii="仿宋" w:hAnsi="仿宋" w:eastAsia="仿宋" w:cs="仿宋"/>
                <w:color w:val="000000"/>
                <w:kern w:val="0"/>
                <w:sz w:val="22"/>
                <w:szCs w:val="22"/>
                <w:lang w:bidi="ar"/>
              </w:rPr>
            </w:pPr>
          </w:p>
        </w:tc>
      </w:tr>
    </w:tbl>
    <w:p>
      <w:pPr>
        <w:widowControl/>
        <w:jc w:val="right"/>
        <w:textAlignment w:val="center"/>
        <w:rPr>
          <w:rFonts w:ascii="仿宋" w:hAnsi="仿宋" w:eastAsia="仿宋" w:cs="仿宋"/>
          <w:color w:val="000000"/>
          <w:kern w:val="0"/>
          <w:sz w:val="22"/>
          <w:szCs w:val="22"/>
          <w:lang w:bidi="ar"/>
        </w:rPr>
      </w:pPr>
    </w:p>
    <w:p>
      <w:pPr>
        <w:widowControl/>
        <w:jc w:val="right"/>
        <w:textAlignment w:val="center"/>
        <w:rPr>
          <w:rFonts w:ascii="仿宋" w:hAnsi="仿宋" w:eastAsia="仿宋" w:cs="仿宋"/>
          <w:color w:val="000000"/>
          <w:kern w:val="0"/>
          <w:sz w:val="22"/>
          <w:szCs w:val="22"/>
          <w:lang w:bidi="ar"/>
        </w:rPr>
      </w:pPr>
    </w:p>
    <w:p>
      <w:pPr>
        <w:widowControl/>
        <w:jc w:val="right"/>
        <w:textAlignment w:val="center"/>
        <w:rPr>
          <w:rFonts w:ascii="仿宋" w:hAnsi="仿宋" w:eastAsia="仿宋" w:cs="仿宋"/>
          <w:color w:val="000000"/>
          <w:kern w:val="0"/>
          <w:sz w:val="22"/>
          <w:szCs w:val="22"/>
          <w:lang w:bidi="ar"/>
        </w:rPr>
      </w:pPr>
    </w:p>
    <w:p>
      <w:pPr>
        <w:widowControl/>
        <w:jc w:val="right"/>
        <w:textAlignment w:val="center"/>
        <w:rPr>
          <w:rFonts w:ascii="仿宋" w:hAnsi="仿宋" w:eastAsia="仿宋" w:cs="仿宋"/>
          <w:color w:val="000000"/>
          <w:kern w:val="0"/>
          <w:sz w:val="22"/>
          <w:szCs w:val="22"/>
          <w:lang w:bidi="ar"/>
        </w:rPr>
      </w:pPr>
    </w:p>
    <w:p>
      <w:pPr>
        <w:widowControl/>
        <w:jc w:val="right"/>
        <w:textAlignment w:val="center"/>
        <w:rPr>
          <w:rFonts w:ascii="仿宋" w:hAnsi="仿宋" w:eastAsia="仿宋" w:cs="仿宋"/>
          <w:color w:val="000000"/>
          <w:kern w:val="0"/>
          <w:sz w:val="22"/>
          <w:szCs w:val="22"/>
          <w:lang w:bidi="ar"/>
        </w:rPr>
      </w:pPr>
    </w:p>
    <w:p>
      <w:pPr>
        <w:widowControl/>
        <w:jc w:val="right"/>
        <w:textAlignment w:val="center"/>
        <w:rPr>
          <w:rFonts w:ascii="仿宋" w:hAnsi="仿宋" w:eastAsia="仿宋" w:cs="仿宋"/>
          <w:color w:val="000000"/>
          <w:kern w:val="0"/>
          <w:sz w:val="22"/>
          <w:szCs w:val="22"/>
          <w:lang w:bidi="ar"/>
        </w:rPr>
      </w:pPr>
    </w:p>
    <w:p>
      <w:pPr>
        <w:widowControl/>
        <w:jc w:val="right"/>
        <w:textAlignment w:val="center"/>
        <w:rPr>
          <w:rFonts w:ascii="仿宋" w:hAnsi="仿宋" w:eastAsia="仿宋" w:cs="仿宋"/>
          <w:color w:val="000000"/>
          <w:kern w:val="0"/>
          <w:sz w:val="22"/>
          <w:szCs w:val="22"/>
          <w:lang w:bidi="ar"/>
        </w:rPr>
      </w:pPr>
    </w:p>
    <w:p>
      <w:pPr>
        <w:widowControl/>
        <w:jc w:val="right"/>
        <w:textAlignment w:val="center"/>
        <w:rPr>
          <w:rFonts w:ascii="仿宋" w:hAnsi="仿宋" w:eastAsia="仿宋" w:cs="仿宋"/>
          <w:color w:val="000000"/>
          <w:kern w:val="0"/>
          <w:sz w:val="22"/>
          <w:szCs w:val="22"/>
          <w:lang w:bidi="ar"/>
        </w:rPr>
      </w:pPr>
    </w:p>
    <w:p>
      <w:pPr>
        <w:pStyle w:val="3"/>
        <w:adjustRightInd w:val="0"/>
        <w:snapToGrid w:val="0"/>
        <w:spacing w:before="0" w:after="0" w:line="600" w:lineRule="atLeast"/>
        <w:rPr>
          <w:rFonts w:ascii="仿宋_GB2312" w:hAnsi="宋体" w:eastAsia="仿宋_GB2312"/>
          <w:b w:val="0"/>
          <w:bCs w:val="0"/>
          <w:color w:val="000000"/>
          <w:kern w:val="0"/>
        </w:rPr>
      </w:pPr>
      <w:bookmarkStart w:id="6" w:name="_Toc29946"/>
      <w:r>
        <w:rPr>
          <w:rFonts w:hint="eastAsia" w:ascii="仿宋_GB2312" w:hAnsi="宋体" w:eastAsia="仿宋_GB2312"/>
          <w:b w:val="0"/>
          <w:bCs w:val="0"/>
          <w:color w:val="000000"/>
          <w:kern w:val="0"/>
        </w:rPr>
        <w:t>1.4 前人研究程度</w:t>
      </w:r>
      <w:bookmarkEnd w:id="6"/>
    </w:p>
    <w:p>
      <w:pPr>
        <w:spacing w:line="360" w:lineRule="auto"/>
        <w:ind w:left="-210" w:leftChars="-100" w:right="-273" w:rightChars="-130" w:firstLine="420" w:firstLineChars="150"/>
        <w:jc w:val="left"/>
        <w:rPr>
          <w:rFonts w:ascii="仿宋_GB2312" w:eastAsia="仿宋_GB2312"/>
          <w:color w:val="000000"/>
          <w:sz w:val="28"/>
          <w:szCs w:val="36"/>
        </w:rPr>
      </w:pPr>
      <w:r>
        <w:rPr>
          <w:rFonts w:hint="eastAsia" w:ascii="仿宋_GB2312" w:eastAsia="仿宋_GB2312"/>
          <w:color w:val="000000"/>
          <w:sz w:val="28"/>
          <w:szCs w:val="36"/>
        </w:rPr>
        <w:t>该区域以往作过大量地质工作。经收集，在区内及邻近已作的地质工作主要有：</w:t>
      </w:r>
    </w:p>
    <w:p>
      <w:pPr>
        <w:spacing w:line="360" w:lineRule="auto"/>
        <w:ind w:left="-210" w:leftChars="-100" w:right="-273" w:rightChars="-130" w:firstLine="420" w:firstLineChars="150"/>
        <w:jc w:val="left"/>
        <w:rPr>
          <w:rFonts w:ascii="仿宋_GB2312" w:eastAsia="仿宋_GB2312"/>
          <w:color w:val="000000"/>
          <w:sz w:val="28"/>
          <w:szCs w:val="36"/>
        </w:rPr>
      </w:pPr>
      <w:r>
        <w:rPr>
          <w:rFonts w:hint="eastAsia" w:ascii="仿宋_GB2312" w:eastAsia="仿宋_GB2312"/>
          <w:color w:val="000000"/>
          <w:sz w:val="28"/>
          <w:szCs w:val="36"/>
        </w:rPr>
        <w:t>1、1977年12月原四川省地质局航空区域地质调查队编制1：20万区域地质图（綦江幅）；</w:t>
      </w:r>
    </w:p>
    <w:p>
      <w:pPr>
        <w:spacing w:line="360" w:lineRule="auto"/>
        <w:ind w:left="-210" w:leftChars="-100" w:right="-273" w:rightChars="-130" w:firstLine="420" w:firstLineChars="150"/>
        <w:jc w:val="left"/>
        <w:rPr>
          <w:rFonts w:ascii="仿宋_GB2312" w:eastAsia="仿宋_GB2312"/>
          <w:color w:val="000000"/>
          <w:sz w:val="28"/>
          <w:szCs w:val="36"/>
        </w:rPr>
      </w:pPr>
      <w:r>
        <w:rPr>
          <w:rFonts w:hint="eastAsia" w:ascii="仿宋_GB2312" w:eastAsia="仿宋_GB2312"/>
          <w:color w:val="000000"/>
          <w:sz w:val="28"/>
          <w:szCs w:val="36"/>
        </w:rPr>
        <w:t>2、2009年7月由重庆一三六地质队编写并通过专家审查的《重庆市万盛区煤电化核心区七平方公里建设项目压覆矿产资源评估报告》，其中对万盛区煤电化核心区七平方公里区域的地质情况作了详细的论述，对本报告的编写起了很好的铺垫作用。并且根据该报告的结论得知该区适宜万盛煤电化基地核心区建设项目建设。</w:t>
      </w:r>
    </w:p>
    <w:p>
      <w:pPr>
        <w:spacing w:line="360" w:lineRule="auto"/>
        <w:ind w:left="-210" w:leftChars="-100" w:right="-273" w:rightChars="-130" w:firstLine="420" w:firstLineChars="150"/>
        <w:jc w:val="left"/>
        <w:rPr>
          <w:rFonts w:ascii="仿宋_GB2312" w:eastAsia="仿宋_GB2312"/>
          <w:color w:val="000000"/>
          <w:sz w:val="28"/>
          <w:szCs w:val="36"/>
        </w:rPr>
      </w:pPr>
      <w:r>
        <w:rPr>
          <w:rFonts w:hint="eastAsia" w:ascii="仿宋_GB2312" w:eastAsia="仿宋_GB2312"/>
          <w:color w:val="000000"/>
          <w:sz w:val="28"/>
          <w:szCs w:val="36"/>
        </w:rPr>
        <w:t>3、2014年重庆地质矿产研究院提供的《万盛经开区地质灾害排查报告》；</w:t>
      </w:r>
    </w:p>
    <w:p>
      <w:pPr>
        <w:spacing w:line="360" w:lineRule="auto"/>
        <w:ind w:left="-210" w:leftChars="-100" w:right="-273" w:rightChars="-130" w:firstLine="420" w:firstLineChars="150"/>
        <w:jc w:val="left"/>
        <w:rPr>
          <w:rFonts w:ascii="仿宋_GB2312" w:eastAsia="仿宋_GB2312"/>
          <w:color w:val="000000"/>
          <w:sz w:val="28"/>
          <w:szCs w:val="36"/>
        </w:rPr>
      </w:pPr>
      <w:r>
        <w:rPr>
          <w:rFonts w:hint="eastAsia" w:ascii="仿宋_GB2312" w:eastAsia="仿宋_GB2312"/>
          <w:color w:val="000000"/>
          <w:sz w:val="28"/>
          <w:szCs w:val="36"/>
        </w:rPr>
        <w:t>4、2009年9月重庆一三六地质矿产有限责任公司编写并通过专家审查的《重庆市万盛区煤电化核心区七平方公里规划区地质灾害危险性评估报告》；</w:t>
      </w:r>
    </w:p>
    <w:p>
      <w:pPr>
        <w:spacing w:line="360" w:lineRule="auto"/>
        <w:ind w:left="-210" w:leftChars="-100" w:right="-273" w:rightChars="-130" w:firstLine="420" w:firstLineChars="150"/>
        <w:jc w:val="left"/>
        <w:rPr>
          <w:rFonts w:ascii="仿宋_GB2312" w:eastAsia="仿宋_GB2312"/>
          <w:color w:val="000000"/>
          <w:sz w:val="28"/>
          <w:szCs w:val="36"/>
        </w:rPr>
      </w:pPr>
      <w:r>
        <w:rPr>
          <w:rFonts w:hint="eastAsia" w:ascii="仿宋_GB2312" w:eastAsia="仿宋_GB2312"/>
          <w:color w:val="000000"/>
          <w:sz w:val="28"/>
          <w:szCs w:val="36"/>
        </w:rPr>
        <w:t>5、2015年10月，重庆地质矿产研究院和重庆136地质矿产有限责任公司提交了《2015年度重庆市万盛经开区地质灾害核查排查报告》。</w:t>
      </w:r>
    </w:p>
    <w:p>
      <w:pPr>
        <w:spacing w:line="360" w:lineRule="auto"/>
        <w:ind w:left="-210" w:leftChars="-100" w:right="-273" w:rightChars="-130" w:firstLine="420" w:firstLineChars="150"/>
        <w:jc w:val="left"/>
        <w:rPr>
          <w:rFonts w:ascii="仿宋_GB2312" w:eastAsia="仿宋_GB2312"/>
          <w:color w:val="000000"/>
          <w:sz w:val="28"/>
          <w:szCs w:val="36"/>
        </w:rPr>
      </w:pPr>
      <w:r>
        <w:rPr>
          <w:rFonts w:hint="eastAsia" w:ascii="仿宋_GB2312" w:eastAsia="仿宋_GB2312"/>
          <w:color w:val="000000"/>
          <w:sz w:val="28"/>
          <w:szCs w:val="36"/>
        </w:rPr>
        <w:t>6、2019年5月，重庆地质矿产研究院提交了《重庆市綦江区关坝镇“419”暴雨地灾排查报告》。</w:t>
      </w:r>
    </w:p>
    <w:p>
      <w:pPr>
        <w:spacing w:line="360" w:lineRule="auto"/>
        <w:ind w:left="-210" w:leftChars="-100" w:right="-273" w:rightChars="-130" w:firstLine="420" w:firstLineChars="150"/>
        <w:jc w:val="left"/>
        <w:rPr>
          <w:rFonts w:ascii="仿宋_GB2312" w:eastAsia="仿宋_GB2312"/>
          <w:color w:val="000000"/>
          <w:sz w:val="28"/>
          <w:szCs w:val="36"/>
        </w:rPr>
      </w:pPr>
      <w:r>
        <w:rPr>
          <w:rFonts w:hint="eastAsia" w:ascii="仿宋_GB2312" w:eastAsia="仿宋_GB2312"/>
          <w:color w:val="000000"/>
          <w:sz w:val="28"/>
          <w:szCs w:val="36"/>
        </w:rPr>
        <w:t>7.《綦江区关坝-扶欢循环经济产业园控制性详细规划土地利用规划图》2022             （中煤科工重庆设计研究院（集团）有限公司）</w:t>
      </w:r>
    </w:p>
    <w:p>
      <w:pPr>
        <w:spacing w:line="360" w:lineRule="auto"/>
        <w:ind w:left="-210" w:leftChars="-100" w:right="-273" w:rightChars="-130" w:firstLine="420" w:firstLineChars="150"/>
        <w:jc w:val="left"/>
        <w:rPr>
          <w:rFonts w:ascii="仿宋_GB2312" w:eastAsia="仿宋_GB2312"/>
          <w:color w:val="000000"/>
          <w:sz w:val="28"/>
          <w:szCs w:val="36"/>
        </w:rPr>
      </w:pPr>
      <w:r>
        <w:rPr>
          <w:rFonts w:hint="eastAsia" w:ascii="仿宋_GB2312" w:eastAsia="仿宋_GB2312"/>
          <w:color w:val="000000"/>
          <w:sz w:val="28"/>
          <w:szCs w:val="36"/>
        </w:rPr>
        <w:t>8.《重庆市万盛经开区煤电化园区地块（未建区）区域用地地质灾害危险性评估报告》（2020年，重庆开源地质勘探有限公司）</w:t>
      </w:r>
    </w:p>
    <w:p>
      <w:pPr>
        <w:spacing w:line="360" w:lineRule="auto"/>
        <w:ind w:left="-210" w:leftChars="-100" w:right="-273" w:rightChars="-130" w:firstLine="420" w:firstLineChars="150"/>
        <w:jc w:val="left"/>
        <w:rPr>
          <w:rFonts w:ascii="仿宋_GB2312" w:eastAsia="仿宋_GB2312"/>
          <w:color w:val="000000"/>
          <w:sz w:val="28"/>
          <w:szCs w:val="36"/>
        </w:rPr>
      </w:pPr>
      <w:r>
        <w:rPr>
          <w:rFonts w:hint="eastAsia" w:ascii="仿宋_GB2312" w:eastAsia="仿宋_GB2312"/>
          <w:color w:val="000000"/>
          <w:sz w:val="28"/>
          <w:szCs w:val="36"/>
        </w:rPr>
        <w:t>这些基础地质成果资料为本次评估区地层识别、划分，了解评估区所处地质构造部位，基本了解调查评价区地质灾害发育情况、地下水分布情况等提供了参考，为本次评估工作的顺利完成奠定了良好基础。</w:t>
      </w:r>
    </w:p>
    <w:p>
      <w:pPr>
        <w:pStyle w:val="3"/>
        <w:adjustRightInd w:val="0"/>
        <w:snapToGrid w:val="0"/>
        <w:spacing w:before="0" w:after="0" w:line="600" w:lineRule="atLeast"/>
        <w:rPr>
          <w:rFonts w:ascii="仿宋_GB2312" w:hAnsi="宋体" w:eastAsia="仿宋_GB2312"/>
          <w:b w:val="0"/>
          <w:bCs w:val="0"/>
          <w:color w:val="000000"/>
          <w:kern w:val="0"/>
        </w:rPr>
      </w:pPr>
      <w:bookmarkStart w:id="7" w:name="_Toc26893"/>
      <w:r>
        <w:rPr>
          <w:rFonts w:hint="eastAsia" w:ascii="仿宋_GB2312" w:hAnsi="宋体" w:eastAsia="仿宋_GB2312"/>
          <w:b w:val="0"/>
          <w:bCs w:val="0"/>
          <w:color w:val="000000"/>
          <w:kern w:val="0"/>
        </w:rPr>
        <w:t>1.5 评估的依据及执行的技术标准</w:t>
      </w:r>
      <w:bookmarkEnd w:id="7"/>
    </w:p>
    <w:p>
      <w:pPr>
        <w:pStyle w:val="13"/>
        <w:adjustRightInd w:val="0"/>
        <w:snapToGrid w:val="0"/>
        <w:spacing w:before="200" w:line="540" w:lineRule="exact"/>
        <w:rPr>
          <w:rFonts w:ascii="仿宋_GB2312" w:eastAsia="仿宋_GB2312"/>
          <w:color w:val="000000"/>
          <w:kern w:val="0"/>
        </w:rPr>
      </w:pPr>
      <w:r>
        <w:rPr>
          <w:rFonts w:hint="eastAsia" w:ascii="仿宋_GB2312" w:eastAsia="仿宋_GB2312"/>
          <w:color w:val="000000"/>
          <w:kern w:val="0"/>
        </w:rPr>
        <w:t>评估的依据：</w:t>
      </w:r>
    </w:p>
    <w:p>
      <w:pPr>
        <w:pStyle w:val="13"/>
        <w:adjustRightInd w:val="0"/>
        <w:snapToGrid w:val="0"/>
        <w:spacing w:line="540" w:lineRule="exact"/>
        <w:ind w:right="0" w:rightChars="0"/>
        <w:rPr>
          <w:rFonts w:ascii="仿宋_GB2312" w:eastAsia="仿宋_GB2312"/>
          <w:color w:val="000000"/>
          <w:kern w:val="0"/>
        </w:rPr>
      </w:pPr>
      <w:r>
        <w:rPr>
          <w:rFonts w:hint="eastAsia" w:ascii="仿宋_GB2312" w:eastAsia="仿宋_GB2312"/>
          <w:color w:val="000000"/>
          <w:szCs w:val="36"/>
        </w:rPr>
        <w:t>①</w:t>
      </w:r>
      <w:r>
        <w:rPr>
          <w:rFonts w:hint="eastAsia" w:ascii="仿宋_GB2312" w:eastAsia="仿宋_GB2312"/>
          <w:color w:val="000000"/>
          <w:kern w:val="0"/>
        </w:rPr>
        <w:t>地质灾害危险性评估合同及委托书；</w:t>
      </w:r>
    </w:p>
    <w:p>
      <w:pPr>
        <w:pStyle w:val="13"/>
        <w:adjustRightInd w:val="0"/>
        <w:snapToGrid w:val="0"/>
        <w:spacing w:line="540" w:lineRule="exact"/>
        <w:ind w:right="0" w:rightChars="0"/>
        <w:rPr>
          <w:rFonts w:ascii="仿宋_GB2312" w:eastAsia="仿宋_GB2312"/>
          <w:color w:val="000000"/>
          <w:kern w:val="0"/>
        </w:rPr>
      </w:pPr>
      <w:r>
        <w:rPr>
          <w:rFonts w:hint="eastAsia" w:ascii="仿宋_GB2312" w:eastAsia="仿宋_GB2312"/>
          <w:color w:val="000000"/>
          <w:szCs w:val="36"/>
        </w:rPr>
        <w:t>②</w:t>
      </w:r>
      <w:r>
        <w:rPr>
          <w:rFonts w:hint="eastAsia" w:ascii="仿宋_GB2312" w:eastAsia="仿宋_GB2312"/>
          <w:color w:val="000000"/>
          <w:kern w:val="0"/>
        </w:rPr>
        <w:t>现状地形图（1：2000地形图）；</w:t>
      </w:r>
    </w:p>
    <w:p>
      <w:pPr>
        <w:pStyle w:val="13"/>
        <w:adjustRightInd w:val="0"/>
        <w:snapToGrid w:val="0"/>
        <w:spacing w:line="540" w:lineRule="exact"/>
        <w:ind w:right="0" w:rightChars="0"/>
        <w:rPr>
          <w:rFonts w:ascii="仿宋_GB2312" w:eastAsia="仿宋_GB2312"/>
          <w:color w:val="000000"/>
          <w:kern w:val="0"/>
        </w:rPr>
      </w:pPr>
      <w:r>
        <w:rPr>
          <w:rFonts w:hint="eastAsia" w:ascii="仿宋_GB2312" w:eastAsia="仿宋_GB2312"/>
          <w:color w:val="000000"/>
          <w:szCs w:val="36"/>
        </w:rPr>
        <w:t>③</w:t>
      </w:r>
      <w:r>
        <w:rPr>
          <w:rFonts w:hint="eastAsia" w:ascii="仿宋_GB2312" w:eastAsia="仿宋_GB2312"/>
          <w:color w:val="000000"/>
        </w:rPr>
        <w:t>《国务院办公厅关于开展工程建设项目审批制度改革试点的通知》（国办发（2018）33号）</w:t>
      </w:r>
      <w:r>
        <w:rPr>
          <w:rFonts w:hint="eastAsia" w:ascii="仿宋_GB2312" w:eastAsia="仿宋_GB2312"/>
          <w:color w:val="000000"/>
          <w:kern w:val="0"/>
        </w:rPr>
        <w:t>；</w:t>
      </w:r>
    </w:p>
    <w:p>
      <w:pPr>
        <w:pStyle w:val="13"/>
        <w:adjustRightInd w:val="0"/>
        <w:snapToGrid w:val="0"/>
        <w:spacing w:line="540" w:lineRule="exact"/>
        <w:ind w:right="0" w:rightChars="0"/>
        <w:rPr>
          <w:rFonts w:ascii="仿宋_GB2312" w:eastAsia="仿宋_GB2312"/>
          <w:color w:val="000000"/>
          <w:kern w:val="0"/>
        </w:rPr>
      </w:pPr>
      <w:r>
        <w:rPr>
          <w:rFonts w:hint="eastAsia" w:ascii="仿宋_GB2312" w:eastAsia="仿宋_GB2312"/>
          <w:color w:val="000000"/>
          <w:szCs w:val="36"/>
        </w:rPr>
        <w:t>④</w:t>
      </w:r>
      <w:r>
        <w:rPr>
          <w:rFonts w:hint="eastAsia" w:ascii="仿宋_GB2312" w:eastAsia="仿宋_GB2312"/>
          <w:color w:val="000000"/>
        </w:rPr>
        <w:t>《重庆市规划和自然资源局》（渝规资规范（2019）25号）</w:t>
      </w:r>
      <w:r>
        <w:rPr>
          <w:rFonts w:hint="eastAsia" w:ascii="仿宋_GB2312" w:eastAsia="仿宋_GB2312"/>
          <w:color w:val="000000"/>
          <w:kern w:val="0"/>
        </w:rPr>
        <w:t>。</w:t>
      </w:r>
    </w:p>
    <w:p>
      <w:pPr>
        <w:pStyle w:val="13"/>
        <w:adjustRightInd w:val="0"/>
        <w:snapToGrid w:val="0"/>
        <w:spacing w:line="540" w:lineRule="exact"/>
        <w:ind w:right="0" w:rightChars="0"/>
        <w:rPr>
          <w:rFonts w:ascii="仿宋_GB2312" w:eastAsia="仿宋_GB2312"/>
          <w:color w:val="000000"/>
          <w:kern w:val="0"/>
        </w:rPr>
      </w:pPr>
      <w:r>
        <w:rPr>
          <w:rFonts w:hint="eastAsia" w:ascii="仿宋_GB2312" w:eastAsia="仿宋_GB2312"/>
          <w:color w:val="000000"/>
          <w:kern w:val="0"/>
        </w:rPr>
        <w:t>本次评估的的主要技术标准为：</w:t>
      </w:r>
    </w:p>
    <w:p>
      <w:pPr>
        <w:pStyle w:val="13"/>
        <w:adjustRightInd w:val="0"/>
        <w:snapToGrid w:val="0"/>
        <w:spacing w:line="540" w:lineRule="exact"/>
        <w:ind w:right="0" w:rightChars="0"/>
        <w:rPr>
          <w:rFonts w:ascii="仿宋_GB2312" w:eastAsia="仿宋_GB2312"/>
          <w:color w:val="000000"/>
          <w:kern w:val="0"/>
        </w:rPr>
      </w:pPr>
      <w:r>
        <w:rPr>
          <w:rFonts w:hint="eastAsia" w:ascii="仿宋_GB2312" w:eastAsia="仿宋_GB2312"/>
          <w:color w:val="000000"/>
          <w:szCs w:val="36"/>
        </w:rPr>
        <w:t xml:space="preserve">① </w:t>
      </w:r>
      <w:r>
        <w:rPr>
          <w:rFonts w:hint="eastAsia" w:ascii="仿宋_GB2312" w:eastAsia="仿宋_GB2312"/>
          <w:color w:val="000000"/>
          <w:kern w:val="0"/>
        </w:rPr>
        <w:t>2016年8月，重庆市国土资源和房屋管理局《地质灾害危险性评估技术规范》（DB50/T139-2016）。</w:t>
      </w:r>
    </w:p>
    <w:p>
      <w:pPr>
        <w:pStyle w:val="13"/>
        <w:adjustRightInd w:val="0"/>
        <w:snapToGrid w:val="0"/>
        <w:spacing w:line="540" w:lineRule="exact"/>
        <w:ind w:right="0" w:rightChars="0"/>
        <w:rPr>
          <w:rFonts w:ascii="仿宋_GB2312" w:eastAsia="仿宋_GB2312"/>
          <w:color w:val="000000"/>
          <w:kern w:val="0"/>
        </w:rPr>
      </w:pPr>
      <w:r>
        <w:rPr>
          <w:rFonts w:hint="eastAsia" w:ascii="仿宋_GB2312" w:eastAsia="仿宋_GB2312"/>
          <w:color w:val="000000"/>
          <w:szCs w:val="36"/>
        </w:rPr>
        <w:t xml:space="preserve">② </w:t>
      </w:r>
      <w:r>
        <w:rPr>
          <w:rFonts w:hint="eastAsia" w:ascii="仿宋_GB2312" w:eastAsia="仿宋_GB2312"/>
          <w:color w:val="000000"/>
          <w:kern w:val="0"/>
        </w:rPr>
        <w:t>2015年，中华人民共和国地质矿产行业标准《地质灾害危险性评估技术规范》（DZ/T 0286-2015）。</w:t>
      </w:r>
    </w:p>
    <w:p>
      <w:pPr>
        <w:pStyle w:val="3"/>
        <w:adjustRightInd w:val="0"/>
        <w:snapToGrid w:val="0"/>
        <w:spacing w:before="0" w:after="0" w:line="600" w:lineRule="atLeast"/>
        <w:rPr>
          <w:rFonts w:ascii="仿宋_GB2312" w:hAnsi="宋体" w:eastAsia="仿宋_GB2312"/>
          <w:b w:val="0"/>
          <w:bCs w:val="0"/>
          <w:color w:val="000000"/>
          <w:kern w:val="0"/>
        </w:rPr>
      </w:pPr>
      <w:bookmarkStart w:id="8" w:name="_Toc16909"/>
      <w:r>
        <w:rPr>
          <w:rFonts w:hint="eastAsia" w:ascii="仿宋_GB2312" w:hAnsi="宋体" w:eastAsia="仿宋_GB2312"/>
          <w:b w:val="0"/>
          <w:bCs w:val="0"/>
          <w:color w:val="000000"/>
          <w:kern w:val="0"/>
        </w:rPr>
        <w:t>1.6 评估级别</w:t>
      </w:r>
      <w:bookmarkEnd w:id="8"/>
    </w:p>
    <w:p>
      <w:pPr>
        <w:pStyle w:val="13"/>
        <w:adjustRightInd w:val="0"/>
        <w:snapToGrid w:val="0"/>
        <w:spacing w:before="200" w:line="360" w:lineRule="auto"/>
        <w:rPr>
          <w:rFonts w:ascii="仿宋_GB2312" w:hAnsi="Times New Roman" w:eastAsia="仿宋_GB2312"/>
          <w:color w:val="000000"/>
        </w:rPr>
      </w:pPr>
      <w:r>
        <w:rPr>
          <w:rFonts w:hint="eastAsia" w:ascii="仿宋_GB2312" w:eastAsia="仿宋_GB2312"/>
        </w:rPr>
        <w:t>据</w:t>
      </w:r>
      <w:r>
        <w:rPr>
          <w:rFonts w:hint="eastAsia" w:ascii="仿宋_GB2312" w:hAnsi="仿宋" w:eastAsia="仿宋_GB2312"/>
        </w:rPr>
        <w:t>《地质灾害危险性评估技术规范》（DB50</w:t>
      </w:r>
      <w:r>
        <w:rPr>
          <w:rFonts w:hint="eastAsia" w:ascii="仿宋_GB2312" w:hAnsi="Times New Roman" w:eastAsia="仿宋_GB2312"/>
          <w:color w:val="000000"/>
        </w:rPr>
        <w:t xml:space="preserve">/T139-2016），结合重庆市规划和自然资源局渝规资[2018]72号规定：区域用地、村庄和集镇区域用地地质灾害危险性评估级别应为一级。    </w:t>
      </w:r>
    </w:p>
    <w:p>
      <w:pPr>
        <w:pStyle w:val="13"/>
        <w:adjustRightInd w:val="0"/>
        <w:snapToGrid w:val="0"/>
        <w:spacing w:before="200" w:line="360" w:lineRule="auto"/>
        <w:rPr>
          <w:rFonts w:ascii="仿宋_GB2312" w:hAnsi="Times New Roman" w:eastAsia="仿宋_GB2312"/>
          <w:color w:val="000000"/>
        </w:rPr>
      </w:pPr>
      <w:r>
        <w:rPr>
          <w:rFonts w:hint="eastAsia" w:ascii="仿宋_GB2312" w:hAnsi="Times New Roman" w:eastAsia="仿宋_GB2312"/>
          <w:color w:val="000000"/>
        </w:rPr>
        <w:t>本次评估为规划区区域用地地质灾害危险性评估，评估级别定为一级。</w:t>
      </w:r>
    </w:p>
    <w:p>
      <w:pPr>
        <w:pStyle w:val="3"/>
        <w:adjustRightInd w:val="0"/>
        <w:snapToGrid w:val="0"/>
        <w:spacing w:before="0" w:after="0" w:line="600" w:lineRule="atLeast"/>
        <w:rPr>
          <w:rFonts w:ascii="仿宋_GB2312" w:hAnsi="宋体" w:eastAsia="仿宋_GB2312"/>
          <w:b w:val="0"/>
          <w:bCs w:val="0"/>
          <w:color w:val="000000"/>
          <w:kern w:val="0"/>
        </w:rPr>
      </w:pPr>
      <w:bookmarkStart w:id="9" w:name="_Toc10514"/>
      <w:r>
        <w:rPr>
          <w:rFonts w:hint="eastAsia" w:ascii="仿宋_GB2312" w:hAnsi="宋体" w:eastAsia="仿宋_GB2312"/>
          <w:b w:val="0"/>
          <w:bCs w:val="0"/>
          <w:color w:val="000000"/>
          <w:kern w:val="0"/>
        </w:rPr>
        <w:t>1.7 评估工作概况</w:t>
      </w:r>
      <w:bookmarkEnd w:id="9"/>
    </w:p>
    <w:p>
      <w:pPr>
        <w:pStyle w:val="13"/>
        <w:adjustRightInd w:val="0"/>
        <w:snapToGrid w:val="0"/>
        <w:spacing w:before="200" w:line="360" w:lineRule="auto"/>
        <w:rPr>
          <w:rFonts w:ascii="仿宋_GB2312" w:hAnsi="Times New Roman" w:eastAsia="仿宋_GB2312"/>
          <w:color w:val="000000"/>
        </w:rPr>
      </w:pPr>
      <w:r>
        <w:rPr>
          <w:rFonts w:hint="eastAsia" w:ascii="仿宋_GB2312" w:hAnsi="Times New Roman" w:eastAsia="仿宋_GB2312"/>
          <w:color w:val="000000"/>
        </w:rPr>
        <w:t>本次评估以收集区域地质、工程地质、环境地质资料以及地质测绘和地质调查为主。地质调查重点为地块区域内可能产生地质灾害的致灾地质体。</w:t>
      </w:r>
    </w:p>
    <w:p>
      <w:pPr>
        <w:pStyle w:val="13"/>
        <w:adjustRightInd w:val="0"/>
        <w:snapToGrid w:val="0"/>
        <w:spacing w:before="200" w:line="360" w:lineRule="auto"/>
        <w:rPr>
          <w:rFonts w:ascii="仿宋_GB2312" w:hAnsi="Times New Roman" w:eastAsia="仿宋_GB2312"/>
          <w:color w:val="000000"/>
        </w:rPr>
      </w:pPr>
      <w:r>
        <w:rPr>
          <w:rFonts w:hint="eastAsia" w:ascii="仿宋_GB2312" w:hAnsi="Times New Roman" w:eastAsia="仿宋_GB2312"/>
          <w:color w:val="000000"/>
        </w:rPr>
        <w:t>地质调查工作底图采用1:2000地形图，采用小于或等于100m的线距，以穿越法和追踪法相结合，调查线路垂直于构造线和地形走向，以《地质灾害危险性评估技术规范》及相关规范为标准，对用地区域进行了环境地质及水文地质调查。对自然陡坡和不良地质分布点进行了重点调查。范围大致以扶欢循环经济产业园规划地块范围线外延30～200m为界，对区域用地以外有影响该区域的不良地质现象，则加大调查范围。</w:t>
      </w:r>
    </w:p>
    <w:p>
      <w:pPr>
        <w:pStyle w:val="3"/>
        <w:adjustRightInd w:val="0"/>
        <w:snapToGrid w:val="0"/>
        <w:spacing w:before="0" w:after="0" w:line="540" w:lineRule="exact"/>
        <w:rPr>
          <w:rFonts w:ascii="仿宋_GB2312" w:hAnsi="宋体" w:eastAsia="仿宋_GB2312"/>
          <w:b w:val="0"/>
          <w:bCs w:val="0"/>
          <w:color w:val="000000"/>
          <w:kern w:val="0"/>
        </w:rPr>
      </w:pPr>
      <w:bookmarkStart w:id="10" w:name="_Toc10466"/>
      <w:r>
        <w:rPr>
          <w:rFonts w:hint="eastAsia" w:ascii="仿宋_GB2312" w:hAnsi="宋体" w:eastAsia="仿宋_GB2312"/>
          <w:b w:val="0"/>
          <w:bCs w:val="0"/>
          <w:color w:val="000000"/>
          <w:kern w:val="0"/>
        </w:rPr>
        <w:t>1.8 工作量及质量评述</w:t>
      </w:r>
      <w:bookmarkEnd w:id="10"/>
    </w:p>
    <w:p>
      <w:pPr>
        <w:pStyle w:val="13"/>
        <w:adjustRightInd w:val="0"/>
        <w:snapToGrid w:val="0"/>
        <w:spacing w:before="200" w:line="360" w:lineRule="auto"/>
        <w:rPr>
          <w:rFonts w:ascii="仿宋_GB2312" w:hAnsi="Times New Roman" w:eastAsia="仿宋_GB2312"/>
          <w:color w:val="000000"/>
        </w:rPr>
      </w:pPr>
      <w:r>
        <w:rPr>
          <w:rFonts w:hint="eastAsia" w:ascii="仿宋_GB2312" w:hAnsi="Times New Roman" w:eastAsia="仿宋_GB2312"/>
          <w:color w:val="000000"/>
        </w:rPr>
        <w:t>我单位接受委托后，立即成立项目组。项目组以高级工程师为项目负责人，还抽调多名经验丰富的工程技术人员共同组成项目组。外业调查工作开始于2022年4月5日，同年4月10日外业调查工作结束，转入内业资料整理。本次地质灾害危险性评估完成的主要工作量见表1.8-1。</w:t>
      </w:r>
    </w:p>
    <w:p>
      <w:pPr>
        <w:pStyle w:val="16"/>
        <w:spacing w:line="360" w:lineRule="auto"/>
        <w:jc w:val="center"/>
        <w:rPr>
          <w:rFonts w:ascii="仿宋_GB2312" w:hAnsi="Times New Roman" w:eastAsia="仿宋_GB2312"/>
          <w:b/>
          <w:sz w:val="24"/>
          <w:szCs w:val="24"/>
        </w:rPr>
      </w:pPr>
      <w:r>
        <w:rPr>
          <w:rFonts w:hint="eastAsia" w:ascii="仿宋_GB2312" w:hAnsi="Times New Roman" w:eastAsia="仿宋_GB2312"/>
          <w:b/>
          <w:sz w:val="24"/>
          <w:szCs w:val="24"/>
        </w:rPr>
        <w:t>表1.8-1   评估工作量一览表</w:t>
      </w:r>
    </w:p>
    <w:tbl>
      <w:tblPr>
        <w:tblStyle w:val="30"/>
        <w:tblW w:w="47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2645"/>
        <w:gridCol w:w="998"/>
        <w:gridCol w:w="993"/>
        <w:gridCol w:w="1559"/>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exact"/>
          <w:tblHeader/>
          <w:jc w:val="center"/>
        </w:trPr>
        <w:tc>
          <w:tcPr>
            <w:tcW w:w="438" w:type="pct"/>
          </w:tcPr>
          <w:p>
            <w:pPr>
              <w:jc w:val="center"/>
              <w:rPr>
                <w:rFonts w:ascii="仿宋_GB2312" w:eastAsia="仿宋_GB2312"/>
                <w:b/>
                <w:sz w:val="24"/>
              </w:rPr>
            </w:pPr>
            <w:r>
              <w:rPr>
                <w:rFonts w:hint="eastAsia" w:ascii="仿宋_GB2312" w:eastAsia="仿宋_GB2312"/>
                <w:b/>
                <w:sz w:val="24"/>
              </w:rPr>
              <w:t>序号</w:t>
            </w:r>
          </w:p>
        </w:tc>
        <w:tc>
          <w:tcPr>
            <w:tcW w:w="1425" w:type="pct"/>
            <w:vAlign w:val="center"/>
          </w:tcPr>
          <w:p>
            <w:pPr>
              <w:jc w:val="center"/>
              <w:rPr>
                <w:rFonts w:ascii="仿宋_GB2312" w:eastAsia="仿宋_GB2312"/>
                <w:b/>
                <w:sz w:val="24"/>
              </w:rPr>
            </w:pPr>
            <w:r>
              <w:rPr>
                <w:rFonts w:hint="eastAsia" w:ascii="仿宋_GB2312" w:eastAsia="仿宋_GB2312"/>
                <w:b/>
                <w:sz w:val="24"/>
              </w:rPr>
              <w:t>工作内容</w:t>
            </w:r>
          </w:p>
        </w:tc>
        <w:tc>
          <w:tcPr>
            <w:tcW w:w="538" w:type="pct"/>
            <w:vAlign w:val="center"/>
          </w:tcPr>
          <w:p>
            <w:pPr>
              <w:jc w:val="center"/>
              <w:rPr>
                <w:rFonts w:ascii="仿宋_GB2312" w:eastAsia="仿宋_GB2312"/>
                <w:b/>
                <w:sz w:val="24"/>
              </w:rPr>
            </w:pPr>
            <w:r>
              <w:rPr>
                <w:rFonts w:hint="eastAsia" w:ascii="仿宋_GB2312" w:eastAsia="仿宋_GB2312"/>
                <w:b/>
                <w:sz w:val="24"/>
              </w:rPr>
              <w:t>比例尺</w:t>
            </w:r>
          </w:p>
        </w:tc>
        <w:tc>
          <w:tcPr>
            <w:tcW w:w="535" w:type="pct"/>
            <w:vAlign w:val="center"/>
          </w:tcPr>
          <w:p>
            <w:pPr>
              <w:jc w:val="center"/>
              <w:rPr>
                <w:rFonts w:ascii="仿宋_GB2312" w:eastAsia="仿宋_GB2312"/>
                <w:b/>
                <w:sz w:val="24"/>
              </w:rPr>
            </w:pPr>
            <w:r>
              <w:rPr>
                <w:rFonts w:hint="eastAsia" w:ascii="仿宋_GB2312" w:eastAsia="仿宋_GB2312"/>
                <w:b/>
                <w:sz w:val="24"/>
              </w:rPr>
              <w:t>单位</w:t>
            </w:r>
          </w:p>
        </w:tc>
        <w:tc>
          <w:tcPr>
            <w:tcW w:w="840" w:type="pct"/>
            <w:vAlign w:val="center"/>
          </w:tcPr>
          <w:p>
            <w:pPr>
              <w:jc w:val="center"/>
              <w:rPr>
                <w:rFonts w:ascii="仿宋_GB2312" w:eastAsia="仿宋_GB2312"/>
                <w:b/>
                <w:sz w:val="24"/>
              </w:rPr>
            </w:pPr>
            <w:r>
              <w:rPr>
                <w:rFonts w:hint="eastAsia" w:ascii="仿宋_GB2312" w:eastAsia="仿宋_GB2312"/>
                <w:b/>
                <w:sz w:val="24"/>
              </w:rPr>
              <w:t>完成工作量</w:t>
            </w:r>
          </w:p>
        </w:tc>
        <w:tc>
          <w:tcPr>
            <w:tcW w:w="1222" w:type="pct"/>
          </w:tcPr>
          <w:p>
            <w:pPr>
              <w:jc w:val="center"/>
              <w:rPr>
                <w:rFonts w:ascii="仿宋_GB2312" w:eastAsia="仿宋_GB2312"/>
                <w:b/>
                <w:sz w:val="24"/>
              </w:rPr>
            </w:pPr>
            <w:r>
              <w:rPr>
                <w:rFonts w:hint="eastAsia" w:ascii="仿宋_GB2312" w:eastAsia="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blHeader/>
          <w:jc w:val="center"/>
        </w:trPr>
        <w:tc>
          <w:tcPr>
            <w:tcW w:w="438" w:type="pct"/>
          </w:tcPr>
          <w:p>
            <w:pPr>
              <w:jc w:val="center"/>
              <w:rPr>
                <w:rFonts w:ascii="仿宋_GB2312" w:eastAsia="仿宋_GB2312"/>
                <w:sz w:val="24"/>
              </w:rPr>
            </w:pPr>
            <w:r>
              <w:rPr>
                <w:rFonts w:hint="eastAsia" w:ascii="仿宋_GB2312" w:eastAsia="仿宋_GB2312"/>
                <w:sz w:val="24"/>
              </w:rPr>
              <w:t>1</w:t>
            </w:r>
          </w:p>
        </w:tc>
        <w:tc>
          <w:tcPr>
            <w:tcW w:w="1425" w:type="pct"/>
            <w:vAlign w:val="center"/>
          </w:tcPr>
          <w:p>
            <w:pPr>
              <w:jc w:val="center"/>
              <w:rPr>
                <w:rFonts w:ascii="仿宋_GB2312" w:eastAsia="仿宋_GB2312"/>
                <w:sz w:val="24"/>
              </w:rPr>
            </w:pPr>
            <w:r>
              <w:rPr>
                <w:rFonts w:hint="eastAsia" w:ascii="仿宋_GB2312" w:eastAsia="仿宋_GB2312"/>
                <w:sz w:val="24"/>
              </w:rPr>
              <w:t>地质调查</w:t>
            </w:r>
          </w:p>
        </w:tc>
        <w:tc>
          <w:tcPr>
            <w:tcW w:w="538" w:type="pct"/>
            <w:vAlign w:val="center"/>
          </w:tcPr>
          <w:p>
            <w:pPr>
              <w:jc w:val="center"/>
              <w:rPr>
                <w:rFonts w:ascii="仿宋_GB2312" w:eastAsia="仿宋_GB2312"/>
                <w:sz w:val="24"/>
              </w:rPr>
            </w:pPr>
            <w:r>
              <w:rPr>
                <w:rFonts w:hint="eastAsia" w:ascii="仿宋_GB2312" w:eastAsia="仿宋_GB2312"/>
                <w:sz w:val="24"/>
              </w:rPr>
              <w:t>1:2000</w:t>
            </w:r>
          </w:p>
        </w:tc>
        <w:tc>
          <w:tcPr>
            <w:tcW w:w="535" w:type="pct"/>
            <w:vAlign w:val="center"/>
          </w:tcPr>
          <w:p>
            <w:pPr>
              <w:jc w:val="center"/>
              <w:rPr>
                <w:rFonts w:ascii="仿宋_GB2312" w:eastAsia="仿宋_GB2312"/>
                <w:sz w:val="24"/>
              </w:rPr>
            </w:pPr>
            <w:r>
              <w:rPr>
                <w:rFonts w:hint="eastAsia" w:ascii="仿宋_GB2312" w:eastAsia="仿宋_GB2312"/>
                <w:sz w:val="24"/>
              </w:rPr>
              <w:t>km</w:t>
            </w:r>
            <w:r>
              <w:rPr>
                <w:rFonts w:hint="eastAsia" w:ascii="仿宋_GB2312" w:eastAsia="仿宋_GB2312"/>
                <w:sz w:val="24"/>
                <w:vertAlign w:val="superscript"/>
              </w:rPr>
              <w:t>2</w:t>
            </w:r>
          </w:p>
        </w:tc>
        <w:tc>
          <w:tcPr>
            <w:tcW w:w="840" w:type="pct"/>
            <w:vAlign w:val="center"/>
          </w:tcPr>
          <w:p>
            <w:pPr>
              <w:jc w:val="center"/>
              <w:rPr>
                <w:rFonts w:ascii="仿宋_GB2312" w:eastAsia="仿宋_GB2312"/>
                <w:sz w:val="24"/>
              </w:rPr>
            </w:pPr>
            <w:r>
              <w:rPr>
                <w:rFonts w:hint="eastAsia" w:ascii="仿宋_GB2312" w:eastAsia="仿宋_GB2312"/>
                <w:sz w:val="24"/>
              </w:rPr>
              <w:t>2.5</w:t>
            </w:r>
          </w:p>
        </w:tc>
        <w:tc>
          <w:tcPr>
            <w:tcW w:w="1222" w:type="pct"/>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38" w:type="pct"/>
          </w:tcPr>
          <w:p>
            <w:pPr>
              <w:jc w:val="center"/>
              <w:rPr>
                <w:rFonts w:ascii="仿宋_GB2312" w:eastAsia="仿宋_GB2312"/>
                <w:sz w:val="24"/>
              </w:rPr>
            </w:pPr>
            <w:r>
              <w:rPr>
                <w:rFonts w:hint="eastAsia" w:ascii="仿宋_GB2312" w:eastAsia="仿宋_GB2312"/>
                <w:sz w:val="24"/>
              </w:rPr>
              <w:t>2</w:t>
            </w:r>
          </w:p>
        </w:tc>
        <w:tc>
          <w:tcPr>
            <w:tcW w:w="1425" w:type="pct"/>
            <w:vAlign w:val="center"/>
          </w:tcPr>
          <w:p>
            <w:pPr>
              <w:jc w:val="center"/>
              <w:rPr>
                <w:rFonts w:ascii="仿宋_GB2312" w:eastAsia="仿宋_GB2312"/>
                <w:sz w:val="24"/>
              </w:rPr>
            </w:pPr>
            <w:r>
              <w:rPr>
                <w:rFonts w:hint="eastAsia" w:ascii="仿宋_GB2312" w:eastAsia="仿宋_GB2312"/>
                <w:sz w:val="24"/>
              </w:rPr>
              <w:t>平面图</w:t>
            </w:r>
          </w:p>
        </w:tc>
        <w:tc>
          <w:tcPr>
            <w:tcW w:w="538" w:type="pct"/>
            <w:vAlign w:val="center"/>
          </w:tcPr>
          <w:p>
            <w:pPr>
              <w:jc w:val="center"/>
              <w:rPr>
                <w:rFonts w:ascii="仿宋_GB2312" w:eastAsia="仿宋_GB2312"/>
                <w:sz w:val="24"/>
              </w:rPr>
            </w:pPr>
            <w:r>
              <w:rPr>
                <w:rFonts w:hint="eastAsia" w:ascii="仿宋_GB2312" w:eastAsia="仿宋_GB2312"/>
                <w:sz w:val="24"/>
              </w:rPr>
              <w:t>1:2000</w:t>
            </w:r>
          </w:p>
        </w:tc>
        <w:tc>
          <w:tcPr>
            <w:tcW w:w="535" w:type="pct"/>
            <w:vAlign w:val="center"/>
          </w:tcPr>
          <w:p>
            <w:pPr>
              <w:jc w:val="center"/>
              <w:rPr>
                <w:rFonts w:ascii="仿宋_GB2312" w:eastAsia="仿宋_GB2312"/>
                <w:sz w:val="24"/>
              </w:rPr>
            </w:pPr>
            <w:r>
              <w:rPr>
                <w:rFonts w:hint="eastAsia" w:ascii="仿宋_GB2312" w:eastAsia="仿宋_GB2312"/>
                <w:sz w:val="24"/>
              </w:rPr>
              <w:t>张</w:t>
            </w:r>
          </w:p>
        </w:tc>
        <w:tc>
          <w:tcPr>
            <w:tcW w:w="840" w:type="pct"/>
            <w:vAlign w:val="center"/>
          </w:tcPr>
          <w:p>
            <w:pPr>
              <w:jc w:val="center"/>
              <w:rPr>
                <w:rFonts w:ascii="仿宋_GB2312" w:eastAsia="仿宋_GB2312"/>
                <w:sz w:val="24"/>
              </w:rPr>
            </w:pPr>
            <w:r>
              <w:rPr>
                <w:rFonts w:hint="eastAsia" w:ascii="仿宋_GB2312" w:eastAsia="仿宋_GB2312"/>
                <w:sz w:val="24"/>
              </w:rPr>
              <w:t>4</w:t>
            </w:r>
          </w:p>
        </w:tc>
        <w:tc>
          <w:tcPr>
            <w:tcW w:w="1222" w:type="pct"/>
          </w:tcPr>
          <w:p>
            <w:pPr>
              <w:jc w:val="center"/>
              <w:rPr>
                <w:rFonts w:ascii="仿宋_GB2312" w:eastAsia="仿宋_GB2312"/>
                <w:sz w:val="24"/>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exact"/>
          <w:jc w:val="center"/>
        </w:trPr>
        <w:tc>
          <w:tcPr>
            <w:tcW w:w="438" w:type="pct"/>
            <w:vAlign w:val="center"/>
          </w:tcPr>
          <w:p>
            <w:pPr>
              <w:jc w:val="center"/>
              <w:rPr>
                <w:rFonts w:ascii="仿宋_GB2312" w:eastAsia="仿宋_GB2312"/>
                <w:sz w:val="24"/>
              </w:rPr>
            </w:pPr>
            <w:r>
              <w:rPr>
                <w:rFonts w:hint="eastAsia" w:ascii="仿宋_GB2312" w:eastAsia="仿宋_GB2312"/>
                <w:sz w:val="24"/>
              </w:rPr>
              <w:t>4</w:t>
            </w:r>
          </w:p>
        </w:tc>
        <w:tc>
          <w:tcPr>
            <w:tcW w:w="1425" w:type="pct"/>
            <w:vAlign w:val="center"/>
          </w:tcPr>
          <w:p>
            <w:pPr>
              <w:jc w:val="center"/>
              <w:rPr>
                <w:rFonts w:ascii="仿宋_GB2312" w:eastAsia="仿宋_GB2312"/>
                <w:sz w:val="24"/>
              </w:rPr>
            </w:pPr>
            <w:r>
              <w:rPr>
                <w:rFonts w:hint="eastAsia" w:ascii="仿宋_GB2312" w:eastAsia="仿宋_GB2312"/>
                <w:sz w:val="24"/>
              </w:rPr>
              <w:t>地质剖面图测绘</w:t>
            </w:r>
          </w:p>
        </w:tc>
        <w:tc>
          <w:tcPr>
            <w:tcW w:w="538" w:type="pct"/>
            <w:vAlign w:val="center"/>
          </w:tcPr>
          <w:p>
            <w:pPr>
              <w:jc w:val="center"/>
              <w:rPr>
                <w:rFonts w:ascii="仿宋_GB2312" w:eastAsia="仿宋_GB2312"/>
                <w:sz w:val="24"/>
              </w:rPr>
            </w:pPr>
            <w:r>
              <w:rPr>
                <w:rFonts w:hint="eastAsia" w:ascii="仿宋_GB2312" w:eastAsia="仿宋_GB2312"/>
                <w:sz w:val="24"/>
              </w:rPr>
              <w:t>1:2000</w:t>
            </w:r>
          </w:p>
        </w:tc>
        <w:tc>
          <w:tcPr>
            <w:tcW w:w="535" w:type="pct"/>
            <w:vAlign w:val="center"/>
          </w:tcPr>
          <w:p>
            <w:pPr>
              <w:jc w:val="center"/>
              <w:rPr>
                <w:rFonts w:ascii="仿宋_GB2312" w:eastAsia="仿宋_GB2312"/>
                <w:sz w:val="24"/>
              </w:rPr>
            </w:pPr>
            <w:r>
              <w:rPr>
                <w:rFonts w:hint="eastAsia" w:ascii="仿宋_GB2312" w:eastAsia="仿宋_GB2312"/>
                <w:sz w:val="24"/>
              </w:rPr>
              <w:t>条</w:t>
            </w:r>
          </w:p>
        </w:tc>
        <w:tc>
          <w:tcPr>
            <w:tcW w:w="840" w:type="pct"/>
            <w:vAlign w:val="center"/>
          </w:tcPr>
          <w:p>
            <w:pPr>
              <w:jc w:val="center"/>
              <w:rPr>
                <w:rFonts w:ascii="仿宋_GB2312" w:eastAsia="仿宋_GB2312"/>
                <w:sz w:val="24"/>
              </w:rPr>
            </w:pPr>
            <w:r>
              <w:rPr>
                <w:rFonts w:hint="eastAsia" w:ascii="仿宋_GB2312" w:eastAsia="仿宋_GB2312"/>
                <w:sz w:val="24"/>
              </w:rPr>
              <w:t>16</w:t>
            </w:r>
          </w:p>
        </w:tc>
        <w:tc>
          <w:tcPr>
            <w:tcW w:w="1222" w:type="pct"/>
          </w:tcPr>
          <w:p>
            <w:pPr>
              <w:jc w:val="center"/>
              <w:rPr>
                <w:rFonts w:ascii="仿宋_GB2312" w:eastAsia="仿宋_GB2312"/>
                <w:sz w:val="24"/>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38" w:type="pct"/>
          </w:tcPr>
          <w:p>
            <w:pPr>
              <w:jc w:val="center"/>
              <w:rPr>
                <w:rFonts w:ascii="仿宋_GB2312" w:eastAsia="仿宋_GB2312"/>
                <w:sz w:val="24"/>
              </w:rPr>
            </w:pPr>
            <w:r>
              <w:rPr>
                <w:rFonts w:hint="eastAsia" w:ascii="仿宋_GB2312" w:eastAsia="仿宋_GB2312"/>
                <w:sz w:val="24"/>
              </w:rPr>
              <w:t>5</w:t>
            </w:r>
          </w:p>
        </w:tc>
        <w:tc>
          <w:tcPr>
            <w:tcW w:w="1425" w:type="pct"/>
            <w:vAlign w:val="center"/>
          </w:tcPr>
          <w:p>
            <w:pPr>
              <w:jc w:val="center"/>
              <w:rPr>
                <w:rFonts w:ascii="仿宋_GB2312" w:eastAsia="仿宋_GB2312"/>
                <w:sz w:val="24"/>
              </w:rPr>
            </w:pPr>
            <w:r>
              <w:rPr>
                <w:rFonts w:hint="eastAsia" w:ascii="仿宋_GB2312" w:eastAsia="仿宋_GB2312"/>
                <w:sz w:val="24"/>
              </w:rPr>
              <w:t>文字报告</w:t>
            </w:r>
          </w:p>
        </w:tc>
        <w:tc>
          <w:tcPr>
            <w:tcW w:w="1073" w:type="pct"/>
            <w:gridSpan w:val="2"/>
            <w:vAlign w:val="center"/>
          </w:tcPr>
          <w:p>
            <w:pPr>
              <w:jc w:val="center"/>
              <w:rPr>
                <w:rFonts w:ascii="仿宋_GB2312" w:eastAsia="仿宋_GB2312"/>
                <w:sz w:val="24"/>
              </w:rPr>
            </w:pPr>
            <w:r>
              <w:rPr>
                <w:rFonts w:hint="eastAsia" w:ascii="仿宋_GB2312" w:eastAsia="仿宋_GB2312"/>
                <w:sz w:val="24"/>
              </w:rPr>
              <w:t>册</w:t>
            </w:r>
          </w:p>
        </w:tc>
        <w:tc>
          <w:tcPr>
            <w:tcW w:w="840" w:type="pct"/>
            <w:vAlign w:val="center"/>
          </w:tcPr>
          <w:p>
            <w:pPr>
              <w:jc w:val="center"/>
              <w:rPr>
                <w:rFonts w:ascii="仿宋_GB2312" w:eastAsia="仿宋_GB2312"/>
                <w:sz w:val="24"/>
              </w:rPr>
            </w:pPr>
            <w:r>
              <w:rPr>
                <w:rFonts w:hint="eastAsia" w:ascii="仿宋_GB2312" w:eastAsia="仿宋_GB2312"/>
                <w:sz w:val="24"/>
              </w:rPr>
              <w:t>1</w:t>
            </w:r>
          </w:p>
        </w:tc>
        <w:tc>
          <w:tcPr>
            <w:tcW w:w="1222" w:type="pct"/>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438" w:type="pct"/>
          </w:tcPr>
          <w:p>
            <w:pPr>
              <w:jc w:val="center"/>
              <w:rPr>
                <w:rFonts w:ascii="仿宋_GB2312" w:eastAsia="仿宋_GB2312"/>
                <w:sz w:val="24"/>
              </w:rPr>
            </w:pPr>
            <w:r>
              <w:rPr>
                <w:rFonts w:hint="eastAsia" w:ascii="仿宋_GB2312" w:eastAsia="仿宋_GB2312"/>
                <w:sz w:val="24"/>
              </w:rPr>
              <w:t>6</w:t>
            </w:r>
          </w:p>
        </w:tc>
        <w:tc>
          <w:tcPr>
            <w:tcW w:w="1425" w:type="pct"/>
            <w:vAlign w:val="center"/>
          </w:tcPr>
          <w:p>
            <w:pPr>
              <w:jc w:val="center"/>
              <w:rPr>
                <w:rFonts w:ascii="仿宋_GB2312" w:eastAsia="仿宋_GB2312"/>
                <w:sz w:val="24"/>
              </w:rPr>
            </w:pPr>
            <w:r>
              <w:rPr>
                <w:rFonts w:hint="eastAsia" w:ascii="仿宋_GB2312" w:eastAsia="仿宋_GB2312"/>
                <w:sz w:val="24"/>
              </w:rPr>
              <w:t>斜(边)坡及地质调查点</w:t>
            </w:r>
          </w:p>
        </w:tc>
        <w:tc>
          <w:tcPr>
            <w:tcW w:w="1073" w:type="pct"/>
            <w:gridSpan w:val="2"/>
            <w:vAlign w:val="center"/>
          </w:tcPr>
          <w:p>
            <w:pPr>
              <w:jc w:val="center"/>
              <w:rPr>
                <w:rFonts w:ascii="仿宋_GB2312" w:eastAsia="仿宋_GB2312"/>
                <w:sz w:val="24"/>
              </w:rPr>
            </w:pPr>
            <w:r>
              <w:rPr>
                <w:rFonts w:hint="eastAsia" w:ascii="仿宋_GB2312" w:eastAsia="仿宋_GB2312"/>
                <w:sz w:val="24"/>
              </w:rPr>
              <w:t>个</w:t>
            </w:r>
          </w:p>
        </w:tc>
        <w:tc>
          <w:tcPr>
            <w:tcW w:w="840" w:type="pct"/>
            <w:vAlign w:val="center"/>
          </w:tcPr>
          <w:p>
            <w:pPr>
              <w:jc w:val="center"/>
              <w:rPr>
                <w:rFonts w:ascii="仿宋_GB2312" w:eastAsia="仿宋_GB2312"/>
                <w:sz w:val="24"/>
              </w:rPr>
            </w:pPr>
            <w:r>
              <w:rPr>
                <w:rFonts w:hint="eastAsia" w:ascii="仿宋_GB2312" w:eastAsia="仿宋_GB2312"/>
                <w:sz w:val="24"/>
              </w:rPr>
              <w:t>76</w:t>
            </w:r>
          </w:p>
        </w:tc>
        <w:tc>
          <w:tcPr>
            <w:tcW w:w="1222" w:type="pct"/>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438" w:type="pct"/>
          </w:tcPr>
          <w:p>
            <w:pPr>
              <w:jc w:val="center"/>
              <w:rPr>
                <w:rFonts w:ascii="仿宋_GB2312" w:eastAsia="仿宋_GB2312"/>
                <w:sz w:val="24"/>
              </w:rPr>
            </w:pPr>
            <w:r>
              <w:rPr>
                <w:rFonts w:hint="eastAsia" w:ascii="仿宋_GB2312" w:eastAsia="仿宋_GB2312"/>
                <w:sz w:val="24"/>
              </w:rPr>
              <w:t>7</w:t>
            </w:r>
          </w:p>
        </w:tc>
        <w:tc>
          <w:tcPr>
            <w:tcW w:w="1425" w:type="pct"/>
            <w:vAlign w:val="center"/>
          </w:tcPr>
          <w:p>
            <w:pPr>
              <w:jc w:val="center"/>
              <w:rPr>
                <w:rFonts w:ascii="仿宋_GB2312" w:eastAsia="仿宋_GB2312"/>
                <w:sz w:val="24"/>
              </w:rPr>
            </w:pPr>
            <w:r>
              <w:rPr>
                <w:rFonts w:hint="eastAsia" w:ascii="仿宋_GB2312" w:eastAsia="仿宋_GB2312"/>
                <w:sz w:val="24"/>
              </w:rPr>
              <w:t>收集资料</w:t>
            </w:r>
          </w:p>
        </w:tc>
        <w:tc>
          <w:tcPr>
            <w:tcW w:w="1073" w:type="pct"/>
            <w:gridSpan w:val="2"/>
            <w:vAlign w:val="center"/>
          </w:tcPr>
          <w:p>
            <w:pPr>
              <w:jc w:val="center"/>
              <w:rPr>
                <w:rFonts w:ascii="仿宋_GB2312" w:eastAsia="仿宋_GB2312"/>
                <w:sz w:val="24"/>
              </w:rPr>
            </w:pPr>
            <w:r>
              <w:rPr>
                <w:rFonts w:hint="eastAsia" w:ascii="仿宋_GB2312" w:eastAsia="仿宋_GB2312"/>
                <w:sz w:val="24"/>
              </w:rPr>
              <w:t>册</w:t>
            </w:r>
          </w:p>
        </w:tc>
        <w:tc>
          <w:tcPr>
            <w:tcW w:w="840" w:type="pct"/>
            <w:vAlign w:val="center"/>
          </w:tcPr>
          <w:p>
            <w:pPr>
              <w:jc w:val="center"/>
              <w:rPr>
                <w:rFonts w:ascii="仿宋_GB2312" w:eastAsia="仿宋_GB2312"/>
                <w:sz w:val="24"/>
              </w:rPr>
            </w:pPr>
            <w:r>
              <w:rPr>
                <w:rFonts w:hint="eastAsia" w:ascii="仿宋_GB2312" w:eastAsia="仿宋_GB2312"/>
                <w:sz w:val="24"/>
              </w:rPr>
              <w:t>1</w:t>
            </w:r>
          </w:p>
        </w:tc>
        <w:tc>
          <w:tcPr>
            <w:tcW w:w="1222" w:type="pct"/>
          </w:tcPr>
          <w:p>
            <w:pPr>
              <w:jc w:val="center"/>
              <w:rPr>
                <w:rFonts w:ascii="仿宋_GB2312" w:eastAsia="仿宋_GB2312"/>
                <w:sz w:val="24"/>
              </w:rPr>
            </w:pPr>
          </w:p>
        </w:tc>
      </w:tr>
    </w:tbl>
    <w:p>
      <w:pPr>
        <w:pStyle w:val="13"/>
        <w:adjustRightInd w:val="0"/>
        <w:snapToGrid w:val="0"/>
        <w:spacing w:before="200" w:line="360" w:lineRule="auto"/>
        <w:rPr>
          <w:rFonts w:ascii="仿宋_GB2312" w:hAnsi="Times New Roman" w:eastAsia="仿宋_GB2312"/>
          <w:color w:val="000000"/>
        </w:rPr>
      </w:pPr>
      <w:r>
        <w:rPr>
          <w:rFonts w:hint="eastAsia" w:ascii="仿宋_GB2312" w:hAnsi="Times New Roman" w:eastAsia="仿宋_GB2312"/>
          <w:color w:val="000000"/>
        </w:rPr>
        <w:t>公司总工办技术领导参与了评估工作并全过程质量把关。本次地质环境影响评估工作以查明区域用地地质环境条件为主，地质调查工作底图比例尺1:2000，成图比例尺为1:2000，范围以区域用地范围为界，对区域内有危害性的地质因素作了定点观测，并根据不良地质现象的规模及其影响范围加宽了调查区域。本次调查与评价工作搜集的相关资料内容较齐全，且充分利用了搜集资料。工作程度达到了区域用地地质灾害危险性评估相关技术规程、规范要求。对区域用地的评估依据充分。收集到的野外资料真实可靠。评估报告编写依据充分，表述清楚，较好地完成了本次评估任务，</w:t>
      </w:r>
      <w:r>
        <w:rPr>
          <w:rFonts w:hint="eastAsia" w:ascii="仿宋_GB2312" w:eastAsia="仿宋_GB2312"/>
          <w:color w:val="000000"/>
        </w:rPr>
        <w:t>达到了区域用地地质灾害危险性评估目的，</w:t>
      </w:r>
      <w:r>
        <w:rPr>
          <w:rFonts w:hint="eastAsia" w:ascii="仿宋_GB2312" w:hAnsi="Times New Roman" w:eastAsia="仿宋_GB2312"/>
          <w:color w:val="000000"/>
        </w:rPr>
        <w:t>完成质量良好，评估工作满足规范要求。</w:t>
      </w:r>
    </w:p>
    <w:p>
      <w:pPr>
        <w:pStyle w:val="2"/>
        <w:adjustRightInd w:val="0"/>
        <w:snapToGrid w:val="0"/>
        <w:spacing w:before="360" w:beforeLines="150" w:line="360" w:lineRule="auto"/>
        <w:ind w:firstLine="0"/>
        <w:rPr>
          <w:rFonts w:ascii="仿宋_GB2312" w:hAnsi="宋体" w:eastAsia="仿宋_GB2312"/>
          <w:b/>
          <w:bCs/>
          <w:i w:val="0"/>
          <w:iCs w:val="0"/>
          <w:sz w:val="36"/>
          <w:szCs w:val="36"/>
        </w:rPr>
      </w:pPr>
      <w:bookmarkStart w:id="11" w:name="_Toc10760"/>
      <w:r>
        <w:rPr>
          <w:rFonts w:hint="eastAsia" w:ascii="仿宋_GB2312" w:hAnsi="宋体" w:eastAsia="仿宋_GB2312"/>
          <w:b/>
          <w:bCs/>
          <w:i w:val="0"/>
          <w:iCs w:val="0"/>
          <w:sz w:val="36"/>
          <w:szCs w:val="36"/>
        </w:rPr>
        <w:t>2 区域基本情况</w:t>
      </w:r>
      <w:bookmarkEnd w:id="11"/>
    </w:p>
    <w:p>
      <w:pPr>
        <w:pStyle w:val="3"/>
        <w:adjustRightInd w:val="0"/>
        <w:snapToGrid w:val="0"/>
        <w:spacing w:before="0" w:after="0" w:line="360" w:lineRule="auto"/>
        <w:rPr>
          <w:rFonts w:ascii="仿宋_GB2312" w:hAnsi="宋体" w:eastAsia="仿宋_GB2312"/>
          <w:b w:val="0"/>
          <w:bCs w:val="0"/>
          <w:color w:val="000000"/>
          <w:kern w:val="0"/>
        </w:rPr>
      </w:pPr>
      <w:bookmarkStart w:id="12" w:name="_Toc1861"/>
      <w:r>
        <w:rPr>
          <w:rFonts w:hint="eastAsia" w:ascii="仿宋_GB2312" w:hAnsi="宋体" w:eastAsia="仿宋_GB2312"/>
          <w:b w:val="0"/>
          <w:bCs w:val="0"/>
          <w:color w:val="000000"/>
          <w:kern w:val="0"/>
        </w:rPr>
        <w:t>2.1 区域用地规划概况</w:t>
      </w:r>
      <w:bookmarkEnd w:id="12"/>
    </w:p>
    <w:p>
      <w:pPr>
        <w:spacing w:line="360" w:lineRule="auto"/>
        <w:ind w:firstLine="560" w:firstLineChars="200"/>
        <w:rPr>
          <w:rFonts w:ascii="仿宋_GB2312" w:eastAsia="仿宋_GB2312"/>
          <w:color w:val="000000"/>
          <w:sz w:val="28"/>
          <w:szCs w:val="28"/>
        </w:rPr>
      </w:pPr>
      <w:r>
        <w:rPr>
          <w:rFonts w:hint="eastAsia" w:ascii="仿宋_GB2312" w:eastAsia="仿宋_GB2312"/>
          <w:color w:val="000000"/>
          <w:sz w:val="28"/>
          <w:szCs w:val="28"/>
        </w:rPr>
        <w:t>评估区位于扶欢镇位于綦江城区东南部，介于北纬28°51'33"~28°52'11"、东经106°42'46"~106°45'12"之间。东邻</w:t>
      </w:r>
      <w:r>
        <w:fldChar w:fldCharType="begin"/>
      </w:r>
      <w:r>
        <w:instrText xml:space="preserve"> HYPERLINK "https://baike.baidu.com/item/%E4%B8%87%E7%9B%9B%E5%8C%BA/2531947" \t "https://baike.baidu.com/item/%E6%89%B6%E6%AC%A2%E9%95%87/_blank" </w:instrText>
      </w:r>
      <w:r>
        <w:fldChar w:fldCharType="separate"/>
      </w:r>
      <w:r>
        <w:rPr>
          <w:rFonts w:ascii="仿宋_GB2312" w:eastAsia="仿宋_GB2312"/>
          <w:color w:val="000000"/>
          <w:sz w:val="28"/>
          <w:szCs w:val="28"/>
        </w:rPr>
        <w:t>万盛区</w:t>
      </w:r>
      <w:r>
        <w:rPr>
          <w:rFonts w:ascii="仿宋_GB2312" w:eastAsia="仿宋_GB2312"/>
          <w:color w:val="000000"/>
          <w:sz w:val="28"/>
          <w:szCs w:val="28"/>
        </w:rPr>
        <w:fldChar w:fldCharType="end"/>
      </w:r>
      <w:r>
        <w:fldChar w:fldCharType="begin"/>
      </w:r>
      <w:r>
        <w:instrText xml:space="preserve"> HYPERLINK "https://baike.baidu.com/item/%E5%85%B3%E5%9D%9D%E9%95%87/6948186" \t "https://baike.baidu.com/item/%E6%89%B6%E6%AC%A2%E9%95%87/_blank" </w:instrText>
      </w:r>
      <w:r>
        <w:fldChar w:fldCharType="separate"/>
      </w:r>
      <w:r>
        <w:rPr>
          <w:rFonts w:ascii="仿宋_GB2312" w:eastAsia="仿宋_GB2312"/>
          <w:color w:val="000000"/>
          <w:sz w:val="28"/>
          <w:szCs w:val="28"/>
        </w:rPr>
        <w:t>关坝镇</w:t>
      </w:r>
      <w:r>
        <w:rPr>
          <w:rFonts w:ascii="仿宋_GB2312" w:eastAsia="仿宋_GB2312"/>
          <w:color w:val="000000"/>
          <w:sz w:val="28"/>
          <w:szCs w:val="28"/>
        </w:rPr>
        <w:fldChar w:fldCharType="end"/>
      </w:r>
      <w:r>
        <w:rPr>
          <w:rFonts w:ascii="仿宋_GB2312" w:eastAsia="仿宋_GB2312"/>
          <w:color w:val="000000"/>
          <w:sz w:val="28"/>
          <w:szCs w:val="28"/>
        </w:rPr>
        <w:t>、</w:t>
      </w:r>
      <w:r>
        <w:fldChar w:fldCharType="begin"/>
      </w:r>
      <w:r>
        <w:instrText xml:space="preserve"> HYPERLINK "https://baike.baidu.com/item/%E9%9D%92%E5%B9%B4%E9%95%87/6738451" \t "https://baike.baidu.com/item/%E6%89%B6%E6%AC%A2%E9%95%87/_blank" </w:instrText>
      </w:r>
      <w:r>
        <w:fldChar w:fldCharType="separate"/>
      </w:r>
      <w:r>
        <w:rPr>
          <w:rFonts w:ascii="仿宋_GB2312" w:eastAsia="仿宋_GB2312"/>
          <w:color w:val="000000"/>
          <w:sz w:val="28"/>
          <w:szCs w:val="28"/>
        </w:rPr>
        <w:t>青年镇</w:t>
      </w:r>
      <w:r>
        <w:rPr>
          <w:rFonts w:ascii="仿宋_GB2312" w:eastAsia="仿宋_GB2312"/>
          <w:color w:val="000000"/>
          <w:sz w:val="28"/>
          <w:szCs w:val="28"/>
        </w:rPr>
        <w:fldChar w:fldCharType="end"/>
      </w:r>
      <w:r>
        <w:rPr>
          <w:rFonts w:ascii="仿宋_GB2312" w:eastAsia="仿宋_GB2312"/>
          <w:color w:val="000000"/>
          <w:sz w:val="28"/>
          <w:szCs w:val="28"/>
        </w:rPr>
        <w:t>，南与</w:t>
      </w:r>
      <w:r>
        <w:fldChar w:fldCharType="begin"/>
      </w:r>
      <w:r>
        <w:instrText xml:space="preserve"> HYPERLINK "https://baike.baidu.com/item/%E8%B5%B6%E6%B0%B4%E9%95%87/9148107" \t "https://baike.baidu.com/item/%E6%89%B6%E6%AC%A2%E9%95%87/_blank" </w:instrText>
      </w:r>
      <w:r>
        <w:fldChar w:fldCharType="separate"/>
      </w:r>
      <w:r>
        <w:rPr>
          <w:rFonts w:ascii="仿宋_GB2312" w:eastAsia="仿宋_GB2312"/>
          <w:color w:val="000000"/>
          <w:sz w:val="28"/>
          <w:szCs w:val="28"/>
        </w:rPr>
        <w:t>赶水镇</w:t>
      </w:r>
      <w:r>
        <w:rPr>
          <w:rFonts w:ascii="仿宋_GB2312" w:eastAsia="仿宋_GB2312"/>
          <w:color w:val="000000"/>
          <w:sz w:val="28"/>
          <w:szCs w:val="28"/>
        </w:rPr>
        <w:fldChar w:fldCharType="end"/>
      </w:r>
      <w:r>
        <w:rPr>
          <w:rFonts w:ascii="仿宋_GB2312" w:eastAsia="仿宋_GB2312"/>
          <w:color w:val="000000"/>
          <w:sz w:val="28"/>
          <w:szCs w:val="28"/>
        </w:rPr>
        <w:t>交界，西连</w:t>
      </w:r>
      <w:r>
        <w:fldChar w:fldCharType="begin"/>
      </w:r>
      <w:r>
        <w:instrText xml:space="preserve"> HYPERLINK "https://baike.baidu.com/item/%E4%B8%9C%E6%BA%AA%E9%95%87/12815" \t "https://baike.baidu.com/item/%E6%89%B6%E6%AC%A2%E9%95%87/_blank" </w:instrText>
      </w:r>
      <w:r>
        <w:fldChar w:fldCharType="separate"/>
      </w:r>
      <w:r>
        <w:rPr>
          <w:rFonts w:ascii="仿宋_GB2312" w:eastAsia="仿宋_GB2312"/>
          <w:color w:val="000000"/>
          <w:sz w:val="28"/>
          <w:szCs w:val="28"/>
        </w:rPr>
        <w:t>东溪镇</w:t>
      </w:r>
      <w:r>
        <w:rPr>
          <w:rFonts w:ascii="仿宋_GB2312" w:eastAsia="仿宋_GB2312"/>
          <w:color w:val="000000"/>
          <w:sz w:val="28"/>
          <w:szCs w:val="28"/>
        </w:rPr>
        <w:fldChar w:fldCharType="end"/>
      </w:r>
      <w:r>
        <w:rPr>
          <w:rFonts w:ascii="仿宋_GB2312" w:eastAsia="仿宋_GB2312"/>
          <w:color w:val="000000"/>
          <w:sz w:val="28"/>
          <w:szCs w:val="28"/>
        </w:rPr>
        <w:t>、</w:t>
      </w:r>
      <w:r>
        <w:fldChar w:fldCharType="begin"/>
      </w:r>
      <w:r>
        <w:instrText xml:space="preserve"> HYPERLINK "https://baike.baidu.com/item/%E7%AF%86%E5%A1%98%E9%95%87/5839427" \t "https://baike.baidu.com/item/%E6%89%B6%E6%AC%A2%E9%95%87/_blank" </w:instrText>
      </w:r>
      <w:r>
        <w:fldChar w:fldCharType="separate"/>
      </w:r>
      <w:r>
        <w:rPr>
          <w:rFonts w:ascii="仿宋_GB2312" w:eastAsia="仿宋_GB2312"/>
          <w:color w:val="000000"/>
          <w:sz w:val="28"/>
          <w:szCs w:val="28"/>
        </w:rPr>
        <w:t>篆塘镇</w:t>
      </w:r>
      <w:r>
        <w:rPr>
          <w:rFonts w:ascii="仿宋_GB2312" w:eastAsia="仿宋_GB2312"/>
          <w:color w:val="000000"/>
          <w:sz w:val="28"/>
          <w:szCs w:val="28"/>
        </w:rPr>
        <w:fldChar w:fldCharType="end"/>
      </w:r>
      <w:r>
        <w:rPr>
          <w:rFonts w:ascii="仿宋_GB2312" w:eastAsia="仿宋_GB2312"/>
          <w:color w:val="000000"/>
          <w:sz w:val="28"/>
          <w:szCs w:val="28"/>
        </w:rPr>
        <w:t>，北与</w:t>
      </w:r>
      <w:r>
        <w:fldChar w:fldCharType="begin"/>
      </w:r>
      <w:r>
        <w:instrText xml:space="preserve"> HYPERLINK "https://baike.baidu.com/item/%E4%B8%89%E6%B1%9F%E8%A1%97%E9%81%93/10303715" \t "https://baike.baidu.com/item/%E6%89%B6%E6%AC%A2%E9%95%87/_blank" </w:instrText>
      </w:r>
      <w:r>
        <w:fldChar w:fldCharType="separate"/>
      </w:r>
      <w:r>
        <w:rPr>
          <w:rFonts w:ascii="仿宋_GB2312" w:eastAsia="仿宋_GB2312"/>
          <w:color w:val="000000"/>
          <w:sz w:val="28"/>
          <w:szCs w:val="28"/>
        </w:rPr>
        <w:t>三江街道</w:t>
      </w:r>
      <w:r>
        <w:rPr>
          <w:rFonts w:ascii="仿宋_GB2312" w:eastAsia="仿宋_GB2312"/>
          <w:color w:val="000000"/>
          <w:sz w:val="28"/>
          <w:szCs w:val="28"/>
        </w:rPr>
        <w:fldChar w:fldCharType="end"/>
      </w:r>
      <w:r>
        <w:rPr>
          <w:rFonts w:ascii="仿宋_GB2312" w:eastAsia="仿宋_GB2312"/>
          <w:color w:val="000000"/>
          <w:sz w:val="28"/>
          <w:szCs w:val="28"/>
        </w:rPr>
        <w:t>、</w:t>
      </w:r>
      <w:r>
        <w:fldChar w:fldCharType="begin"/>
      </w:r>
      <w:r>
        <w:instrText xml:space="preserve"> HYPERLINK "https://baike.baidu.com/item/%E7%9F%B3%E8%A7%92%E9%95%87/10947" \t "https://baike.baidu.com/item/%E6%89%B6%E6%AC%A2%E9%95%87/_blank" </w:instrText>
      </w:r>
      <w:r>
        <w:fldChar w:fldCharType="separate"/>
      </w:r>
      <w:r>
        <w:rPr>
          <w:rFonts w:ascii="仿宋_GB2312" w:eastAsia="仿宋_GB2312"/>
          <w:color w:val="000000"/>
          <w:sz w:val="28"/>
          <w:szCs w:val="28"/>
        </w:rPr>
        <w:t>石角镇</w:t>
      </w:r>
      <w:r>
        <w:rPr>
          <w:rFonts w:ascii="仿宋_GB2312" w:eastAsia="仿宋_GB2312"/>
          <w:color w:val="000000"/>
          <w:sz w:val="28"/>
          <w:szCs w:val="28"/>
        </w:rPr>
        <w:fldChar w:fldCharType="end"/>
      </w:r>
      <w:r>
        <w:rPr>
          <w:rFonts w:ascii="仿宋_GB2312" w:eastAsia="仿宋_GB2312"/>
          <w:color w:val="000000"/>
          <w:sz w:val="28"/>
          <w:szCs w:val="28"/>
        </w:rPr>
        <w:t>接壤。</w:t>
      </w:r>
      <w:r>
        <w:rPr>
          <w:rFonts w:hint="eastAsia" w:ascii="仿宋_GB2312" w:eastAsia="仿宋_GB2312"/>
          <w:color w:val="000000"/>
          <w:sz w:val="28"/>
          <w:szCs w:val="28"/>
        </w:rPr>
        <w:t>评估范围2.5平方公里。</w:t>
      </w:r>
    </w:p>
    <w:p>
      <w:pPr>
        <w:pStyle w:val="3"/>
        <w:adjustRightInd w:val="0"/>
        <w:snapToGrid w:val="0"/>
        <w:spacing w:before="0" w:after="0" w:line="360" w:lineRule="auto"/>
        <w:rPr>
          <w:rFonts w:ascii="仿宋_GB2312" w:hAnsi="宋体" w:eastAsia="仿宋_GB2312"/>
          <w:b w:val="0"/>
          <w:bCs w:val="0"/>
          <w:color w:val="000000"/>
          <w:kern w:val="0"/>
        </w:rPr>
      </w:pPr>
      <w:bookmarkStart w:id="13" w:name="_Toc26161"/>
      <w:r>
        <w:rPr>
          <w:rFonts w:hint="eastAsia" w:ascii="仿宋_GB2312" w:hAnsi="宋体" w:eastAsia="仿宋_GB2312"/>
          <w:b w:val="0"/>
          <w:bCs w:val="0"/>
          <w:color w:val="000000"/>
          <w:kern w:val="0"/>
        </w:rPr>
        <w:t>2.2拟建项目概况</w:t>
      </w:r>
      <w:bookmarkEnd w:id="13"/>
    </w:p>
    <w:p>
      <w:pPr>
        <w:spacing w:line="360" w:lineRule="auto"/>
        <w:ind w:firstLine="560" w:firstLineChars="200"/>
        <w:rPr>
          <w:rFonts w:ascii="仿宋_GB2312" w:eastAsia="仿宋_GB2312"/>
          <w:color w:val="000000"/>
          <w:sz w:val="28"/>
          <w:szCs w:val="28"/>
        </w:rPr>
      </w:pPr>
      <w:r>
        <w:rPr>
          <w:rFonts w:hint="eastAsia" w:ascii="仿宋_GB2312" w:eastAsia="仿宋_GB2312"/>
          <w:color w:val="000000"/>
          <w:sz w:val="28"/>
          <w:szCs w:val="28"/>
        </w:rPr>
        <w:t>为了适应扶欢产业发展要求，优化和合理配置城市空间资源，强化对城市空间资源的管理，确保扶欢循环经济产业园的城市建设和管理有序进行。控制性详细规划如下：</w:t>
      </w:r>
    </w:p>
    <w:p>
      <w:pPr>
        <w:spacing w:line="360" w:lineRule="auto"/>
        <w:ind w:left="-13" w:leftChars="-6" w:firstLine="560" w:firstLineChars="200"/>
        <w:rPr>
          <w:rFonts w:ascii="仿宋_GB2312" w:eastAsia="仿宋_GB2312"/>
          <w:color w:val="000000"/>
          <w:sz w:val="28"/>
          <w:szCs w:val="28"/>
        </w:rPr>
      </w:pPr>
      <w:r>
        <w:rPr>
          <w:rFonts w:hint="eastAsia" w:ascii="仿宋_GB2312" w:eastAsia="仿宋_GB2312"/>
          <w:color w:val="000000"/>
          <w:sz w:val="28"/>
          <w:szCs w:val="28"/>
        </w:rPr>
        <w:t>一、规划原则</w:t>
      </w:r>
    </w:p>
    <w:p>
      <w:pPr>
        <w:spacing w:line="360" w:lineRule="auto"/>
        <w:ind w:firstLine="560" w:firstLineChars="200"/>
        <w:rPr>
          <w:rFonts w:ascii="仿宋_GB2312" w:eastAsia="仿宋_GB2312"/>
          <w:color w:val="000000"/>
          <w:sz w:val="28"/>
          <w:szCs w:val="28"/>
        </w:rPr>
      </w:pPr>
      <w:r>
        <w:rPr>
          <w:rFonts w:hint="eastAsia" w:ascii="仿宋_GB2312" w:eastAsia="仿宋_GB2312"/>
          <w:color w:val="000000"/>
          <w:sz w:val="28"/>
          <w:szCs w:val="28"/>
        </w:rPr>
        <w:t>1.优地优用，集约高效：充分发掘土地的价值。</w:t>
      </w:r>
    </w:p>
    <w:p>
      <w:pPr>
        <w:spacing w:line="60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2.集疏通畅，配套完善：合理布局各项功能，完善各项配套，交通网络通达畅通，集聚疏散快速便捷。</w:t>
      </w:r>
    </w:p>
    <w:p>
      <w:pPr>
        <w:spacing w:line="60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3. 弹性控制，刚柔并济：创新规划编制理念，合理区分刚性和弹性控制要求，增强规划的适应性。</w:t>
      </w:r>
    </w:p>
    <w:p>
      <w:pPr>
        <w:spacing w:line="60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二、功能定位</w:t>
      </w:r>
    </w:p>
    <w:p>
      <w:pPr>
        <w:spacing w:line="60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扶欢循环经济产业园主要由一类工业用地、二类工业用地、仓储用地、</w:t>
      </w:r>
      <w:r>
        <w:rPr>
          <w:rFonts w:hint="eastAsia" w:ascii="仿宋_GB2312" w:eastAsia="仿宋_GB2312"/>
          <w:color w:val="000000" w:themeColor="text1"/>
          <w:sz w:val="28"/>
          <w:szCs w:val="28"/>
        </w:rPr>
        <w:t>技术服务办公用地</w:t>
      </w:r>
      <w:r>
        <w:rPr>
          <w:rFonts w:hint="eastAsia" w:ascii="仿宋_GB2312" w:eastAsia="仿宋_GB2312"/>
          <w:color w:val="000000"/>
          <w:sz w:val="28"/>
          <w:szCs w:val="28"/>
        </w:rPr>
        <w:t>、</w:t>
      </w:r>
      <w:r>
        <w:rPr>
          <w:rFonts w:hint="eastAsia" w:ascii="仿宋_GB2312" w:eastAsia="仿宋_GB2312"/>
          <w:color w:val="000000" w:themeColor="text1"/>
          <w:sz w:val="28"/>
          <w:szCs w:val="28"/>
        </w:rPr>
        <w:t>道路与交通设施用地、</w:t>
      </w:r>
      <w:r>
        <w:rPr>
          <w:rFonts w:hint="eastAsia" w:ascii="仿宋_GB2312" w:eastAsia="仿宋_GB2312"/>
          <w:color w:val="000000"/>
          <w:sz w:val="28"/>
          <w:szCs w:val="28"/>
        </w:rPr>
        <w:t>公园绿地、广场用地、防护绿地等组成。主要以工业、研发、居住及相关配套功能为主，作为綦万一体化发展的先行载体，通过审查成功认定为化工园区后，将对推动化工行业产业集聚、资源集约和绿色发展，促进化工产业整体转型升级、构建产业集群等方面发挥着重要作用。</w:t>
      </w:r>
    </w:p>
    <w:p>
      <w:pPr>
        <w:spacing w:line="360" w:lineRule="auto"/>
        <w:ind w:firstLine="560" w:firstLineChars="200"/>
        <w:rPr>
          <w:rFonts w:ascii="仿宋_GB2312" w:eastAsia="仿宋_GB2312"/>
          <w:color w:val="000000"/>
          <w:sz w:val="28"/>
          <w:szCs w:val="28"/>
        </w:rPr>
      </w:pPr>
      <w:r>
        <w:rPr>
          <w:rFonts w:hint="eastAsia" w:ascii="仿宋_GB2312" w:eastAsia="仿宋_GB2312"/>
          <w:color w:val="000000"/>
          <w:sz w:val="28"/>
          <w:szCs w:val="28"/>
        </w:rPr>
        <w:t>三、用地</w:t>
      </w:r>
      <w:r>
        <w:rPr>
          <w:rFonts w:ascii="仿宋_GB2312" w:eastAsia="仿宋_GB2312"/>
          <w:color w:val="000000"/>
          <w:sz w:val="28"/>
          <w:szCs w:val="28"/>
        </w:rPr>
        <w:t>规模</w:t>
      </w:r>
    </w:p>
    <w:p>
      <w:pPr>
        <w:spacing w:line="360" w:lineRule="auto"/>
        <w:ind w:firstLine="560" w:firstLineChars="200"/>
        <w:rPr>
          <w:rFonts w:ascii="仿宋_GB2312" w:eastAsia="仿宋_GB2312"/>
          <w:color w:val="000000"/>
          <w:sz w:val="28"/>
          <w:szCs w:val="28"/>
        </w:rPr>
      </w:pPr>
      <w:r>
        <w:rPr>
          <w:rFonts w:hint="eastAsia" w:ascii="仿宋_GB2312" w:eastAsia="仿宋_GB2312"/>
          <w:color w:val="000000"/>
          <w:sz w:val="28"/>
          <w:szCs w:val="28"/>
        </w:rPr>
        <w:t xml:space="preserve">规划范围总用地面积为158公顷，其中建设用地150公顷，区域交通设施用地8公顷，常住人口3.6万人。 </w:t>
      </w:r>
    </w:p>
    <w:p>
      <w:pPr>
        <w:spacing w:line="360" w:lineRule="auto"/>
        <w:ind w:firstLine="560" w:firstLineChars="200"/>
        <w:rPr>
          <w:rFonts w:ascii="仿宋_GB2312" w:eastAsia="仿宋_GB2312"/>
          <w:color w:val="000000"/>
          <w:sz w:val="28"/>
          <w:szCs w:val="28"/>
        </w:rPr>
      </w:pPr>
      <w:r>
        <w:rPr>
          <w:rFonts w:hint="eastAsia" w:ascii="仿宋_GB2312" w:eastAsia="仿宋_GB2312"/>
          <w:color w:val="000000"/>
          <w:sz w:val="28"/>
          <w:szCs w:val="28"/>
        </w:rPr>
        <w:t>四、规划布局结构</w:t>
      </w:r>
    </w:p>
    <w:p>
      <w:pPr>
        <w:spacing w:line="360" w:lineRule="auto"/>
        <w:ind w:left="-13" w:leftChars="-6" w:firstLine="560" w:firstLineChars="200"/>
        <w:rPr>
          <w:rFonts w:ascii="仿宋_GB2312" w:eastAsia="仿宋_GB2312"/>
          <w:color w:val="000000"/>
          <w:sz w:val="28"/>
          <w:szCs w:val="28"/>
        </w:rPr>
      </w:pPr>
      <w:r>
        <w:rPr>
          <w:rFonts w:hint="eastAsia" w:ascii="仿宋_GB2312" w:eastAsia="仿宋_GB2312"/>
          <w:color w:val="000000"/>
          <w:sz w:val="28"/>
          <w:szCs w:val="28"/>
        </w:rPr>
        <w:t>规划空间布局结构为“一轴、两片”。</w:t>
      </w:r>
    </w:p>
    <w:p>
      <w:pPr>
        <w:spacing w:line="360" w:lineRule="auto"/>
        <w:ind w:left="-13" w:leftChars="-6" w:firstLine="560" w:firstLineChars="200"/>
        <w:rPr>
          <w:rFonts w:ascii="仿宋_GB2312" w:eastAsia="仿宋_GB2312"/>
          <w:color w:val="000000"/>
          <w:sz w:val="28"/>
          <w:szCs w:val="28"/>
        </w:rPr>
      </w:pPr>
      <w:r>
        <w:rPr>
          <w:rFonts w:hint="eastAsia" w:ascii="仿宋_GB2312" w:eastAsia="仿宋_GB2312"/>
          <w:color w:val="000000"/>
          <w:sz w:val="28"/>
          <w:szCs w:val="28"/>
        </w:rPr>
        <w:t>1、一轴：以规划赶关万铁路为轴东西分布；</w:t>
      </w:r>
    </w:p>
    <w:p>
      <w:pPr>
        <w:spacing w:line="360" w:lineRule="auto"/>
        <w:ind w:left="-13" w:leftChars="-6" w:firstLine="560" w:firstLineChars="200"/>
        <w:rPr>
          <w:rFonts w:ascii="仿宋_GB2312" w:eastAsia="仿宋_GB2312"/>
          <w:color w:val="000000"/>
          <w:sz w:val="28"/>
          <w:szCs w:val="28"/>
        </w:rPr>
      </w:pPr>
      <w:r>
        <w:rPr>
          <w:rFonts w:hint="eastAsia" w:ascii="仿宋_GB2312" w:eastAsia="仿宋_GB2312"/>
          <w:color w:val="000000"/>
          <w:sz w:val="28"/>
          <w:szCs w:val="28"/>
        </w:rPr>
        <w:t>2、四片：将规划区分为“东、西”两片：西片为场镇居民用地及工业用地区，东片为工业用地区。</w:t>
      </w:r>
    </w:p>
    <w:p>
      <w:pPr>
        <w:spacing w:line="360" w:lineRule="auto"/>
        <w:rPr>
          <w:rFonts w:ascii="仿宋_GB2312" w:eastAsia="仿宋_GB2312"/>
          <w:color w:val="000000"/>
          <w:sz w:val="28"/>
          <w:szCs w:val="28"/>
        </w:rPr>
      </w:pPr>
    </w:p>
    <w:p>
      <w:pPr>
        <w:spacing w:line="360" w:lineRule="auto"/>
        <w:rPr>
          <w:rFonts w:ascii="仿宋_GB2312" w:eastAsia="仿宋_GB2312"/>
          <w:color w:val="000000"/>
          <w:sz w:val="28"/>
          <w:szCs w:val="28"/>
        </w:rPr>
        <w:sectPr>
          <w:footerReference r:id="rId11" w:type="default"/>
          <w:pgSz w:w="23814" w:h="16840" w:orient="landscape"/>
          <w:pgMar w:top="1797" w:right="1701" w:bottom="1797" w:left="1701" w:header="851" w:footer="992" w:gutter="0"/>
          <w:pgNumType w:start="1"/>
          <w:cols w:space="1366" w:num="2"/>
          <w:docGrid w:linePitch="312" w:charSpace="-3686"/>
        </w:sectPr>
      </w:pPr>
    </w:p>
    <w:p>
      <w:pPr>
        <w:spacing w:line="360" w:lineRule="auto"/>
        <w:rPr>
          <w:rFonts w:ascii="仿宋_GB2312" w:eastAsia="仿宋_GB2312"/>
          <w:color w:val="000000"/>
          <w:sz w:val="28"/>
          <w:szCs w:val="28"/>
        </w:rPr>
      </w:pPr>
    </w:p>
    <w:p>
      <w:pPr>
        <w:spacing w:line="360" w:lineRule="auto"/>
        <w:jc w:val="left"/>
      </w:pPr>
      <w:r>
        <w:drawing>
          <wp:inline distT="0" distB="0" distL="114300" distR="114300">
            <wp:extent cx="5332095" cy="7344410"/>
            <wp:effectExtent l="0" t="0" r="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2"/>
                    <a:srcRect r="21942"/>
                    <a:stretch>
                      <a:fillRect/>
                    </a:stretch>
                  </pic:blipFill>
                  <pic:spPr>
                    <a:xfrm>
                      <a:off x="0" y="0"/>
                      <a:ext cx="5332095" cy="7344410"/>
                    </a:xfrm>
                    <a:prstGeom prst="rect">
                      <a:avLst/>
                    </a:prstGeom>
                    <a:noFill/>
                    <a:ln>
                      <a:noFill/>
                    </a:ln>
                  </pic:spPr>
                </pic:pic>
              </a:graphicData>
            </a:graphic>
          </wp:inline>
        </w:drawing>
      </w:r>
      <w:r>
        <w:rPr>
          <w:rFonts w:hint="eastAsia"/>
        </w:rPr>
        <w:t xml:space="preserve">              </w:t>
      </w:r>
    </w:p>
    <w:p>
      <w:pPr>
        <w:spacing w:line="360" w:lineRule="auto"/>
        <w:ind w:firstLine="1260" w:firstLineChars="600"/>
        <w:jc w:val="left"/>
        <w:rPr>
          <w:rFonts w:ascii="仿宋_GB2312" w:eastAsia="仿宋_GB2312"/>
          <w:b/>
          <w:color w:val="000000"/>
          <w:sz w:val="28"/>
          <w:szCs w:val="28"/>
        </w:rPr>
      </w:pPr>
      <w:r>
        <w:rPr>
          <w:rFonts w:hint="eastAsia"/>
        </w:rPr>
        <w:t xml:space="preserve">    </w:t>
      </w:r>
      <w:r>
        <w:rPr>
          <w:rFonts w:hint="eastAsia" w:ascii="仿宋_GB2312" w:eastAsia="仿宋_GB2312"/>
          <w:b/>
          <w:color w:val="000000"/>
          <w:sz w:val="28"/>
          <w:szCs w:val="28"/>
        </w:rPr>
        <w:t>图2.2-1  规划功能分区图</w:t>
      </w:r>
    </w:p>
    <w:p>
      <w:pPr>
        <w:spacing w:line="360" w:lineRule="auto"/>
        <w:rPr>
          <w:rFonts w:ascii="仿宋_GB2312" w:eastAsia="仿宋_GB2312"/>
          <w:color w:val="000000"/>
          <w:sz w:val="28"/>
          <w:szCs w:val="28"/>
        </w:rPr>
      </w:pPr>
    </w:p>
    <w:p>
      <w:pPr>
        <w:spacing w:line="360" w:lineRule="auto"/>
        <w:rPr>
          <w:rFonts w:ascii="仿宋_GB2312" w:eastAsia="仿宋_GB2312"/>
          <w:color w:val="000000"/>
          <w:sz w:val="28"/>
          <w:szCs w:val="28"/>
        </w:rPr>
      </w:pPr>
    </w:p>
    <w:p>
      <w:pPr>
        <w:spacing w:line="360" w:lineRule="auto"/>
        <w:rPr>
          <w:rFonts w:ascii="仿宋_GB2312" w:eastAsia="仿宋_GB2312"/>
          <w:color w:val="000000"/>
          <w:sz w:val="28"/>
          <w:szCs w:val="28"/>
        </w:rPr>
      </w:pPr>
    </w:p>
    <w:p>
      <w:pPr>
        <w:spacing w:line="360" w:lineRule="auto"/>
        <w:ind w:firstLine="560" w:firstLineChars="200"/>
        <w:rPr>
          <w:rFonts w:ascii="仿宋_GB2312" w:eastAsia="仿宋_GB2312"/>
          <w:color w:val="000000"/>
          <w:sz w:val="28"/>
          <w:szCs w:val="28"/>
        </w:rPr>
      </w:pPr>
      <w:r>
        <w:rPr>
          <w:rFonts w:hint="eastAsia" w:ascii="仿宋_GB2312" w:eastAsia="仿宋_GB2312"/>
          <w:color w:val="000000"/>
          <w:sz w:val="28"/>
          <w:szCs w:val="28"/>
        </w:rPr>
        <w:t>五、土地利用控制</w:t>
      </w:r>
    </w:p>
    <w:p>
      <w:pPr>
        <w:spacing w:line="360" w:lineRule="auto"/>
        <w:ind w:left="-13" w:leftChars="-6"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1、工业用地：规划工业用地分布在扶欢场镇东侧和北侧。规划工业用地139公顷，占城市建设用地的88%。</w:t>
      </w:r>
    </w:p>
    <w:p>
      <w:pPr>
        <w:spacing w:line="360" w:lineRule="auto"/>
        <w:ind w:left="-13" w:leftChars="-6"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2、技术服务办公用地: 于城镇中部主要由小型零售、餐饮（食堂）、医疗、通讯、邮政、及适量停车场等服务功能构成。规划商业服务业用地2.8公顷，占城市建设用地的0.9%。</w:t>
      </w:r>
    </w:p>
    <w:p>
      <w:pPr>
        <w:spacing w:line="360" w:lineRule="auto"/>
        <w:ind w:left="-13" w:leftChars="-6"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3、道路与交通设施用地：规划道路与交通设施用地8.6公顷，占城市建设用地的5.4%。</w:t>
      </w:r>
    </w:p>
    <w:p>
      <w:pPr>
        <w:spacing w:line="360" w:lineRule="auto"/>
        <w:ind w:left="-13" w:leftChars="-6"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4.仓储用地：与仓储用地2.7公顷，占城市建设用地的2.6%。</w:t>
      </w:r>
    </w:p>
    <w:p>
      <w:pPr>
        <w:spacing w:line="360" w:lineRule="auto"/>
        <w:ind w:left="-13" w:leftChars="-6" w:firstLine="560" w:firstLineChars="200"/>
        <w:rPr>
          <w:rFonts w:ascii="仿宋_GB2312" w:eastAsia="仿宋_GB2312"/>
          <w:color w:val="000000"/>
          <w:sz w:val="28"/>
          <w:szCs w:val="28"/>
        </w:rPr>
      </w:pPr>
      <w:r>
        <w:rPr>
          <w:rFonts w:hint="eastAsia" w:ascii="仿宋_GB2312" w:eastAsia="仿宋_GB2312"/>
          <w:color w:val="000000" w:themeColor="text1"/>
          <w:sz w:val="28"/>
          <w:szCs w:val="28"/>
        </w:rPr>
        <w:t>5、绿地与广场用地：规划绿地面积为4.9公顷，占城市建设用地3.1%。</w:t>
      </w:r>
    </w:p>
    <w:p>
      <w:pPr>
        <w:pStyle w:val="56"/>
        <w:spacing w:line="360" w:lineRule="auto"/>
        <w:ind w:left="420" w:firstLine="280" w:firstLineChars="100"/>
        <w:rPr>
          <w:rFonts w:ascii="仿宋_GB2312" w:hAnsi="Times New Roman" w:eastAsia="仿宋_GB2312"/>
          <w:color w:val="000000"/>
          <w:sz w:val="28"/>
          <w:szCs w:val="28"/>
        </w:rPr>
      </w:pPr>
      <w:r>
        <w:rPr>
          <w:rFonts w:hint="eastAsia" w:ascii="仿宋_GB2312" w:hAnsi="Times New Roman" w:eastAsia="仿宋_GB2312"/>
          <w:color w:val="000000"/>
          <w:sz w:val="28"/>
          <w:szCs w:val="28"/>
        </w:rPr>
        <w:t>6、“绿线”、“蓝线”、“黄线”控制规划</w:t>
      </w:r>
    </w:p>
    <w:p>
      <w:pPr>
        <w:autoSpaceDE w:val="0"/>
        <w:autoSpaceDN w:val="0"/>
        <w:adjustRightInd w:val="0"/>
        <w:spacing w:line="360" w:lineRule="auto"/>
        <w:ind w:firstLine="560" w:firstLineChars="200"/>
        <w:jc w:val="left"/>
        <w:rPr>
          <w:rFonts w:ascii="仿宋_GB2312" w:eastAsia="仿宋_GB2312"/>
          <w:color w:val="000000"/>
          <w:sz w:val="28"/>
          <w:szCs w:val="28"/>
        </w:rPr>
      </w:pPr>
      <w:r>
        <w:rPr>
          <w:rFonts w:hint="eastAsia" w:ascii="仿宋_GB2312" w:eastAsia="仿宋_GB2312"/>
          <w:color w:val="000000"/>
          <w:sz w:val="28"/>
          <w:szCs w:val="28"/>
        </w:rPr>
        <w:t>“绿线”：规划范围内的各种绿地的边界控制线划定为绿线，包括公园绿地、防护绿地和生态绿地，并应严格按照《城市绿线管理办法》对其进行控制。</w:t>
      </w:r>
    </w:p>
    <w:p>
      <w:pPr>
        <w:autoSpaceDE w:val="0"/>
        <w:autoSpaceDN w:val="0"/>
        <w:adjustRightInd w:val="0"/>
        <w:spacing w:line="360" w:lineRule="auto"/>
        <w:ind w:firstLine="560" w:firstLineChars="200"/>
        <w:jc w:val="left"/>
        <w:rPr>
          <w:rFonts w:ascii="仿宋_GB2312" w:eastAsia="仿宋_GB2312"/>
          <w:color w:val="000000"/>
          <w:sz w:val="28"/>
          <w:szCs w:val="28"/>
        </w:rPr>
      </w:pPr>
      <w:r>
        <w:rPr>
          <w:rFonts w:hint="eastAsia" w:ascii="仿宋_GB2312" w:eastAsia="仿宋_GB2312"/>
          <w:color w:val="000000"/>
          <w:sz w:val="28"/>
          <w:szCs w:val="28"/>
        </w:rPr>
        <w:t>“蓝线”：规划范围内严格按照《城市蓝线管理办法》划定蓝线，以最终的防洪规划或护岸工程设计确定的边界为准进行控制，。</w:t>
      </w:r>
    </w:p>
    <w:p>
      <w:pPr>
        <w:autoSpaceDE w:val="0"/>
        <w:autoSpaceDN w:val="0"/>
        <w:adjustRightInd w:val="0"/>
        <w:spacing w:line="360" w:lineRule="auto"/>
        <w:ind w:firstLine="560" w:firstLineChars="200"/>
        <w:jc w:val="left"/>
        <w:rPr>
          <w:rFonts w:ascii="仿宋_GB2312" w:eastAsia="仿宋_GB2312"/>
          <w:color w:val="000000"/>
          <w:sz w:val="28"/>
          <w:szCs w:val="28"/>
        </w:rPr>
      </w:pPr>
      <w:r>
        <w:rPr>
          <w:rFonts w:hint="eastAsia" w:ascii="仿宋_GB2312" w:eastAsia="仿宋_GB2312"/>
          <w:color w:val="000000"/>
          <w:sz w:val="28"/>
          <w:szCs w:val="28"/>
        </w:rPr>
        <w:t>“黄线”：规划范围内的城市重要的基础设施控制线划定为黄线，包括消防站、加油站、公交首末站、停车场等用地边界划定黄线，并应严格按照《城市黄线管理办法》对其进行控制。</w:t>
      </w:r>
    </w:p>
    <w:p>
      <w:pPr>
        <w:autoSpaceDE w:val="0"/>
        <w:autoSpaceDN w:val="0"/>
        <w:adjustRightInd w:val="0"/>
        <w:spacing w:line="360" w:lineRule="auto"/>
        <w:ind w:firstLine="560" w:firstLineChars="200"/>
        <w:jc w:val="left"/>
        <w:rPr>
          <w:rFonts w:ascii="仿宋_GB2312" w:eastAsia="仿宋_GB2312"/>
          <w:color w:val="000000"/>
          <w:sz w:val="28"/>
          <w:szCs w:val="28"/>
        </w:rPr>
      </w:pPr>
      <w:r>
        <w:rPr>
          <w:rFonts w:hint="eastAsia" w:ascii="仿宋_GB2312" w:eastAsia="仿宋_GB2312"/>
          <w:color w:val="000000"/>
          <w:sz w:val="28"/>
          <w:szCs w:val="28"/>
        </w:rPr>
        <w:t>8、地下空间利用</w:t>
      </w:r>
    </w:p>
    <w:p>
      <w:pPr>
        <w:autoSpaceDE w:val="0"/>
        <w:autoSpaceDN w:val="0"/>
        <w:adjustRightInd w:val="0"/>
        <w:spacing w:line="360" w:lineRule="auto"/>
        <w:ind w:firstLine="560" w:firstLineChars="200"/>
        <w:jc w:val="left"/>
        <w:rPr>
          <w:rFonts w:ascii="仿宋_GB2312" w:eastAsia="仿宋_GB2312"/>
          <w:color w:val="000000"/>
          <w:sz w:val="28"/>
          <w:szCs w:val="28"/>
        </w:rPr>
      </w:pPr>
      <w:r>
        <w:rPr>
          <w:rFonts w:hint="eastAsia" w:ascii="仿宋_GB2312" w:eastAsia="仿宋_GB2312"/>
          <w:color w:val="000000"/>
          <w:sz w:val="28"/>
          <w:szCs w:val="28"/>
        </w:rPr>
        <w:t>除相关规划确定的防灾避难场所及其他规定不可建设的地下空间外，可合理利用地下空间，优先安排地下公共交通设施、地下市政基础设施，适度发展地下公共服务设施。广场及绿地下可适量建设公厕、停车场等配套设施，建设量及布局方式根据后期具体规划设计方案确定。</w:t>
      </w:r>
    </w:p>
    <w:p>
      <w:pPr>
        <w:pStyle w:val="2"/>
        <w:adjustRightInd w:val="0"/>
        <w:snapToGrid w:val="0"/>
        <w:spacing w:before="360" w:beforeLines="150" w:line="560" w:lineRule="atLeast"/>
        <w:ind w:firstLine="0"/>
        <w:rPr>
          <w:rFonts w:ascii="仿宋_GB2312" w:hAnsi="宋体" w:eastAsia="仿宋_GB2312"/>
          <w:b/>
          <w:bCs/>
          <w:i w:val="0"/>
          <w:iCs w:val="0"/>
          <w:sz w:val="36"/>
          <w:szCs w:val="36"/>
        </w:rPr>
      </w:pPr>
      <w:bookmarkStart w:id="14" w:name="_Toc23407"/>
      <w:r>
        <w:rPr>
          <w:rFonts w:hint="eastAsia" w:ascii="仿宋_GB2312" w:hAnsi="宋体" w:eastAsia="仿宋_GB2312"/>
          <w:b/>
          <w:bCs/>
          <w:i w:val="0"/>
          <w:iCs w:val="0"/>
          <w:sz w:val="36"/>
          <w:szCs w:val="36"/>
        </w:rPr>
        <w:t>3 区域用地的自然地理概况</w:t>
      </w:r>
      <w:bookmarkEnd w:id="14"/>
    </w:p>
    <w:p>
      <w:pPr>
        <w:pStyle w:val="3"/>
        <w:adjustRightInd w:val="0"/>
        <w:snapToGrid w:val="0"/>
        <w:spacing w:before="0" w:after="0" w:line="600" w:lineRule="atLeast"/>
        <w:rPr>
          <w:rFonts w:ascii="仿宋_GB2312" w:hAnsi="宋体" w:eastAsia="仿宋_GB2312"/>
          <w:b w:val="0"/>
          <w:bCs w:val="0"/>
          <w:color w:val="000000"/>
          <w:kern w:val="0"/>
        </w:rPr>
      </w:pPr>
      <w:bookmarkStart w:id="15" w:name="_Toc9185"/>
      <w:r>
        <w:rPr>
          <w:rFonts w:hint="eastAsia" w:ascii="仿宋_GB2312" w:hAnsi="宋体" w:eastAsia="仿宋_GB2312"/>
          <w:b w:val="0"/>
          <w:bCs w:val="0"/>
          <w:color w:val="000000"/>
          <w:kern w:val="0"/>
        </w:rPr>
        <w:t>3.1 行政区划及交通位置</w:t>
      </w:r>
      <w:bookmarkEnd w:id="15"/>
    </w:p>
    <w:p>
      <w:pPr>
        <w:adjustRightInd w:val="0"/>
        <w:snapToGrid w:val="0"/>
        <w:spacing w:before="200" w:after="240" w:afterLines="100" w:line="600" w:lineRule="atLeast"/>
        <w:ind w:firstLine="560" w:firstLineChars="200"/>
        <w:rPr>
          <w:rFonts w:ascii="仿宋_GB2312" w:eastAsia="仿宋_GB2312"/>
          <w:color w:val="000000"/>
          <w:sz w:val="28"/>
          <w:szCs w:val="28"/>
        </w:rPr>
      </w:pPr>
      <w:r>
        <w:rPr>
          <w:rFonts w:hint="eastAsia" w:ascii="仿宋_GB2312" w:hAnsi="宋体" w:eastAsia="仿宋_GB2312"/>
          <w:sz w:val="28"/>
        </w:rPr>
        <w:t>本项目处于扶欢镇，扶欢镇位于綦江城区东南部，介于北纬28°51'33"~28°52'11"、东经106°42'46"~106°45'12"之间。东邻</w:t>
      </w:r>
      <w:r>
        <w:fldChar w:fldCharType="begin"/>
      </w:r>
      <w:r>
        <w:instrText xml:space="preserve"> HYPERLINK "https://baike.baidu.com/item/%E4%B8%87%E7%9B%9B%E5%8C%BA/2531947" \t "https://baike.baidu.com/item/%E6%89%B6%E6%AC%A2%E9%95%87/_blank" </w:instrText>
      </w:r>
      <w:r>
        <w:fldChar w:fldCharType="separate"/>
      </w:r>
      <w:r>
        <w:rPr>
          <w:rFonts w:ascii="仿宋_GB2312" w:hAnsi="宋体" w:eastAsia="仿宋_GB2312"/>
          <w:sz w:val="28"/>
        </w:rPr>
        <w:t>万盛区</w:t>
      </w:r>
      <w:r>
        <w:rPr>
          <w:rFonts w:ascii="仿宋_GB2312" w:hAnsi="宋体" w:eastAsia="仿宋_GB2312"/>
          <w:sz w:val="28"/>
        </w:rPr>
        <w:fldChar w:fldCharType="end"/>
      </w:r>
      <w:r>
        <w:fldChar w:fldCharType="begin"/>
      </w:r>
      <w:r>
        <w:instrText xml:space="preserve"> HYPERLINK "https://baike.baidu.com/item/%E5%85%B3%E5%9D%9D%E9%95%87/6948186" \t "https://baike.baidu.com/item/%E6%89%B6%E6%AC%A2%E9%95%87/_blank" </w:instrText>
      </w:r>
      <w:r>
        <w:fldChar w:fldCharType="separate"/>
      </w:r>
      <w:r>
        <w:rPr>
          <w:rFonts w:ascii="仿宋_GB2312" w:hAnsi="宋体" w:eastAsia="仿宋_GB2312"/>
          <w:sz w:val="28"/>
        </w:rPr>
        <w:t>关坝镇</w:t>
      </w:r>
      <w:r>
        <w:rPr>
          <w:rFonts w:ascii="仿宋_GB2312" w:hAnsi="宋体" w:eastAsia="仿宋_GB2312"/>
          <w:sz w:val="28"/>
        </w:rPr>
        <w:fldChar w:fldCharType="end"/>
      </w:r>
      <w:r>
        <w:rPr>
          <w:rFonts w:ascii="仿宋_GB2312" w:hAnsi="宋体" w:eastAsia="仿宋_GB2312"/>
          <w:sz w:val="28"/>
        </w:rPr>
        <w:t>、</w:t>
      </w:r>
      <w:r>
        <w:fldChar w:fldCharType="begin"/>
      </w:r>
      <w:r>
        <w:instrText xml:space="preserve"> HYPERLINK "https://baike.baidu.com/item/%E9%9D%92%E5%B9%B4%E9%95%87/6738451" \t "https://baike.baidu.com/item/%E6%89%B6%E6%AC%A2%E9%95%87/_blank" </w:instrText>
      </w:r>
      <w:r>
        <w:fldChar w:fldCharType="separate"/>
      </w:r>
      <w:r>
        <w:rPr>
          <w:rFonts w:ascii="仿宋_GB2312" w:hAnsi="宋体" w:eastAsia="仿宋_GB2312"/>
          <w:sz w:val="28"/>
        </w:rPr>
        <w:t>青年镇</w:t>
      </w:r>
      <w:r>
        <w:rPr>
          <w:rFonts w:ascii="仿宋_GB2312" w:hAnsi="宋体" w:eastAsia="仿宋_GB2312"/>
          <w:sz w:val="28"/>
        </w:rPr>
        <w:fldChar w:fldCharType="end"/>
      </w:r>
      <w:r>
        <w:rPr>
          <w:rFonts w:ascii="仿宋_GB2312" w:hAnsi="宋体" w:eastAsia="仿宋_GB2312"/>
          <w:sz w:val="28"/>
        </w:rPr>
        <w:t>，南与</w:t>
      </w:r>
      <w:r>
        <w:fldChar w:fldCharType="begin"/>
      </w:r>
      <w:r>
        <w:instrText xml:space="preserve"> HYPERLINK "https://baike.baidu.com/item/%E8%B5%B6%E6%B0%B4%E9%95%87/9148107" \t "https://baike.baidu.com/item/%E6%89%B6%E6%AC%A2%E9%95%87/_blank" </w:instrText>
      </w:r>
      <w:r>
        <w:fldChar w:fldCharType="separate"/>
      </w:r>
      <w:r>
        <w:rPr>
          <w:rFonts w:ascii="仿宋_GB2312" w:hAnsi="宋体" w:eastAsia="仿宋_GB2312"/>
          <w:sz w:val="28"/>
        </w:rPr>
        <w:t>赶水镇</w:t>
      </w:r>
      <w:r>
        <w:rPr>
          <w:rFonts w:ascii="仿宋_GB2312" w:hAnsi="宋体" w:eastAsia="仿宋_GB2312"/>
          <w:sz w:val="28"/>
        </w:rPr>
        <w:fldChar w:fldCharType="end"/>
      </w:r>
      <w:r>
        <w:rPr>
          <w:rFonts w:ascii="仿宋_GB2312" w:hAnsi="宋体" w:eastAsia="仿宋_GB2312"/>
          <w:sz w:val="28"/>
        </w:rPr>
        <w:t>交界，西连</w:t>
      </w:r>
      <w:r>
        <w:fldChar w:fldCharType="begin"/>
      </w:r>
      <w:r>
        <w:instrText xml:space="preserve"> HYPERLINK "https://baike.baidu.com/item/%E4%B8%9C%E6%BA%AA%E9%95%87/12815" \t "https://baike.baidu.com/item/%E6%89%B6%E6%AC%A2%E9%95%87/_blank" </w:instrText>
      </w:r>
      <w:r>
        <w:fldChar w:fldCharType="separate"/>
      </w:r>
      <w:r>
        <w:rPr>
          <w:rFonts w:ascii="仿宋_GB2312" w:hAnsi="宋体" w:eastAsia="仿宋_GB2312"/>
          <w:sz w:val="28"/>
        </w:rPr>
        <w:t>东溪镇</w:t>
      </w:r>
      <w:r>
        <w:rPr>
          <w:rFonts w:ascii="仿宋_GB2312" w:hAnsi="宋体" w:eastAsia="仿宋_GB2312"/>
          <w:sz w:val="28"/>
        </w:rPr>
        <w:fldChar w:fldCharType="end"/>
      </w:r>
      <w:r>
        <w:rPr>
          <w:rFonts w:ascii="仿宋_GB2312" w:hAnsi="宋体" w:eastAsia="仿宋_GB2312"/>
          <w:sz w:val="28"/>
        </w:rPr>
        <w:t>、</w:t>
      </w:r>
      <w:r>
        <w:fldChar w:fldCharType="begin"/>
      </w:r>
      <w:r>
        <w:instrText xml:space="preserve"> HYPERLINK "https://baike.baidu.com/item/%E7%AF%86%E5%A1%98%E9%95%87/5839427" \t "https://baike.baidu.com/item/%E6%89%B6%E6%AC%A2%E9%95%87/_blank" </w:instrText>
      </w:r>
      <w:r>
        <w:fldChar w:fldCharType="separate"/>
      </w:r>
      <w:r>
        <w:rPr>
          <w:rFonts w:ascii="仿宋_GB2312" w:hAnsi="宋体" w:eastAsia="仿宋_GB2312"/>
          <w:sz w:val="28"/>
        </w:rPr>
        <w:t>篆塘镇</w:t>
      </w:r>
      <w:r>
        <w:rPr>
          <w:rFonts w:ascii="仿宋_GB2312" w:hAnsi="宋体" w:eastAsia="仿宋_GB2312"/>
          <w:sz w:val="28"/>
        </w:rPr>
        <w:fldChar w:fldCharType="end"/>
      </w:r>
      <w:r>
        <w:rPr>
          <w:rFonts w:ascii="仿宋_GB2312" w:hAnsi="宋体" w:eastAsia="仿宋_GB2312"/>
          <w:sz w:val="28"/>
        </w:rPr>
        <w:t>，北与</w:t>
      </w:r>
      <w:r>
        <w:fldChar w:fldCharType="begin"/>
      </w:r>
      <w:r>
        <w:instrText xml:space="preserve"> HYPERLINK "https://baike.baidu.com/item/%E4%B8%89%E6%B1%9F%E8%A1%97%E9%81%93/10303715" \t "https://baike.baidu.com/item/%E6%89%B6%E6%AC%A2%E9%95%87/_blank" </w:instrText>
      </w:r>
      <w:r>
        <w:fldChar w:fldCharType="separate"/>
      </w:r>
      <w:r>
        <w:rPr>
          <w:rFonts w:ascii="仿宋_GB2312" w:hAnsi="宋体" w:eastAsia="仿宋_GB2312"/>
          <w:sz w:val="28"/>
        </w:rPr>
        <w:t>三江街道</w:t>
      </w:r>
      <w:r>
        <w:rPr>
          <w:rFonts w:ascii="仿宋_GB2312" w:hAnsi="宋体" w:eastAsia="仿宋_GB2312"/>
          <w:sz w:val="28"/>
        </w:rPr>
        <w:fldChar w:fldCharType="end"/>
      </w:r>
      <w:r>
        <w:rPr>
          <w:rFonts w:ascii="仿宋_GB2312" w:hAnsi="宋体" w:eastAsia="仿宋_GB2312"/>
          <w:sz w:val="28"/>
        </w:rPr>
        <w:t>、</w:t>
      </w:r>
      <w:r>
        <w:fldChar w:fldCharType="begin"/>
      </w:r>
      <w:r>
        <w:instrText xml:space="preserve"> HYPERLINK "https://baike.baidu.com/item/%E7%9F%B3%E8%A7%92%E9%95%87/10947" \t "https://baike.baidu.com/item/%E6%89%B6%E6%AC%A2%E9%95%87/_blank" </w:instrText>
      </w:r>
      <w:r>
        <w:fldChar w:fldCharType="separate"/>
      </w:r>
      <w:r>
        <w:rPr>
          <w:rFonts w:ascii="仿宋_GB2312" w:hAnsi="宋体" w:eastAsia="仿宋_GB2312"/>
          <w:sz w:val="28"/>
        </w:rPr>
        <w:t>石角镇</w:t>
      </w:r>
      <w:r>
        <w:rPr>
          <w:rFonts w:ascii="仿宋_GB2312" w:hAnsi="宋体" w:eastAsia="仿宋_GB2312"/>
          <w:sz w:val="28"/>
        </w:rPr>
        <w:fldChar w:fldCharType="end"/>
      </w:r>
      <w:r>
        <w:rPr>
          <w:rFonts w:ascii="仿宋_GB2312" w:hAnsi="宋体" w:eastAsia="仿宋_GB2312"/>
          <w:sz w:val="28"/>
        </w:rPr>
        <w:t>接壤。</w:t>
      </w:r>
      <w:r>
        <w:rPr>
          <w:rFonts w:hint="eastAsia" w:ascii="仿宋_GB2312" w:eastAsia="仿宋_GB2312"/>
          <w:color w:val="000000"/>
          <w:sz w:val="28"/>
          <w:szCs w:val="28"/>
        </w:rPr>
        <w:t>(图3.1-1)。</w:t>
      </w:r>
    </w:p>
    <w:p>
      <w:pPr>
        <w:adjustRightInd w:val="0"/>
        <w:snapToGrid w:val="0"/>
        <w:spacing w:line="600" w:lineRule="atLeast"/>
        <w:jc w:val="center"/>
        <w:rPr>
          <w:rFonts w:ascii="仿宋_GB2312" w:eastAsia="仿宋_GB2312"/>
          <w:color w:val="FF0000"/>
          <w:sz w:val="28"/>
          <w:szCs w:val="28"/>
        </w:rPr>
      </w:pPr>
      <w:r>
        <w:drawing>
          <wp:inline distT="0" distB="0" distL="114300" distR="114300">
            <wp:extent cx="5705475" cy="6745605"/>
            <wp:effectExtent l="0" t="0" r="9525" b="1714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3"/>
                    <a:stretch>
                      <a:fillRect/>
                    </a:stretch>
                  </pic:blipFill>
                  <pic:spPr>
                    <a:xfrm>
                      <a:off x="0" y="0"/>
                      <a:ext cx="5705475" cy="6745605"/>
                    </a:xfrm>
                    <a:prstGeom prst="rect">
                      <a:avLst/>
                    </a:prstGeom>
                    <a:noFill/>
                    <a:ln>
                      <a:noFill/>
                    </a:ln>
                  </pic:spPr>
                </pic:pic>
              </a:graphicData>
            </a:graphic>
          </wp:inline>
        </w:drawing>
      </w:r>
    </w:p>
    <w:p>
      <w:pPr>
        <w:adjustRightInd w:val="0"/>
        <w:snapToGrid w:val="0"/>
        <w:spacing w:line="300" w:lineRule="exact"/>
        <w:ind w:firstLine="2409" w:firstLineChars="1000"/>
        <w:jc w:val="center"/>
        <w:rPr>
          <w:rFonts w:ascii="仿宋_GB2312" w:eastAsia="仿宋_GB2312"/>
          <w:b/>
          <w:color w:val="000000"/>
          <w:sz w:val="28"/>
          <w:szCs w:val="28"/>
        </w:rPr>
      </w:pPr>
      <w:r>
        <w:rPr>
          <w:rFonts w:hint="eastAsia" w:ascii="仿宋_GB2312" w:eastAsia="仿宋_GB2312"/>
          <w:b/>
          <w:color w:val="000000"/>
          <w:sz w:val="24"/>
          <w:szCs w:val="28"/>
        </w:rPr>
        <w:t>图3.1-1    地理位置图</w:t>
      </w:r>
    </w:p>
    <w:p>
      <w:pPr>
        <w:adjustRightInd w:val="0"/>
        <w:snapToGrid w:val="0"/>
        <w:spacing w:line="300" w:lineRule="exact"/>
        <w:ind w:firstLine="2811" w:firstLineChars="1000"/>
        <w:jc w:val="left"/>
        <w:rPr>
          <w:rFonts w:ascii="仿宋_GB2312" w:eastAsia="仿宋_GB2312"/>
          <w:b/>
          <w:color w:val="000000"/>
          <w:sz w:val="28"/>
          <w:szCs w:val="28"/>
        </w:rPr>
      </w:pPr>
    </w:p>
    <w:p>
      <w:pPr>
        <w:adjustRightInd w:val="0"/>
        <w:snapToGrid w:val="0"/>
        <w:spacing w:line="300" w:lineRule="exact"/>
        <w:ind w:firstLine="2811" w:firstLineChars="1000"/>
        <w:jc w:val="left"/>
        <w:rPr>
          <w:rFonts w:ascii="仿宋_GB2312" w:eastAsia="仿宋_GB2312"/>
          <w:b/>
          <w:color w:val="000000"/>
          <w:sz w:val="28"/>
          <w:szCs w:val="28"/>
        </w:rPr>
      </w:pPr>
    </w:p>
    <w:p>
      <w:pPr>
        <w:adjustRightInd w:val="0"/>
        <w:snapToGrid w:val="0"/>
        <w:spacing w:line="300" w:lineRule="exact"/>
        <w:ind w:firstLine="2811" w:firstLineChars="1000"/>
        <w:jc w:val="left"/>
        <w:rPr>
          <w:rFonts w:ascii="仿宋_GB2312" w:eastAsia="仿宋_GB2312"/>
          <w:b/>
          <w:color w:val="000000"/>
          <w:sz w:val="28"/>
          <w:szCs w:val="28"/>
        </w:rPr>
      </w:pPr>
    </w:p>
    <w:p>
      <w:pPr>
        <w:pStyle w:val="3"/>
        <w:adjustRightInd w:val="0"/>
        <w:snapToGrid w:val="0"/>
        <w:spacing w:before="0" w:after="0" w:line="600" w:lineRule="atLeast"/>
        <w:rPr>
          <w:rFonts w:ascii="仿宋_GB2312" w:hAnsi="宋体" w:eastAsia="仿宋_GB2312"/>
          <w:b w:val="0"/>
          <w:bCs w:val="0"/>
          <w:color w:val="000000"/>
          <w:kern w:val="0"/>
        </w:rPr>
      </w:pPr>
      <w:bookmarkStart w:id="16" w:name="_Toc30586"/>
      <w:r>
        <w:rPr>
          <w:rFonts w:hint="eastAsia" w:ascii="仿宋_GB2312" w:hAnsi="宋体" w:eastAsia="仿宋_GB2312"/>
          <w:b w:val="0"/>
          <w:bCs w:val="0"/>
          <w:color w:val="000000"/>
          <w:kern w:val="0"/>
        </w:rPr>
        <w:t>3.2 气 象</w:t>
      </w:r>
      <w:bookmarkEnd w:id="16"/>
    </w:p>
    <w:p>
      <w:pPr>
        <w:adjustRightInd w:val="0"/>
        <w:snapToGrid w:val="0"/>
        <w:spacing w:before="200" w:after="240" w:afterLines="100" w:line="600" w:lineRule="atLeast"/>
        <w:ind w:firstLine="560" w:firstLineChars="200"/>
        <w:rPr>
          <w:rFonts w:ascii="仿宋_GB2312" w:hAnsi="宋体" w:eastAsia="仿宋_GB2312"/>
          <w:sz w:val="28"/>
        </w:rPr>
      </w:pPr>
      <w:r>
        <w:rPr>
          <w:rFonts w:hint="eastAsia" w:ascii="仿宋_GB2312" w:hAnsi="宋体" w:eastAsia="仿宋_GB2312"/>
          <w:sz w:val="28"/>
        </w:rPr>
        <w:t>评估区属亚热带湿润季风气候区，气候温和、四季分明、雨量充沛，具冬暖、夏热、秋长的气候特点。多年平均气温17.72℃，极端最高气温43℃（2006年8月15日），极端最低气温-1.8℃（1975年12月15日）；多年无霜期314.6天，雾日平均30～40天；区内多年平均最大日降雨量93.9mm，年平均降雨日为168天，多年平均降雨量1163.3mm;主要集中于每年4～10月，多呈大雨或暴雨，占全年总降雨量的76%左右。</w:t>
      </w:r>
    </w:p>
    <w:p>
      <w:pPr>
        <w:pStyle w:val="3"/>
        <w:adjustRightInd w:val="0"/>
        <w:snapToGrid w:val="0"/>
        <w:spacing w:before="0" w:after="0" w:line="600" w:lineRule="atLeast"/>
        <w:rPr>
          <w:rFonts w:ascii="仿宋_GB2312" w:hAnsi="宋体" w:eastAsia="仿宋_GB2312"/>
          <w:b w:val="0"/>
          <w:bCs w:val="0"/>
          <w:color w:val="000000"/>
          <w:kern w:val="0"/>
        </w:rPr>
      </w:pPr>
      <w:bookmarkStart w:id="17" w:name="_Toc17806"/>
      <w:r>
        <w:rPr>
          <w:rFonts w:hint="eastAsia" w:ascii="仿宋_GB2312" w:hAnsi="宋体" w:eastAsia="仿宋_GB2312"/>
          <w:b w:val="0"/>
          <w:bCs w:val="0"/>
          <w:color w:val="000000"/>
          <w:kern w:val="0"/>
        </w:rPr>
        <w:t>3.3 水文</w:t>
      </w:r>
      <w:bookmarkEnd w:id="17"/>
    </w:p>
    <w:p>
      <w:pPr>
        <w:spacing w:line="360" w:lineRule="auto"/>
        <w:ind w:firstLine="560" w:firstLineChars="200"/>
        <w:rPr>
          <w:rFonts w:ascii="仿宋_GB2312" w:eastAsia="仿宋_GB2312"/>
          <w:sz w:val="28"/>
          <w:szCs w:val="28"/>
        </w:rPr>
      </w:pPr>
      <w:r>
        <w:rPr>
          <w:rFonts w:hint="eastAsia" w:ascii="仿宋_GB2312" w:hAnsi="宋体" w:eastAsia="仿宋_GB2312"/>
          <w:sz w:val="28"/>
        </w:rPr>
        <w:t>评估区内主要的地表水为溱溪河，发源于青年镇罗争坪，流经关坝镇至扶欢镇，流经扶欢场至两河口注入綦江。全长26.1公里，多年平均流量2.55立方米∕秒，落差830米，流域面积134.2平方公里。</w:t>
      </w:r>
      <w:r>
        <w:rPr>
          <w:rFonts w:hint="eastAsia" w:ascii="仿宋_GB2312" w:eastAsia="仿宋_GB2312"/>
          <w:sz w:val="28"/>
          <w:szCs w:val="28"/>
        </w:rPr>
        <w:t>常年水位471m，</w:t>
      </w:r>
      <w:r>
        <w:rPr>
          <w:rFonts w:hint="eastAsia" w:ascii="仿宋_GB2312" w:hAnsi="宋体" w:eastAsia="仿宋_GB2312"/>
          <w:sz w:val="28"/>
          <w:szCs w:val="28"/>
        </w:rPr>
        <w:t>一般洪水位约</w:t>
      </w:r>
      <w:r>
        <w:rPr>
          <w:rFonts w:hint="eastAsia" w:ascii="仿宋_GB2312" w:eastAsia="仿宋_GB2312"/>
          <w:sz w:val="28"/>
          <w:szCs w:val="28"/>
        </w:rPr>
        <w:t>473m。</w:t>
      </w:r>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调查区分布有部分人工鱼塘，其水位、水体补给与排泄均系人为控制，水量有限。</w:t>
      </w:r>
    </w:p>
    <w:p>
      <w:pPr>
        <w:pStyle w:val="3"/>
        <w:adjustRightInd w:val="0"/>
        <w:snapToGrid w:val="0"/>
        <w:spacing w:before="0" w:after="0" w:line="360" w:lineRule="auto"/>
        <w:rPr>
          <w:rFonts w:ascii="仿宋_GB2312" w:hAnsi="宋体" w:eastAsia="仿宋_GB2312"/>
          <w:b w:val="0"/>
          <w:bCs w:val="0"/>
          <w:color w:val="000000"/>
          <w:kern w:val="0"/>
        </w:rPr>
      </w:pPr>
      <w:bookmarkStart w:id="18" w:name="_Toc20901"/>
      <w:r>
        <w:rPr>
          <w:rFonts w:hint="eastAsia" w:ascii="仿宋_GB2312" w:hAnsi="宋体" w:eastAsia="仿宋_GB2312"/>
          <w:b w:val="0"/>
          <w:bCs w:val="0"/>
          <w:color w:val="000000"/>
          <w:kern w:val="0"/>
        </w:rPr>
        <w:t>3.4社会经济概况</w:t>
      </w:r>
      <w:bookmarkEnd w:id="18"/>
    </w:p>
    <w:p>
      <w:pPr>
        <w:spacing w:line="360" w:lineRule="auto"/>
        <w:ind w:firstLine="560" w:firstLineChars="200"/>
        <w:rPr>
          <w:rFonts w:ascii="仿宋_GB2312" w:hAnsi="宋体" w:eastAsia="仿宋_GB2312"/>
          <w:sz w:val="28"/>
        </w:rPr>
      </w:pPr>
      <w:r>
        <w:rPr>
          <w:rFonts w:hint="eastAsia" w:ascii="仿宋_GB2312" w:hAnsi="宋体" w:eastAsia="仿宋_GB2312"/>
          <w:sz w:val="28"/>
        </w:rPr>
        <w:t>扶欢镇位于綦江城区东南部，介于北纬28°51'33"~28°52'11"、东经106°42'46"~106°45'12"之间。东邻</w:t>
      </w:r>
      <w:r>
        <w:fldChar w:fldCharType="begin"/>
      </w:r>
      <w:r>
        <w:instrText xml:space="preserve"> HYPERLINK "https://baike.baidu.com/item/%E4%B8%87%E7%9B%9B%E5%8C%BA/2531947" \t "https://baike.baidu.com/item/%E6%89%B6%E6%AC%A2%E9%95%87/_blank" </w:instrText>
      </w:r>
      <w:r>
        <w:fldChar w:fldCharType="separate"/>
      </w:r>
      <w:r>
        <w:rPr>
          <w:rFonts w:ascii="仿宋_GB2312" w:hAnsi="宋体" w:eastAsia="仿宋_GB2312"/>
          <w:sz w:val="28"/>
        </w:rPr>
        <w:t>万盛区</w:t>
      </w:r>
      <w:r>
        <w:rPr>
          <w:rFonts w:ascii="仿宋_GB2312" w:hAnsi="宋体" w:eastAsia="仿宋_GB2312"/>
          <w:sz w:val="28"/>
        </w:rPr>
        <w:fldChar w:fldCharType="end"/>
      </w:r>
      <w:r>
        <w:fldChar w:fldCharType="begin"/>
      </w:r>
      <w:r>
        <w:instrText xml:space="preserve"> HYPERLINK "https://baike.baidu.com/item/%E5%85%B3%E5%9D%9D%E9%95%87/6948186" \t "https://baike.baidu.com/item/%E6%89%B6%E6%AC%A2%E9%95%87/_blank" </w:instrText>
      </w:r>
      <w:r>
        <w:fldChar w:fldCharType="separate"/>
      </w:r>
      <w:r>
        <w:rPr>
          <w:rFonts w:ascii="仿宋_GB2312" w:hAnsi="宋体" w:eastAsia="仿宋_GB2312"/>
          <w:sz w:val="28"/>
        </w:rPr>
        <w:t>关坝镇</w:t>
      </w:r>
      <w:r>
        <w:rPr>
          <w:rFonts w:ascii="仿宋_GB2312" w:hAnsi="宋体" w:eastAsia="仿宋_GB2312"/>
          <w:sz w:val="28"/>
        </w:rPr>
        <w:fldChar w:fldCharType="end"/>
      </w:r>
      <w:r>
        <w:rPr>
          <w:rFonts w:ascii="仿宋_GB2312" w:hAnsi="宋体" w:eastAsia="仿宋_GB2312"/>
          <w:sz w:val="28"/>
        </w:rPr>
        <w:t>、</w:t>
      </w:r>
      <w:r>
        <w:fldChar w:fldCharType="begin"/>
      </w:r>
      <w:r>
        <w:instrText xml:space="preserve"> HYPERLINK "https://baike.baidu.com/item/%E9%9D%92%E5%B9%B4%E9%95%87/6738451" \t "https://baike.baidu.com/item/%E6%89%B6%E6%AC%A2%E9%95%87/_blank" </w:instrText>
      </w:r>
      <w:r>
        <w:fldChar w:fldCharType="separate"/>
      </w:r>
      <w:r>
        <w:rPr>
          <w:rFonts w:ascii="仿宋_GB2312" w:hAnsi="宋体" w:eastAsia="仿宋_GB2312"/>
          <w:sz w:val="28"/>
        </w:rPr>
        <w:t>青年镇</w:t>
      </w:r>
      <w:r>
        <w:rPr>
          <w:rFonts w:ascii="仿宋_GB2312" w:hAnsi="宋体" w:eastAsia="仿宋_GB2312"/>
          <w:sz w:val="28"/>
        </w:rPr>
        <w:fldChar w:fldCharType="end"/>
      </w:r>
      <w:r>
        <w:rPr>
          <w:rFonts w:ascii="仿宋_GB2312" w:hAnsi="宋体" w:eastAsia="仿宋_GB2312"/>
          <w:sz w:val="28"/>
        </w:rPr>
        <w:t>，南与</w:t>
      </w:r>
      <w:r>
        <w:fldChar w:fldCharType="begin"/>
      </w:r>
      <w:r>
        <w:instrText xml:space="preserve"> HYPERLINK "https://baike.baidu.com/item/%E8%B5%B6%E6%B0%B4%E9%95%87/9148107" \t "https://baike.baidu.com/item/%E6%89%B6%E6%AC%A2%E9%95%87/_blank" </w:instrText>
      </w:r>
      <w:r>
        <w:fldChar w:fldCharType="separate"/>
      </w:r>
      <w:r>
        <w:rPr>
          <w:rFonts w:ascii="仿宋_GB2312" w:hAnsi="宋体" w:eastAsia="仿宋_GB2312"/>
          <w:sz w:val="28"/>
        </w:rPr>
        <w:t>赶水镇</w:t>
      </w:r>
      <w:r>
        <w:rPr>
          <w:rFonts w:ascii="仿宋_GB2312" w:hAnsi="宋体" w:eastAsia="仿宋_GB2312"/>
          <w:sz w:val="28"/>
        </w:rPr>
        <w:fldChar w:fldCharType="end"/>
      </w:r>
      <w:r>
        <w:rPr>
          <w:rFonts w:ascii="仿宋_GB2312" w:hAnsi="宋体" w:eastAsia="仿宋_GB2312"/>
          <w:sz w:val="28"/>
        </w:rPr>
        <w:t>交界，西连</w:t>
      </w:r>
      <w:r>
        <w:fldChar w:fldCharType="begin"/>
      </w:r>
      <w:r>
        <w:instrText xml:space="preserve"> HYPERLINK "https://baike.baidu.com/item/%E4%B8%9C%E6%BA%AA%E9%95%87/12815" \t "https://baike.baidu.com/item/%E6%89%B6%E6%AC%A2%E9%95%87/_blank" </w:instrText>
      </w:r>
      <w:r>
        <w:fldChar w:fldCharType="separate"/>
      </w:r>
      <w:r>
        <w:rPr>
          <w:rFonts w:ascii="仿宋_GB2312" w:hAnsi="宋体" w:eastAsia="仿宋_GB2312"/>
          <w:sz w:val="28"/>
        </w:rPr>
        <w:t>东溪镇</w:t>
      </w:r>
      <w:r>
        <w:rPr>
          <w:rFonts w:ascii="仿宋_GB2312" w:hAnsi="宋体" w:eastAsia="仿宋_GB2312"/>
          <w:sz w:val="28"/>
        </w:rPr>
        <w:fldChar w:fldCharType="end"/>
      </w:r>
      <w:r>
        <w:rPr>
          <w:rFonts w:ascii="仿宋_GB2312" w:hAnsi="宋体" w:eastAsia="仿宋_GB2312"/>
          <w:sz w:val="28"/>
        </w:rPr>
        <w:t>、</w:t>
      </w:r>
      <w:r>
        <w:fldChar w:fldCharType="begin"/>
      </w:r>
      <w:r>
        <w:instrText xml:space="preserve"> HYPERLINK "https://baike.baidu.com/item/%E7%AF%86%E5%A1%98%E9%95%87/5839427" \t "https://baike.baidu.com/item/%E6%89%B6%E6%AC%A2%E9%95%87/_blank" </w:instrText>
      </w:r>
      <w:r>
        <w:fldChar w:fldCharType="separate"/>
      </w:r>
      <w:r>
        <w:rPr>
          <w:rFonts w:ascii="仿宋_GB2312" w:hAnsi="宋体" w:eastAsia="仿宋_GB2312"/>
          <w:sz w:val="28"/>
        </w:rPr>
        <w:t>篆塘镇</w:t>
      </w:r>
      <w:r>
        <w:rPr>
          <w:rFonts w:ascii="仿宋_GB2312" w:hAnsi="宋体" w:eastAsia="仿宋_GB2312"/>
          <w:sz w:val="28"/>
        </w:rPr>
        <w:fldChar w:fldCharType="end"/>
      </w:r>
      <w:r>
        <w:rPr>
          <w:rFonts w:ascii="仿宋_GB2312" w:hAnsi="宋体" w:eastAsia="仿宋_GB2312"/>
          <w:sz w:val="28"/>
        </w:rPr>
        <w:t>，北与</w:t>
      </w:r>
      <w:r>
        <w:fldChar w:fldCharType="begin"/>
      </w:r>
      <w:r>
        <w:instrText xml:space="preserve"> HYPERLINK "https://baike.baidu.com/item/%E4%B8%89%E6%B1%9F%E8%A1%97%E9%81%93/10303715" \t "https://baike.baidu.com/item/%E6%89%B6%E6%AC%A2%E9%95%87/_blank" </w:instrText>
      </w:r>
      <w:r>
        <w:fldChar w:fldCharType="separate"/>
      </w:r>
      <w:r>
        <w:rPr>
          <w:rFonts w:ascii="仿宋_GB2312" w:hAnsi="宋体" w:eastAsia="仿宋_GB2312"/>
          <w:sz w:val="28"/>
        </w:rPr>
        <w:t>三江街道</w:t>
      </w:r>
      <w:r>
        <w:rPr>
          <w:rFonts w:ascii="仿宋_GB2312" w:hAnsi="宋体" w:eastAsia="仿宋_GB2312"/>
          <w:sz w:val="28"/>
        </w:rPr>
        <w:fldChar w:fldCharType="end"/>
      </w:r>
      <w:r>
        <w:rPr>
          <w:rFonts w:ascii="仿宋_GB2312" w:hAnsi="宋体" w:eastAsia="仿宋_GB2312"/>
          <w:sz w:val="28"/>
        </w:rPr>
        <w:t>、</w:t>
      </w:r>
      <w:r>
        <w:fldChar w:fldCharType="begin"/>
      </w:r>
      <w:r>
        <w:instrText xml:space="preserve"> HYPERLINK "https://baike.baidu.com/item/%E7%9F%B3%E8%A7%92%E9%95%87/10947" \t "https://baike.baidu.com/item/%E6%89%B6%E6%AC%A2%E9%95%87/_blank" </w:instrText>
      </w:r>
      <w:r>
        <w:fldChar w:fldCharType="separate"/>
      </w:r>
      <w:r>
        <w:rPr>
          <w:rFonts w:ascii="仿宋_GB2312" w:hAnsi="宋体" w:eastAsia="仿宋_GB2312"/>
          <w:sz w:val="28"/>
        </w:rPr>
        <w:t>石角镇</w:t>
      </w:r>
      <w:r>
        <w:rPr>
          <w:rFonts w:ascii="仿宋_GB2312" w:hAnsi="宋体" w:eastAsia="仿宋_GB2312"/>
          <w:sz w:val="28"/>
        </w:rPr>
        <w:fldChar w:fldCharType="end"/>
      </w:r>
      <w:r>
        <w:rPr>
          <w:rFonts w:ascii="仿宋_GB2312" w:hAnsi="宋体" w:eastAsia="仿宋_GB2312"/>
          <w:sz w:val="28"/>
        </w:rPr>
        <w:t>接壤。</w:t>
      </w:r>
      <w:r>
        <w:rPr>
          <w:rFonts w:hint="eastAsia" w:ascii="仿宋_GB2312" w:hAnsi="宋体" w:eastAsia="仿宋_GB2312"/>
          <w:sz w:val="28"/>
        </w:rPr>
        <w:t xml:space="preserve">  </w:t>
      </w:r>
    </w:p>
    <w:p>
      <w:pPr>
        <w:spacing w:line="360" w:lineRule="auto"/>
        <w:ind w:firstLine="560" w:firstLineChars="200"/>
        <w:rPr>
          <w:rFonts w:ascii="仿宋_GB2312" w:hAnsi="宋体" w:eastAsia="仿宋_GB2312"/>
          <w:sz w:val="28"/>
        </w:rPr>
      </w:pPr>
      <w:r>
        <w:rPr>
          <w:rFonts w:hint="eastAsia" w:ascii="仿宋_GB2312" w:hAnsi="宋体" w:eastAsia="仿宋_GB2312"/>
          <w:sz w:val="28"/>
        </w:rPr>
        <w:t>2017年，扶欢镇地区生产总值完成6.38亿元，比上年增长14.2% ；辖区内工商税收完成497.9万元，比上年增长25.4%；固定资产投资完成3.53亿元，比上年增长5.1% ；社会消费品零售总额完成2.81亿元，比上年增长11%；规模以上工业总产值完成1.98 亿元，比上年增长30.8% ；农村居民人均可支配收入13415元，比上年增长8% ；城镇居民人均可支配收入27164元，比上年增长7.2%。</w:t>
      </w:r>
    </w:p>
    <w:p>
      <w:pPr>
        <w:spacing w:line="360" w:lineRule="auto"/>
        <w:ind w:firstLine="560" w:firstLineChars="200"/>
        <w:rPr>
          <w:rFonts w:ascii="仿宋_GB2312" w:hAnsi="宋体" w:eastAsia="仿宋_GB2312"/>
          <w:sz w:val="28"/>
        </w:rPr>
      </w:pPr>
      <w:r>
        <w:rPr>
          <w:rFonts w:hint="eastAsia" w:ascii="仿宋_GB2312" w:hAnsi="宋体" w:eastAsia="仿宋_GB2312"/>
          <w:sz w:val="28"/>
        </w:rPr>
        <w:t>2017年，扶欢镇安育村引进业主成立农业公司，流转土地发展精品蓝莓26.67余公顷，举办首届蓝莓采摘节，接待游客1万余人，销售蓝莓近2.2万斤，实现纯收入80余万元。助推青岩西瓜园、松山蜜柚园、小卷布朗李园等特色产业园健康发展，种植传统特色农业萝卜、李子、柑橘等产业66.67公顷；脱贫村规划发展养羊、养蜂大户，种植枇杷、春芽、核桃20公顷；成立芳香蔬菜专业合作社发展种植蔬菜13.33 公顷。</w:t>
      </w:r>
    </w:p>
    <w:p>
      <w:pPr>
        <w:spacing w:line="360" w:lineRule="auto"/>
        <w:ind w:firstLine="560" w:firstLineChars="200"/>
        <w:rPr>
          <w:rFonts w:ascii="仿宋_GB2312" w:hAnsi="宋体" w:eastAsia="仿宋_GB2312"/>
          <w:sz w:val="28"/>
        </w:rPr>
      </w:pPr>
      <w:r>
        <w:rPr>
          <w:rFonts w:hint="eastAsia" w:ascii="仿宋_GB2312" w:hAnsi="宋体" w:eastAsia="仿宋_GB2312"/>
          <w:sz w:val="28"/>
        </w:rPr>
        <w:t>2017年，石膏项目落户扶欢中小企业创业基地，由纸面石膏板生产企业投资，利用工业废料脱硫石膏生产新型环保的纸面石膏板。</w:t>
      </w:r>
    </w:p>
    <w:p>
      <w:pPr>
        <w:spacing w:line="360" w:lineRule="auto"/>
        <w:ind w:firstLine="560" w:firstLineChars="200"/>
        <w:rPr>
          <w:rFonts w:ascii="仿宋_GB2312" w:hAnsi="宋体" w:eastAsia="仿宋_GB2312"/>
          <w:sz w:val="28"/>
        </w:rPr>
      </w:pPr>
      <w:r>
        <w:rPr>
          <w:rFonts w:ascii="仿宋_GB2312" w:hAnsi="宋体" w:eastAsia="仿宋_GB2312"/>
          <w:sz w:val="28"/>
        </w:rPr>
        <w:t>2011年，扶欢镇有文化站1个、村级农家书屋15个，业务文艺团体4个、从业人员86人。</w:t>
      </w:r>
      <w:bookmarkStart w:id="19" w:name="7-3"/>
      <w:bookmarkEnd w:id="19"/>
      <w:bookmarkStart w:id="20" w:name="sub2464880_7_3"/>
      <w:bookmarkEnd w:id="20"/>
      <w:bookmarkStart w:id="21" w:name="7_3"/>
      <w:bookmarkEnd w:id="21"/>
      <w:bookmarkStart w:id="22" w:name="医疗卫生"/>
      <w:bookmarkEnd w:id="22"/>
      <w:bookmarkStart w:id="23" w:name="ref_[1]_2464880"/>
    </w:p>
    <w:p>
      <w:pPr>
        <w:spacing w:line="360" w:lineRule="auto"/>
        <w:ind w:firstLine="560" w:firstLineChars="200"/>
        <w:rPr>
          <w:rFonts w:ascii="仿宋_GB2312" w:hAnsi="宋体" w:eastAsia="仿宋_GB2312"/>
          <w:sz w:val="28"/>
        </w:rPr>
      </w:pPr>
      <w:r>
        <w:rPr>
          <w:rFonts w:ascii="仿宋_GB2312" w:hAnsi="宋体" w:eastAsia="仿宋_GB2312"/>
          <w:sz w:val="28"/>
        </w:rPr>
        <w:t>2011年，扶欢镇有中心卫生院1所、农村合作医疗点18个，医疗卫生人员52人，每千人拥有医疗床位0.93张、拥有医疗卫生人员1.47人，2011 年开展诊疗3万人次，开展住院手术235台次，治疗出院2244人次。</w:t>
      </w:r>
      <w:bookmarkEnd w:id="23"/>
      <w:bookmarkStart w:id="24" w:name="sub2464880_7_4"/>
      <w:bookmarkEnd w:id="24"/>
      <w:bookmarkStart w:id="25" w:name="7-4"/>
      <w:bookmarkEnd w:id="25"/>
      <w:bookmarkStart w:id="26" w:name="7_4"/>
      <w:bookmarkEnd w:id="26"/>
      <w:bookmarkStart w:id="27" w:name="社会保障"/>
      <w:bookmarkEnd w:id="27"/>
      <w:r>
        <w:rPr>
          <w:rFonts w:ascii="仿宋_GB2312" w:hAnsi="宋体" w:eastAsia="仿宋_GB2312"/>
          <w:sz w:val="28"/>
        </w:rPr>
        <w:t>2017年，扶欢镇城乡居民医疗参保31420人，参保率95.7%。新增就业471人，为任务的135%，</w:t>
      </w:r>
      <w:r>
        <w:fldChar w:fldCharType="begin"/>
      </w:r>
      <w:r>
        <w:instrText xml:space="preserve"> HYPERLINK "https://baike.baidu.com/item/%E5%9F%8E%E9%95%87%E7%99%BB%E8%AE%B0%E5%A4%B1%E4%B8%9A%E7%8E%87/2659768" \t "https://baike.baidu.com/item/%E6%89%B6%E6%AC%A2%E9%95%87/_blank" </w:instrText>
      </w:r>
      <w:r>
        <w:fldChar w:fldCharType="separate"/>
      </w:r>
      <w:r>
        <w:rPr>
          <w:rFonts w:ascii="仿宋_GB2312" w:hAnsi="宋体" w:eastAsia="仿宋_GB2312"/>
          <w:sz w:val="28"/>
        </w:rPr>
        <w:t>城镇登记失业率</w:t>
      </w:r>
      <w:r>
        <w:rPr>
          <w:rFonts w:ascii="仿宋_GB2312" w:hAnsi="宋体" w:eastAsia="仿宋_GB2312"/>
          <w:sz w:val="28"/>
        </w:rPr>
        <w:fldChar w:fldCharType="end"/>
      </w:r>
      <w:r>
        <w:rPr>
          <w:rFonts w:ascii="仿宋_GB2312" w:hAnsi="宋体" w:eastAsia="仿宋_GB2312"/>
          <w:sz w:val="28"/>
        </w:rPr>
        <w:t>控制在1% ；介绍就业116人，为任务的145%；帮助失业人员再就业162人，为任务的162%；引导创业108人，其中大学生5人；发放创业担保贷款13人，发放金额185万元，举办创业技能培训班4期。享受城乡低保966人，实现应保就保；办理临时救助65户，救助金额16.4万元。 </w:t>
      </w:r>
    </w:p>
    <w:p>
      <w:pPr>
        <w:spacing w:line="360" w:lineRule="auto"/>
        <w:ind w:firstLine="560" w:firstLineChars="200"/>
        <w:rPr>
          <w:rFonts w:ascii="仿宋_GB2312" w:hAnsi="宋体" w:eastAsia="仿宋_GB2312"/>
          <w:sz w:val="28"/>
        </w:rPr>
      </w:pPr>
      <w:r>
        <w:rPr>
          <w:rFonts w:hint="eastAsia" w:ascii="仿宋_GB2312" w:hAnsi="宋体" w:eastAsia="仿宋_GB2312"/>
          <w:sz w:val="28"/>
        </w:rPr>
        <w:t>未来</w:t>
      </w:r>
      <w:r>
        <w:rPr>
          <w:rFonts w:ascii="仿宋_GB2312" w:hAnsi="宋体" w:eastAsia="仿宋_GB2312"/>
          <w:sz w:val="28"/>
        </w:rPr>
        <w:t>扶欢将围绕“煤电化工业重镇”目标，突出“园区建设”和“场镇拓展”两大重点，实施“规划引领、园区带动、场镇配套、资源整合、绿色发展”五大战略，加快产业转型升级发展，倾力打造“产业转型升级发展示范区、产城融合示范区、区域性物资集散中心”。</w:t>
      </w:r>
    </w:p>
    <w:p>
      <w:pPr>
        <w:pStyle w:val="2"/>
        <w:adjustRightInd w:val="0"/>
        <w:snapToGrid w:val="0"/>
        <w:spacing w:before="360" w:beforeLines="150" w:line="360" w:lineRule="auto"/>
        <w:ind w:firstLine="0"/>
        <w:rPr>
          <w:rFonts w:ascii="仿宋_GB2312" w:hAnsi="宋体" w:eastAsia="仿宋_GB2312"/>
          <w:b/>
          <w:bCs/>
          <w:i w:val="0"/>
          <w:iCs w:val="0"/>
          <w:sz w:val="36"/>
          <w:szCs w:val="36"/>
        </w:rPr>
      </w:pPr>
      <w:bookmarkStart w:id="28" w:name="_Toc6043"/>
      <w:r>
        <w:rPr>
          <w:rFonts w:hint="eastAsia" w:ascii="仿宋_GB2312" w:hAnsi="宋体" w:eastAsia="仿宋_GB2312"/>
          <w:b/>
          <w:bCs/>
          <w:i w:val="0"/>
          <w:iCs w:val="0"/>
          <w:sz w:val="36"/>
          <w:szCs w:val="36"/>
        </w:rPr>
        <w:t>4 区域用地地质环境概况</w:t>
      </w:r>
      <w:bookmarkEnd w:id="28"/>
    </w:p>
    <w:p>
      <w:pPr>
        <w:pStyle w:val="3"/>
        <w:adjustRightInd w:val="0"/>
        <w:snapToGrid w:val="0"/>
        <w:spacing w:before="0" w:after="0" w:line="360" w:lineRule="auto"/>
        <w:rPr>
          <w:rFonts w:ascii="仿宋_GB2312" w:hAnsi="宋体" w:eastAsia="仿宋_GB2312"/>
          <w:b w:val="0"/>
          <w:bCs w:val="0"/>
          <w:color w:val="000000"/>
          <w:kern w:val="0"/>
        </w:rPr>
      </w:pPr>
      <w:bookmarkStart w:id="29" w:name="_Toc24440"/>
      <w:r>
        <w:rPr>
          <w:rFonts w:hint="eastAsia" w:ascii="仿宋_GB2312" w:hAnsi="宋体" w:eastAsia="仿宋_GB2312"/>
          <w:b w:val="0"/>
          <w:bCs w:val="0"/>
          <w:color w:val="000000"/>
          <w:kern w:val="0"/>
        </w:rPr>
        <w:t>4.1 地形、地貌</w:t>
      </w:r>
      <w:bookmarkEnd w:id="29"/>
    </w:p>
    <w:p>
      <w:pPr>
        <w:pStyle w:val="27"/>
        <w:spacing w:line="360" w:lineRule="auto"/>
        <w:rPr>
          <w:rFonts w:ascii="仿宋_GB2312" w:eastAsia="仿宋_GB2312"/>
          <w:szCs w:val="28"/>
        </w:rPr>
      </w:pPr>
      <w:bookmarkStart w:id="30" w:name="_Toc23048143"/>
      <w:bookmarkStart w:id="31" w:name="_Toc34496454"/>
      <w:r>
        <w:rPr>
          <w:rFonts w:hint="eastAsia" w:ascii="仿宋_GB2312" w:hAnsi="宋体" w:eastAsia="仿宋_GB2312"/>
          <w:szCs w:val="28"/>
        </w:rPr>
        <w:t>评估区属构造剥蚀浅丘地貌，斜坡冲沟相间，岩性多为砂岩和泥岩，岩性又软弱，丘陵起状和缓，相对高度较小，谷地较开阔，在夹有厚层砂岩的地方，形成方山式丘陵。</w:t>
      </w:r>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评估区地形总体上受地层和地质构造控制明显，北西侧高、南东侧低，最高点位于评估区北侧</w:t>
      </w:r>
      <w:r>
        <w:rPr>
          <w:rFonts w:hint="eastAsia" w:ascii="仿宋_GB2312" w:eastAsia="仿宋_GB2312"/>
          <w:sz w:val="28"/>
          <w:szCs w:val="28"/>
        </w:rPr>
        <w:t>-</w:t>
      </w:r>
      <w:r>
        <w:rPr>
          <w:rFonts w:hint="eastAsia" w:ascii="仿宋_GB2312" w:hAnsi="宋体" w:eastAsia="仿宋_GB2312"/>
          <w:sz w:val="28"/>
          <w:szCs w:val="28"/>
        </w:rPr>
        <w:t>山丘高程为</w:t>
      </w:r>
      <w:r>
        <w:rPr>
          <w:rFonts w:hint="eastAsia" w:ascii="仿宋_GB2312" w:eastAsia="仿宋_GB2312"/>
          <w:sz w:val="28"/>
          <w:szCs w:val="28"/>
        </w:rPr>
        <w:t>580m</w:t>
      </w:r>
      <w:r>
        <w:rPr>
          <w:rFonts w:hint="eastAsia" w:ascii="仿宋_GB2312" w:hAnsi="宋体" w:eastAsia="仿宋_GB2312"/>
          <w:sz w:val="28"/>
          <w:szCs w:val="28"/>
        </w:rPr>
        <w:t>；最低点位于评估区南东侧高程为：</w:t>
      </w:r>
      <w:r>
        <w:rPr>
          <w:rFonts w:hint="eastAsia" w:ascii="仿宋_GB2312" w:eastAsia="仿宋_GB2312"/>
          <w:sz w:val="28"/>
          <w:szCs w:val="28"/>
        </w:rPr>
        <w:t>471m</w:t>
      </w:r>
      <w:r>
        <w:rPr>
          <w:rFonts w:hint="eastAsia" w:ascii="仿宋_GB2312" w:hAnsi="宋体" w:eastAsia="仿宋_GB2312"/>
          <w:sz w:val="28"/>
          <w:szCs w:val="28"/>
        </w:rPr>
        <w:t>，相对高差为</w:t>
      </w:r>
      <w:r>
        <w:rPr>
          <w:rFonts w:hint="eastAsia" w:ascii="仿宋_GB2312" w:eastAsia="仿宋_GB2312"/>
          <w:sz w:val="28"/>
          <w:szCs w:val="28"/>
        </w:rPr>
        <w:t>111m</w:t>
      </w:r>
      <w:r>
        <w:rPr>
          <w:rFonts w:hint="eastAsia" w:ascii="仿宋_GB2312" w:hAnsi="宋体" w:eastAsia="仿宋_GB2312"/>
          <w:sz w:val="28"/>
          <w:szCs w:val="28"/>
        </w:rPr>
        <w:t>。</w:t>
      </w:r>
    </w:p>
    <w:p>
      <w:pPr>
        <w:spacing w:line="360" w:lineRule="auto"/>
        <w:ind w:firstLine="560" w:firstLineChars="200"/>
        <w:jc w:val="left"/>
        <w:rPr>
          <w:rFonts w:ascii="仿宋_GB2312" w:eastAsia="仿宋_GB2312"/>
          <w:b/>
          <w:color w:val="000000"/>
          <w:sz w:val="24"/>
          <w:szCs w:val="28"/>
        </w:rPr>
      </w:pPr>
      <w:r>
        <w:rPr>
          <w:rFonts w:hint="eastAsia" w:ascii="仿宋_GB2312" w:hAnsi="宋体" w:eastAsia="仿宋_GB2312"/>
          <w:sz w:val="28"/>
          <w:szCs w:val="28"/>
        </w:rPr>
        <w:t>评估区的地形较简单，地形总体上受地层、地质构造及风化剥蚀控制明显，主要由浑圆状山丘、季节性冲沟谷地组成。山丘分布大致走向为北西，横向上波状起伏，丘顶呈圆形或椭圆形，各个小山丘独个而立，丘顶圆浑平缓。丘体斜坡地形坡度角一般为</w:t>
      </w:r>
      <w:r>
        <w:rPr>
          <w:rFonts w:hint="eastAsia" w:ascii="仿宋_GB2312" w:eastAsia="仿宋_GB2312"/>
          <w:sz w:val="28"/>
          <w:szCs w:val="28"/>
        </w:rPr>
        <w:t>5</w:t>
      </w:r>
      <w:r>
        <w:rPr>
          <w:rFonts w:hint="eastAsia" w:ascii="仿宋_GB2312" w:hAnsi="宋体" w:eastAsia="仿宋_GB2312"/>
          <w:sz w:val="28"/>
          <w:szCs w:val="28"/>
        </w:rPr>
        <w:t>～</w:t>
      </w:r>
      <w:r>
        <w:rPr>
          <w:rFonts w:hint="eastAsia" w:ascii="仿宋_GB2312" w:eastAsia="仿宋_GB2312"/>
          <w:sz w:val="28"/>
          <w:szCs w:val="28"/>
        </w:rPr>
        <w:t>20°</w:t>
      </w:r>
      <w:r>
        <w:rPr>
          <w:rFonts w:hint="eastAsia" w:ascii="仿宋_GB2312" w:hAnsi="宋体" w:eastAsia="仿宋_GB2312"/>
          <w:sz w:val="28"/>
          <w:szCs w:val="28"/>
        </w:rPr>
        <w:t>，局部</w:t>
      </w:r>
      <w:r>
        <w:rPr>
          <w:rFonts w:hint="eastAsia" w:ascii="仿宋_GB2312" w:eastAsia="仿宋_GB2312"/>
          <w:sz w:val="28"/>
          <w:szCs w:val="28"/>
        </w:rPr>
        <w:t>25-30°</w:t>
      </w:r>
      <w:r>
        <w:rPr>
          <w:rFonts w:hint="eastAsia" w:ascii="仿宋_GB2312" w:hAnsi="宋体" w:eastAsia="仿宋_GB2312"/>
          <w:sz w:val="28"/>
          <w:szCs w:val="28"/>
        </w:rPr>
        <w:t>，斜坡植物繁茂。评估区总体较平缓，多为耕地农田。</w:t>
      </w:r>
    </w:p>
    <w:bookmarkEnd w:id="30"/>
    <w:bookmarkEnd w:id="31"/>
    <w:p>
      <w:pPr>
        <w:pStyle w:val="3"/>
        <w:adjustRightInd w:val="0"/>
        <w:snapToGrid w:val="0"/>
        <w:spacing w:before="0" w:after="0" w:line="600" w:lineRule="atLeast"/>
        <w:rPr>
          <w:rFonts w:ascii="仿宋_GB2312" w:hAnsi="宋体" w:eastAsia="仿宋_GB2312"/>
          <w:b w:val="0"/>
          <w:bCs w:val="0"/>
          <w:color w:val="000000"/>
          <w:kern w:val="0"/>
        </w:rPr>
      </w:pPr>
      <w:bookmarkStart w:id="32" w:name="_Toc29015"/>
      <w:r>
        <w:rPr>
          <w:rFonts w:hint="eastAsia" w:ascii="仿宋_GB2312" w:hAnsi="宋体" w:eastAsia="仿宋_GB2312"/>
          <w:b w:val="0"/>
          <w:bCs w:val="0"/>
          <w:color w:val="000000"/>
          <w:kern w:val="0"/>
        </w:rPr>
        <w:t>4.2 地质构造及地震</w:t>
      </w:r>
      <w:bookmarkEnd w:id="32"/>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场地地处洛渍向斜南西翼，未见断层通过本场地，未见断裂破碎带分布，岩层分布稳定，未见褶皱分布，地质构造简单。据场内和场外基岩露头观测：岩层产状：310-315°∠16-22°；层面平直，闭合～微张状，泥质充填，结合很差，属软弱结构面。</w:t>
      </w:r>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观测到岩体中发育两组裂隙：</w:t>
      </w:r>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①LX1：产状140°∠87°，间距2～3m，延伸6～8m，裂面张开度2～5mm，无充填，结合程度差，较发育，为硬性结构面；</w:t>
      </w:r>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②LX2：产状30°∠84°，间距1～2.5m，延伸6～7m，裂面张开度2.5～5mm，无充填，结合程度差，较发育，为硬性结构面。</w:t>
      </w:r>
    </w:p>
    <w:p>
      <w:pPr>
        <w:spacing w:line="360" w:lineRule="auto"/>
        <w:ind w:firstLine="560" w:firstLineChars="200"/>
        <w:rPr>
          <w:rFonts w:ascii="仿宋_GB2312" w:hAnsi="宋体" w:eastAsia="仿宋_GB2312"/>
          <w:sz w:val="28"/>
          <w:szCs w:val="28"/>
        </w:rPr>
      </w:pPr>
      <w:r>
        <w:rPr>
          <w:rFonts w:hint="eastAsia" w:ascii="仿宋_GB2312" w:eastAsia="仿宋_GB2312"/>
          <w:sz w:val="28"/>
          <w:szCs w:val="28"/>
        </w:rPr>
        <w:t>根据1：20万（綦江幅）区域地质图，万盛煤电化核心区位于石油沟背斜和酒店垭背斜及接龙场背斜之间三角镇向斜东翼</w:t>
      </w:r>
      <w:r>
        <w:rPr>
          <w:rFonts w:hint="eastAsia" w:ascii="仿宋_GB2312" w:hAnsi="宋体" w:eastAsia="仿宋_GB2312"/>
          <w:sz w:val="28"/>
          <w:szCs w:val="28"/>
        </w:rPr>
        <w:t>。</w:t>
      </w:r>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综上，评估区未发现断层及次级褶皱通过，构造条件简单。</w:t>
      </w:r>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根据《中国地震动参数区划图》（GB 18306-2015），评估区地震动峰值加速度为0.05g，地震基本烈度Ⅵ度。</w:t>
      </w:r>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综上所述，评估区地震属较复杂。</w:t>
      </w:r>
    </w:p>
    <w:p>
      <w:pPr>
        <w:spacing w:line="600" w:lineRule="atLeast"/>
        <w:jc w:val="center"/>
        <w:rPr>
          <w:rFonts w:ascii="仿宋_GB2312" w:hAnsi="宋体" w:eastAsia="仿宋_GB2312"/>
          <w:color w:val="FF0000"/>
          <w:sz w:val="28"/>
        </w:rPr>
      </w:pPr>
      <w:r>
        <w:rPr>
          <w:rFonts w:hint="eastAsia" w:ascii="仿宋_GB2312" w:hAnsi="宋体" w:eastAsia="仿宋_GB2312"/>
          <w:color w:val="FF0000"/>
          <w:sz w:val="28"/>
        </w:rPr>
        <w:drawing>
          <wp:inline distT="0" distB="0" distL="114300" distR="114300">
            <wp:extent cx="5041265" cy="4758055"/>
            <wp:effectExtent l="0" t="0" r="6985" b="4445"/>
            <wp:docPr id="7" name="图片 7" descr="图片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 副本"/>
                    <pic:cNvPicPr>
                      <a:picLocks noChangeAspect="1"/>
                    </pic:cNvPicPr>
                  </pic:nvPicPr>
                  <pic:blipFill>
                    <a:blip r:embed="rId24"/>
                    <a:stretch>
                      <a:fillRect/>
                    </a:stretch>
                  </pic:blipFill>
                  <pic:spPr>
                    <a:xfrm>
                      <a:off x="0" y="0"/>
                      <a:ext cx="5041265" cy="4758055"/>
                    </a:xfrm>
                    <a:prstGeom prst="rect">
                      <a:avLst/>
                    </a:prstGeom>
                  </pic:spPr>
                </pic:pic>
              </a:graphicData>
            </a:graphic>
          </wp:inline>
        </w:drawing>
      </w:r>
    </w:p>
    <w:p>
      <w:pPr>
        <w:spacing w:line="300" w:lineRule="exact"/>
        <w:jc w:val="center"/>
        <w:rPr>
          <w:rFonts w:ascii="仿宋_GB2312" w:hAnsi="宋体" w:eastAsia="仿宋_GB2312"/>
          <w:b/>
          <w:color w:val="FF0000"/>
          <w:sz w:val="28"/>
        </w:rPr>
      </w:pPr>
      <w:r>
        <w:rPr>
          <w:rFonts w:hint="eastAsia" w:ascii="仿宋_GB2312" w:eastAsia="仿宋_GB2312"/>
          <w:b/>
          <w:color w:val="000000"/>
          <w:sz w:val="24"/>
          <w:szCs w:val="28"/>
        </w:rPr>
        <w:t xml:space="preserve">图4.2-1    评估区构造纲要图   </w:t>
      </w:r>
    </w:p>
    <w:p>
      <w:pPr>
        <w:pStyle w:val="3"/>
        <w:adjustRightInd w:val="0"/>
        <w:snapToGrid w:val="0"/>
        <w:spacing w:before="0" w:after="0" w:line="600" w:lineRule="atLeast"/>
        <w:rPr>
          <w:rFonts w:ascii="仿宋_GB2312" w:hAnsi="宋体" w:eastAsia="仿宋_GB2312"/>
          <w:b w:val="0"/>
          <w:bCs w:val="0"/>
          <w:color w:val="000000"/>
          <w:kern w:val="0"/>
        </w:rPr>
      </w:pPr>
      <w:bookmarkStart w:id="33" w:name="_Toc6983"/>
      <w:r>
        <w:rPr>
          <w:rFonts w:hint="eastAsia" w:ascii="仿宋_GB2312" w:hAnsi="宋体" w:eastAsia="仿宋_GB2312"/>
          <w:b w:val="0"/>
          <w:bCs w:val="0"/>
          <w:color w:val="000000"/>
          <w:kern w:val="0"/>
        </w:rPr>
        <w:t>4.3 地层岩性</w:t>
      </w:r>
      <w:bookmarkEnd w:id="33"/>
    </w:p>
    <w:p>
      <w:pPr>
        <w:spacing w:line="360" w:lineRule="auto"/>
        <w:jc w:val="center"/>
        <w:rPr>
          <w:sz w:val="28"/>
          <w:szCs w:val="28"/>
        </w:rPr>
      </w:pPr>
      <w:bookmarkStart w:id="34" w:name="_Toc301859262"/>
      <w:r>
        <w:drawing>
          <wp:inline distT="0" distB="0" distL="114300" distR="114300">
            <wp:extent cx="3778250" cy="3489960"/>
            <wp:effectExtent l="0" t="0" r="12700" b="1524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25"/>
                    <a:srcRect l="40086" t="2660" r="15459" b="3075"/>
                    <a:stretch>
                      <a:fillRect/>
                    </a:stretch>
                  </pic:blipFill>
                  <pic:spPr>
                    <a:xfrm>
                      <a:off x="0" y="0"/>
                      <a:ext cx="3778250" cy="3489960"/>
                    </a:xfrm>
                    <a:prstGeom prst="rect">
                      <a:avLst/>
                    </a:prstGeom>
                    <a:noFill/>
                    <a:ln>
                      <a:noFill/>
                    </a:ln>
                  </pic:spPr>
                </pic:pic>
              </a:graphicData>
            </a:graphic>
          </wp:inline>
        </w:drawing>
      </w:r>
    </w:p>
    <w:p>
      <w:pPr>
        <w:spacing w:line="360" w:lineRule="auto"/>
        <w:jc w:val="center"/>
        <w:rPr>
          <w:rFonts w:ascii="仿宋_GB2312" w:eastAsia="仿宋_GB2312"/>
          <w:b/>
          <w:color w:val="000000"/>
          <w:sz w:val="24"/>
          <w:szCs w:val="28"/>
        </w:rPr>
      </w:pPr>
      <w:r>
        <w:rPr>
          <w:rFonts w:ascii="仿宋_GB2312" w:eastAsia="仿宋_GB2312"/>
          <w:b/>
          <w:color w:val="000000"/>
          <w:sz w:val="24"/>
          <w:szCs w:val="28"/>
        </w:rPr>
        <w:t>图</w:t>
      </w:r>
      <w:r>
        <w:rPr>
          <w:rFonts w:hint="eastAsia" w:ascii="仿宋_GB2312" w:eastAsia="仿宋_GB2312"/>
          <w:b/>
          <w:color w:val="000000"/>
          <w:sz w:val="24"/>
          <w:szCs w:val="28"/>
        </w:rPr>
        <w:t>4.3</w:t>
      </w:r>
      <w:r>
        <w:rPr>
          <w:rFonts w:ascii="仿宋_GB2312" w:eastAsia="仿宋_GB2312"/>
          <w:b/>
          <w:color w:val="000000"/>
          <w:sz w:val="24"/>
          <w:szCs w:val="28"/>
        </w:rPr>
        <w:t xml:space="preserve">-1     </w:t>
      </w:r>
      <w:r>
        <w:rPr>
          <w:rFonts w:hint="eastAsia" w:ascii="仿宋_GB2312" w:eastAsia="仿宋_GB2312"/>
          <w:b/>
          <w:color w:val="000000"/>
          <w:sz w:val="24"/>
          <w:szCs w:val="28"/>
        </w:rPr>
        <w:t>地层岩性</w:t>
      </w:r>
      <w:r>
        <w:rPr>
          <w:rFonts w:ascii="仿宋_GB2312" w:eastAsia="仿宋_GB2312"/>
          <w:b/>
          <w:color w:val="000000"/>
          <w:sz w:val="24"/>
          <w:szCs w:val="28"/>
        </w:rPr>
        <w:t>图</w:t>
      </w:r>
    </w:p>
    <w:bookmarkEnd w:id="34"/>
    <w:p>
      <w:pPr>
        <w:pStyle w:val="66"/>
        <w:snapToGrid w:val="0"/>
        <w:spacing w:before="120"/>
      </w:pPr>
      <w:r>
        <w:rPr>
          <w:rFonts w:hint="eastAsia"/>
        </w:rPr>
        <w:t>评估区</w:t>
      </w:r>
      <w:r>
        <w:t>范围内</w:t>
      </w:r>
      <w:r>
        <w:rPr>
          <w:rFonts w:hint="eastAsia"/>
        </w:rPr>
        <w:t>出</w:t>
      </w:r>
      <w:r>
        <w:t>露地层由第四系和</w:t>
      </w:r>
      <w:r>
        <w:rPr>
          <w:rFonts w:hint="eastAsia" w:ascii="仿宋" w:hAnsi="仿宋" w:eastAsia="仿宋"/>
          <w:bCs/>
        </w:rPr>
        <w:t>侏罗系上统中统沙溪庙组组成</w:t>
      </w:r>
      <w:r>
        <w:t>。现将各岩土层工程特征自上而下（从新到老）分述如下：</w:t>
      </w:r>
    </w:p>
    <w:p>
      <w:pPr>
        <w:pStyle w:val="66"/>
        <w:snapToGrid w:val="0"/>
        <w:spacing w:before="120"/>
      </w:pPr>
      <w:r>
        <w:rPr>
          <w:rFonts w:hint="eastAsia"/>
        </w:rPr>
        <w:t>第四系</w:t>
      </w:r>
      <w:r>
        <w:t>（Q</w:t>
      </w:r>
      <w:r>
        <w:rPr>
          <w:vertAlign w:val="subscript"/>
        </w:rPr>
        <w:t>4</w:t>
      </w:r>
      <w:r>
        <w:t>）：</w:t>
      </w:r>
      <w:r>
        <w:rPr>
          <w:rFonts w:hint="eastAsia"/>
        </w:rPr>
        <w:t>分布有填土、</w:t>
      </w:r>
      <w:r>
        <w:t>第四系</w:t>
      </w:r>
      <w:r>
        <w:rPr>
          <w:rFonts w:hint="eastAsia"/>
        </w:rPr>
        <w:t>残坡积粉质粘</w:t>
      </w:r>
      <w:r>
        <w:t>土</w:t>
      </w:r>
      <w:r>
        <w:rPr>
          <w:rFonts w:hint="eastAsia"/>
        </w:rPr>
        <w:t>、滑坡堆积层、</w:t>
      </w:r>
      <w:r>
        <w:t>河流冲</w:t>
      </w:r>
      <w:r>
        <w:rPr>
          <w:rFonts w:hint="eastAsia"/>
        </w:rPr>
        <w:t>洪</w:t>
      </w:r>
      <w:r>
        <w:t>积</w:t>
      </w:r>
      <w:r>
        <w:rPr>
          <w:rFonts w:hint="eastAsia"/>
        </w:rPr>
        <w:t>层土。</w:t>
      </w:r>
    </w:p>
    <w:p>
      <w:pPr>
        <w:pStyle w:val="66"/>
        <w:snapToGrid w:val="0"/>
        <w:spacing w:before="120"/>
      </w:pPr>
      <w:r>
        <w:rPr>
          <w:rFonts w:hint="eastAsia"/>
        </w:rPr>
        <w:t>第四系素填土</w:t>
      </w:r>
      <w:r>
        <w:t>（Q</w:t>
      </w:r>
      <w:r>
        <w:rPr>
          <w:vertAlign w:val="subscript"/>
        </w:rPr>
        <w:t>4</w:t>
      </w:r>
      <w:r>
        <w:rPr>
          <w:vertAlign w:val="superscript"/>
        </w:rPr>
        <w:t>ml</w:t>
      </w:r>
      <w:r>
        <w:t>）</w:t>
      </w:r>
      <w:r>
        <w:rPr>
          <w:rFonts w:hint="eastAsia"/>
        </w:rPr>
        <w:t>，杂色，其主要成分为砂、泥岩块碎石夹杂粉质粘土，干燥~稍湿，结构稍密~中密，碎块石直径一般10-1</w:t>
      </w:r>
      <w:r>
        <w:t>5</w:t>
      </w:r>
      <w:r>
        <w:rPr>
          <w:rFonts w:hint="eastAsia"/>
        </w:rPr>
        <w:t>0cm，含量占</w:t>
      </w:r>
      <w:r>
        <w:t>4</w:t>
      </w:r>
      <w:r>
        <w:rPr>
          <w:rFonts w:hint="eastAsia"/>
        </w:rPr>
        <w:t>5%~</w:t>
      </w:r>
      <w:r>
        <w:t>55</w:t>
      </w:r>
      <w:r>
        <w:rPr>
          <w:rFonts w:hint="eastAsia"/>
        </w:rPr>
        <w:t>%，大部分堆积时间大于5年，少量新近抛填的素填土，结构松散~稍密，堆积时间约1年；该填土层为厚度差异较大且不连续，主要分布在现有公路附近、施工场地等。</w:t>
      </w:r>
    </w:p>
    <w:p>
      <w:pPr>
        <w:pStyle w:val="66"/>
        <w:snapToGrid w:val="0"/>
        <w:spacing w:before="120"/>
        <w:rPr>
          <w:rFonts w:ascii="宋体" w:hAnsi="宋体"/>
          <w:color w:val="000000"/>
        </w:rPr>
      </w:pPr>
      <w:r>
        <w:t>第四系</w:t>
      </w:r>
      <w:r>
        <w:rPr>
          <w:rFonts w:hint="eastAsia"/>
        </w:rPr>
        <w:t>残坡积粉质粘</w:t>
      </w:r>
      <w:r>
        <w:t>土</w:t>
      </w:r>
      <w:r>
        <w:rPr>
          <w:rFonts w:hAnsi="宋体"/>
        </w:rPr>
        <w:t>（</w:t>
      </w:r>
      <w:r>
        <w:t>Q</w:t>
      </w:r>
      <w:r>
        <w:rPr>
          <w:rFonts w:hint="eastAsia"/>
          <w:vertAlign w:val="subscript"/>
        </w:rPr>
        <w:t>4</w:t>
      </w:r>
      <w:r>
        <w:rPr>
          <w:vertAlign w:val="superscript"/>
        </w:rPr>
        <w:t>el+dl</w:t>
      </w:r>
      <w:r>
        <w:rPr>
          <w:rFonts w:hAnsi="宋体"/>
        </w:rPr>
        <w:t>）</w:t>
      </w:r>
      <w:r>
        <w:t>：</w:t>
      </w:r>
      <w:r>
        <w:rPr>
          <w:rFonts w:hint="eastAsia"/>
        </w:rPr>
        <w:t>黄褐色，其主要成分为粘土矿物，局部夹砂岩块碎石，块碎石粒径2～15cm ，含量占10～15%，粉质粘土呈可塑状，干强度及韧性中等，无摇震反应，切口稍有光泽。该层主要分布于道路两侧及施工场地，厚度0.30～5.30m。</w:t>
      </w:r>
    </w:p>
    <w:p>
      <w:pPr>
        <w:spacing w:line="360" w:lineRule="auto"/>
        <w:ind w:firstLine="560" w:firstLineChars="200"/>
        <w:rPr>
          <w:rFonts w:ascii="仿宋_GB2312" w:eastAsia="仿宋_GB2312" w:cs="宋体"/>
          <w:sz w:val="28"/>
          <w:szCs w:val="28"/>
        </w:rPr>
      </w:pPr>
      <w:r>
        <w:rPr>
          <w:rFonts w:hint="eastAsia" w:ascii="仿宋_GB2312" w:eastAsia="仿宋_GB2312" w:cs="宋体"/>
          <w:sz w:val="28"/>
          <w:szCs w:val="28"/>
        </w:rPr>
        <w:t>～～～～～～  不整合接触 ～～～～～～</w:t>
      </w:r>
    </w:p>
    <w:p>
      <w:pPr>
        <w:pStyle w:val="66"/>
        <w:snapToGrid w:val="0"/>
        <w:spacing w:before="120"/>
      </w:pPr>
      <w:r>
        <w:rPr>
          <w:rFonts w:hint="eastAsia"/>
        </w:rPr>
        <w:t>侏罗系中统沙溪庙（J</w:t>
      </w:r>
      <w:r>
        <w:rPr>
          <w:rFonts w:hint="eastAsia"/>
          <w:vertAlign w:val="subscript"/>
        </w:rPr>
        <w:t>2</w:t>
      </w:r>
      <w:r>
        <w:rPr>
          <w:rFonts w:hint="eastAsia"/>
        </w:rPr>
        <w:t>s）：</w:t>
      </w:r>
    </w:p>
    <w:p>
      <w:pPr>
        <w:pStyle w:val="66"/>
        <w:snapToGrid w:val="0"/>
        <w:spacing w:before="120"/>
      </w:pPr>
      <w:r>
        <w:rPr>
          <w:rFonts w:hint="eastAsia"/>
        </w:rPr>
        <w:t>泥岩，紫红色，主要成分以粘土矿物为主，含砂质及钙质较重，泥质结构，中厚层状构造。。</w:t>
      </w:r>
    </w:p>
    <w:p>
      <w:pPr>
        <w:pStyle w:val="66"/>
        <w:snapToGrid w:val="0"/>
        <w:spacing w:before="120"/>
      </w:pPr>
      <w:r>
        <w:rPr>
          <w:rFonts w:hint="eastAsia"/>
        </w:rPr>
        <w:t>砂岩，灰色，局部为紫红色，主要成分以长石矿物为主，含云母矿物，细-中粒结构，钙质、泥质胶结，中厚层~厚层状构造。</w:t>
      </w:r>
    </w:p>
    <w:p>
      <w:pPr>
        <w:pStyle w:val="66"/>
        <w:snapToGrid w:val="0"/>
        <w:spacing w:before="120"/>
      </w:pPr>
      <w:r>
        <w:rPr>
          <w:rFonts w:hint="eastAsia"/>
        </w:rPr>
        <w:t>泥岩与砂岩互层发育。</w:t>
      </w:r>
    </w:p>
    <w:p>
      <w:pPr>
        <w:pStyle w:val="66"/>
        <w:snapToGrid w:val="0"/>
        <w:spacing w:before="120"/>
      </w:pPr>
    </w:p>
    <w:p>
      <w:pPr>
        <w:pStyle w:val="3"/>
        <w:adjustRightInd w:val="0"/>
        <w:snapToGrid w:val="0"/>
        <w:spacing w:before="0" w:after="0" w:line="360" w:lineRule="auto"/>
        <w:rPr>
          <w:rFonts w:ascii="仿宋_GB2312" w:hAnsi="宋体" w:eastAsia="仿宋_GB2312"/>
          <w:b w:val="0"/>
          <w:bCs w:val="0"/>
          <w:color w:val="000000"/>
          <w:kern w:val="0"/>
        </w:rPr>
      </w:pPr>
      <w:bookmarkStart w:id="35" w:name="_Toc27391"/>
      <w:r>
        <w:rPr>
          <w:rFonts w:hint="eastAsia" w:ascii="仿宋_GB2312" w:hAnsi="宋体" w:eastAsia="仿宋_GB2312"/>
          <w:b w:val="0"/>
          <w:bCs w:val="0"/>
          <w:color w:val="000000"/>
          <w:kern w:val="0"/>
        </w:rPr>
        <w:t>4.4 水文地质条件</w:t>
      </w:r>
      <w:bookmarkEnd w:id="35"/>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评估区内粉质粘土和泥岩为相对隔水层。砂岩为弱透水层</w:t>
      </w:r>
      <w:r>
        <w:rPr>
          <w:rFonts w:ascii="仿宋_GB2312" w:hAnsi="宋体" w:eastAsia="仿宋_GB2312"/>
          <w:sz w:val="28"/>
          <w:szCs w:val="28"/>
        </w:rPr>
        <w:t>,</w:t>
      </w:r>
      <w:r>
        <w:rPr>
          <w:rFonts w:hint="eastAsia" w:ascii="仿宋_GB2312" w:hAnsi="宋体" w:eastAsia="仿宋_GB2312"/>
          <w:sz w:val="28"/>
          <w:szCs w:val="28"/>
        </w:rPr>
        <w:t>素填土、块石土为透水层。上覆填土松散、空隙较大，有利于地表水下渗。</w:t>
      </w:r>
      <w:bookmarkStart w:id="36" w:name="_Toc353757900"/>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1</w:t>
      </w:r>
      <w:r>
        <w:rPr>
          <w:rFonts w:hint="eastAsia" w:ascii="仿宋_GB2312" w:hAnsi="宋体" w:eastAsia="仿宋_GB2312"/>
          <w:sz w:val="28"/>
          <w:szCs w:val="28"/>
        </w:rPr>
        <w:t>）地下水类型</w:t>
      </w:r>
      <w:bookmarkEnd w:id="36"/>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场地内地下水种类主要为第四系松散层孔隙水、基岩裂隙水。</w:t>
      </w:r>
    </w:p>
    <w:p>
      <w:pPr>
        <w:spacing w:line="360" w:lineRule="auto"/>
        <w:ind w:firstLine="560" w:firstLineChars="200"/>
        <w:rPr>
          <w:rFonts w:ascii="仿宋_GB2312" w:hAnsi="宋体" w:eastAsia="仿宋_GB2312"/>
          <w:sz w:val="28"/>
          <w:szCs w:val="28"/>
        </w:rPr>
      </w:pPr>
      <w:r>
        <w:rPr>
          <w:rFonts w:ascii="仿宋_GB2312" w:hAnsi="宋体" w:eastAsia="仿宋_GB2312"/>
          <w:sz w:val="28"/>
          <w:szCs w:val="28"/>
        </w:rPr>
        <w:t>a</w:t>
      </w:r>
      <w:r>
        <w:rPr>
          <w:rFonts w:hint="eastAsia" w:ascii="仿宋_GB2312" w:hAnsi="宋体" w:eastAsia="仿宋_GB2312"/>
          <w:sz w:val="28"/>
          <w:szCs w:val="28"/>
        </w:rPr>
        <w:t>、第四系松散层类孔隙水</w:t>
      </w:r>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松散层类孔隙水集中分布于全新统第四系土中。因土层的性质、颗粒大小、厚度、砂泥岩碎块石含量等均有明显差别，其富水性也因此而异，受大气降水补给。具有随气候和降雨变化的显著特征，雨季有水，旱季干涸。</w:t>
      </w:r>
    </w:p>
    <w:p>
      <w:pPr>
        <w:spacing w:line="360" w:lineRule="auto"/>
        <w:ind w:firstLine="560" w:firstLineChars="200"/>
        <w:rPr>
          <w:rFonts w:ascii="仿宋_GB2312" w:hAnsi="宋体" w:eastAsia="仿宋_GB2312"/>
          <w:sz w:val="28"/>
          <w:szCs w:val="28"/>
        </w:rPr>
      </w:pPr>
      <w:r>
        <w:rPr>
          <w:rFonts w:ascii="仿宋_GB2312" w:hAnsi="宋体" w:eastAsia="仿宋_GB2312"/>
          <w:sz w:val="28"/>
          <w:szCs w:val="28"/>
        </w:rPr>
        <w:t>b</w:t>
      </w:r>
      <w:r>
        <w:rPr>
          <w:rFonts w:hint="eastAsia" w:ascii="仿宋_GB2312" w:hAnsi="宋体" w:eastAsia="仿宋_GB2312"/>
          <w:sz w:val="28"/>
          <w:szCs w:val="28"/>
        </w:rPr>
        <w:t>、基岩裂隙水</w:t>
      </w:r>
    </w:p>
    <w:p>
      <w:pPr>
        <w:spacing w:line="360" w:lineRule="auto"/>
        <w:ind w:firstLine="560" w:firstLineChars="200"/>
        <w:rPr>
          <w:rFonts w:ascii="仿宋_GB2312" w:hAnsi="宋体" w:eastAsia="仿宋_GB2312"/>
          <w:sz w:val="28"/>
          <w:szCs w:val="28"/>
        </w:rPr>
      </w:pPr>
      <w:r>
        <w:rPr>
          <w:rFonts w:ascii="仿宋_GB2312" w:hAnsi="宋体" w:eastAsia="仿宋_GB2312"/>
          <w:sz w:val="28"/>
          <w:szCs w:val="28"/>
        </w:rPr>
        <w:t xml:space="preserve"> </w:t>
      </w:r>
      <w:r>
        <w:rPr>
          <w:rFonts w:hint="eastAsia" w:ascii="仿宋_GB2312" w:hAnsi="宋体" w:eastAsia="仿宋_GB2312"/>
          <w:sz w:val="28"/>
          <w:szCs w:val="28"/>
        </w:rPr>
        <w:t>基岩裂隙水分构造裂隙水、风化裂隙水两个亚类。构造裂隙水分布零散，其特点是贯通性差，富水性贫乏。风化裂隙水分布于砂泥岩的强风化带中，其水量由风化带厚度决定，富水性贫乏。</w:t>
      </w:r>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场地地下水主要受大气降水补给，但降水后绝大多数沿斜坡下渗至低洼处。基岩裂隙水受地形控制明显，具有就地补给，就地排泄的特点；松散岩类孔隙潜水的动态变化除与降雨有直接关系外，受人为活动用水的影响也十分明显。</w:t>
      </w:r>
    </w:p>
    <w:p>
      <w:pPr>
        <w:spacing w:line="360" w:lineRule="auto"/>
        <w:ind w:firstLine="560" w:firstLineChars="200"/>
        <w:rPr>
          <w:rFonts w:ascii="仿宋_GB2312" w:eastAsia="仿宋_GB2312"/>
          <w:color w:val="000000"/>
          <w:sz w:val="28"/>
          <w:szCs w:val="28"/>
        </w:rPr>
      </w:pPr>
      <w:r>
        <w:rPr>
          <w:rFonts w:hint="eastAsia" w:ascii="仿宋_GB2312" w:hAnsi="宋体" w:eastAsia="仿宋_GB2312"/>
          <w:sz w:val="28"/>
          <w:szCs w:val="28"/>
        </w:rPr>
        <w:t>综上，评估区地下水贫乏，在雨季或长时间下雨情况下，在局部沟槽土层及人工填土较厚部位有暂时性地下水，雨后很快疏干，局部地段土层厚，裂隙较发育。场地水文地质条件简单。</w:t>
      </w:r>
    </w:p>
    <w:p>
      <w:pPr>
        <w:pStyle w:val="3"/>
        <w:adjustRightInd w:val="0"/>
        <w:snapToGrid w:val="0"/>
        <w:spacing w:before="0" w:after="0" w:line="360" w:lineRule="auto"/>
        <w:rPr>
          <w:rFonts w:ascii="仿宋_GB2312" w:hAnsi="宋体" w:eastAsia="仿宋_GB2312"/>
          <w:b w:val="0"/>
          <w:bCs w:val="0"/>
          <w:color w:val="000000"/>
          <w:kern w:val="0"/>
        </w:rPr>
      </w:pPr>
      <w:bookmarkStart w:id="37" w:name="_Toc3760"/>
      <w:r>
        <w:rPr>
          <w:rFonts w:hint="eastAsia" w:ascii="仿宋_GB2312" w:hAnsi="宋体" w:eastAsia="仿宋_GB2312"/>
          <w:b w:val="0"/>
          <w:bCs w:val="0"/>
          <w:color w:val="000000"/>
          <w:kern w:val="0"/>
        </w:rPr>
        <w:t>4.5 不良地质现象</w:t>
      </w:r>
      <w:bookmarkEnd w:id="37"/>
    </w:p>
    <w:p>
      <w:pPr>
        <w:spacing w:line="360" w:lineRule="auto"/>
        <w:ind w:firstLine="560" w:firstLineChars="200"/>
        <w:rPr>
          <w:rFonts w:ascii="仿宋_GB2312" w:eastAsia="仿宋_GB2312"/>
          <w:sz w:val="28"/>
        </w:rPr>
      </w:pPr>
      <w:r>
        <w:rPr>
          <w:rFonts w:hint="eastAsia" w:ascii="仿宋_GB2312" w:eastAsia="仿宋_GB2312"/>
          <w:sz w:val="28"/>
        </w:rPr>
        <w:t>根据《重庆市綦江县地质灾害防治规划》和《重庆市綦江县地质灾害排查报告（2020年）》的地质灾害分布及易发程度分区图(见图4.5-1)，评估区属于地质灾害中易发区。据现场调查及访问：在规划区的其它区域未见崩塌、泥石流、滑坡、危岩等不良地质现象。</w:t>
      </w:r>
    </w:p>
    <w:p>
      <w:pPr>
        <w:spacing w:line="360" w:lineRule="auto"/>
        <w:ind w:firstLine="560" w:firstLineChars="200"/>
        <w:rPr>
          <w:rFonts w:ascii="仿宋_GB2312" w:eastAsia="仿宋_GB2312"/>
          <w:color w:val="000000"/>
          <w:sz w:val="28"/>
          <w:szCs w:val="28"/>
        </w:rPr>
      </w:pPr>
      <w:r>
        <w:rPr>
          <w:rFonts w:hint="eastAsia" w:ascii="仿宋_GB2312" w:eastAsia="仿宋_GB2312"/>
          <w:sz w:val="28"/>
        </w:rPr>
        <w:t>综上：规划区内不良地质现象不发育。</w:t>
      </w:r>
    </w:p>
    <w:p>
      <w:pPr>
        <w:spacing w:line="360" w:lineRule="auto"/>
        <w:ind w:firstLine="560" w:firstLineChars="200"/>
        <w:rPr>
          <w:rFonts w:ascii="仿宋_GB2312" w:eastAsia="仿宋_GB2312"/>
          <w:sz w:val="28"/>
        </w:rPr>
      </w:pPr>
    </w:p>
    <w:p>
      <w:pPr>
        <w:spacing w:line="360" w:lineRule="auto"/>
        <w:ind w:firstLine="560" w:firstLineChars="200"/>
        <w:rPr>
          <w:rFonts w:ascii="仿宋_GB2312" w:eastAsia="仿宋_GB2312"/>
          <w:sz w:val="28"/>
        </w:rPr>
      </w:pPr>
      <w:r>
        <w:rPr>
          <w:rFonts w:hint="eastAsia" w:ascii="仿宋_GB2312" w:eastAsia="仿宋_GB2312"/>
          <w:sz w:val="28"/>
        </w:rPr>
        <w:drawing>
          <wp:inline distT="0" distB="0" distL="114300" distR="114300">
            <wp:extent cx="6044565" cy="5393690"/>
            <wp:effectExtent l="0" t="0" r="13335" b="16510"/>
            <wp:docPr id="11" name="图片 11" descr="A4S7ZA5Y)B~MWW~I]QXN@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4S7ZA5Y)B~MWW~I]QXN@T0"/>
                    <pic:cNvPicPr>
                      <a:picLocks noChangeAspect="1"/>
                    </pic:cNvPicPr>
                  </pic:nvPicPr>
                  <pic:blipFill>
                    <a:blip r:embed="rId26"/>
                    <a:stretch>
                      <a:fillRect/>
                    </a:stretch>
                  </pic:blipFill>
                  <pic:spPr>
                    <a:xfrm>
                      <a:off x="0" y="0"/>
                      <a:ext cx="6044565" cy="5393690"/>
                    </a:xfrm>
                    <a:prstGeom prst="rect">
                      <a:avLst/>
                    </a:prstGeom>
                  </pic:spPr>
                </pic:pic>
              </a:graphicData>
            </a:graphic>
          </wp:inline>
        </w:drawing>
      </w:r>
    </w:p>
    <w:p>
      <w:pPr>
        <w:spacing w:line="360" w:lineRule="auto"/>
        <w:ind w:firstLine="560" w:firstLineChars="200"/>
        <w:jc w:val="center"/>
        <w:rPr>
          <w:rFonts w:ascii="仿宋_GB2312" w:eastAsia="仿宋_GB2312"/>
          <w:sz w:val="28"/>
        </w:rPr>
      </w:pPr>
      <w:r>
        <w:rPr>
          <w:rFonts w:hint="eastAsia" w:ascii="仿宋_GB2312" w:eastAsia="仿宋_GB2312"/>
          <w:sz w:val="28"/>
        </w:rPr>
        <w:t>图4.5-1地质灾害易发分区图及地质灾害点分布图</w:t>
      </w:r>
    </w:p>
    <w:p>
      <w:pPr>
        <w:adjustRightInd w:val="0"/>
        <w:snapToGrid w:val="0"/>
        <w:spacing w:line="360" w:lineRule="auto"/>
        <w:ind w:firstLine="573"/>
        <w:rPr>
          <w:rFonts w:ascii="仿宋_GB2312" w:eastAsia="仿宋_GB2312"/>
          <w:color w:val="000000"/>
          <w:sz w:val="28"/>
          <w:szCs w:val="28"/>
        </w:rPr>
      </w:pPr>
    </w:p>
    <w:p>
      <w:pPr>
        <w:adjustRightInd w:val="0"/>
        <w:snapToGrid w:val="0"/>
        <w:spacing w:line="360" w:lineRule="auto"/>
        <w:ind w:firstLine="573"/>
        <w:rPr>
          <w:rFonts w:ascii="仿宋_GB2312" w:eastAsia="仿宋_GB2312"/>
          <w:color w:val="000000"/>
          <w:sz w:val="28"/>
          <w:szCs w:val="28"/>
        </w:rPr>
      </w:pPr>
    </w:p>
    <w:p>
      <w:pPr>
        <w:adjustRightInd w:val="0"/>
        <w:snapToGrid w:val="0"/>
        <w:spacing w:line="360" w:lineRule="auto"/>
        <w:ind w:firstLine="573"/>
        <w:rPr>
          <w:rFonts w:ascii="仿宋_GB2312" w:eastAsia="仿宋_GB2312"/>
          <w:color w:val="000000"/>
          <w:sz w:val="28"/>
          <w:szCs w:val="28"/>
        </w:rPr>
        <w:sectPr>
          <w:pgSz w:w="23814" w:h="16840" w:orient="landscape"/>
          <w:pgMar w:top="1797" w:right="1701" w:bottom="1797" w:left="1701" w:header="851" w:footer="992" w:gutter="0"/>
          <w:cols w:space="1366" w:num="2"/>
          <w:docGrid w:linePitch="312" w:charSpace="-3686"/>
        </w:sectPr>
      </w:pPr>
    </w:p>
    <w:p>
      <w:pPr>
        <w:pStyle w:val="3"/>
        <w:adjustRightInd w:val="0"/>
        <w:snapToGrid w:val="0"/>
        <w:spacing w:before="0" w:after="0" w:line="360" w:lineRule="auto"/>
        <w:rPr>
          <w:rFonts w:ascii="仿宋_GB2312" w:hAnsi="宋体" w:eastAsia="仿宋_GB2312"/>
          <w:b w:val="0"/>
          <w:bCs w:val="0"/>
          <w:color w:val="000000"/>
          <w:kern w:val="0"/>
        </w:rPr>
      </w:pPr>
      <w:bookmarkStart w:id="38" w:name="_Toc14534"/>
      <w:r>
        <w:rPr>
          <w:rFonts w:hint="eastAsia" w:ascii="仿宋_GB2312" w:hAnsi="宋体" w:eastAsia="仿宋_GB2312"/>
          <w:b w:val="0"/>
          <w:bCs w:val="0"/>
          <w:color w:val="000000"/>
          <w:kern w:val="0"/>
        </w:rPr>
        <w:t>4.6 破坏地质环境的人类活动</w:t>
      </w:r>
      <w:bookmarkEnd w:id="38"/>
    </w:p>
    <w:p>
      <w:pPr>
        <w:adjustRightInd w:val="0"/>
        <w:snapToGrid w:val="0"/>
        <w:spacing w:line="360" w:lineRule="auto"/>
        <w:ind w:firstLine="573"/>
        <w:rPr>
          <w:rFonts w:ascii="仿宋_GB2312" w:eastAsia="仿宋_GB2312"/>
          <w:color w:val="000000"/>
          <w:sz w:val="28"/>
          <w:szCs w:val="28"/>
        </w:rPr>
      </w:pPr>
      <w:r>
        <w:rPr>
          <w:rFonts w:hint="eastAsia" w:ascii="仿宋_GB2312" w:eastAsia="仿宋_GB2312"/>
          <w:color w:val="000000"/>
          <w:sz w:val="28"/>
          <w:szCs w:val="28"/>
        </w:rPr>
        <w:t>评估区内大部分区域保持原始地貌，为农业耕地、荒地、林地等，其余区域均为工程建设而改变。人类工程活动主要表现为场地整平、道路建设、工业厂房建设及民房建设等。</w:t>
      </w:r>
    </w:p>
    <w:p>
      <w:pPr>
        <w:adjustRightInd w:val="0"/>
        <w:snapToGrid w:val="0"/>
        <w:spacing w:line="360" w:lineRule="auto"/>
        <w:ind w:firstLine="560" w:firstLineChars="200"/>
        <w:rPr>
          <w:rFonts w:ascii="仿宋_GB2312" w:eastAsia="仿宋_GB2312"/>
          <w:color w:val="000000"/>
          <w:sz w:val="28"/>
          <w:szCs w:val="28"/>
        </w:rPr>
      </w:pPr>
      <w:r>
        <w:rPr>
          <w:rFonts w:hint="eastAsia" w:ascii="仿宋_GB2312" w:eastAsia="仿宋_GB2312"/>
          <w:color w:val="000000"/>
          <w:sz w:val="28"/>
          <w:szCs w:val="28"/>
        </w:rPr>
        <w:t>评估区内道路的修建形成道路边坡，多存在</w:t>
      </w:r>
      <w:r>
        <w:rPr>
          <w:rFonts w:hint="eastAsia" w:ascii="仿宋_GB2312" w:hAnsi="宋体" w:eastAsia="仿宋_GB2312"/>
          <w:color w:val="000000"/>
          <w:sz w:val="28"/>
        </w:rPr>
        <w:t>不同高度的挖填方边坡，道路主要为通村水泥硬化道路，基本沿原地形修建，多为挖方岩质边坡，边坡高度较小，一般小于15m，边坡未见明显变形，现状稳定，人类工程活动不强烈</w:t>
      </w:r>
      <w:r>
        <w:rPr>
          <w:rFonts w:hint="eastAsia" w:ascii="仿宋_GB2312" w:eastAsia="仿宋_GB2312"/>
          <w:color w:val="000000"/>
          <w:sz w:val="28"/>
          <w:szCs w:val="28"/>
        </w:rPr>
        <w:t>。</w:t>
      </w:r>
    </w:p>
    <w:p>
      <w:pPr>
        <w:adjustRightInd w:val="0"/>
        <w:snapToGrid w:val="0"/>
        <w:spacing w:line="360" w:lineRule="auto"/>
        <w:ind w:firstLine="573"/>
        <w:rPr>
          <w:rFonts w:ascii="仿宋_GB2312" w:eastAsia="仿宋_GB2312"/>
          <w:color w:val="000000"/>
          <w:sz w:val="28"/>
          <w:szCs w:val="28"/>
        </w:rPr>
      </w:pPr>
      <w:r>
        <w:rPr>
          <w:rFonts w:hint="eastAsia" w:ascii="仿宋_GB2312" w:eastAsia="仿宋_GB2312"/>
          <w:color w:val="000000"/>
          <w:sz w:val="28"/>
          <w:szCs w:val="28"/>
        </w:rPr>
        <w:t>综上，评估区目前人类工程活动总体对地质环境的破坏作用不强烈。</w:t>
      </w:r>
    </w:p>
    <w:p>
      <w:pPr>
        <w:pStyle w:val="3"/>
        <w:spacing w:before="0" w:after="0" w:line="360" w:lineRule="auto"/>
        <w:rPr>
          <w:rFonts w:ascii="仿宋_GB2312" w:hAnsi="Times New Roman" w:eastAsia="仿宋_GB2312"/>
        </w:rPr>
      </w:pPr>
      <w:bookmarkStart w:id="39" w:name="_Toc20984"/>
      <w:bookmarkStart w:id="40" w:name="_Toc453452480"/>
      <w:r>
        <w:rPr>
          <w:rFonts w:hint="eastAsia" w:ascii="仿宋_GB2312" w:hAnsi="Times New Roman" w:eastAsia="仿宋_GB2312"/>
        </w:rPr>
        <w:t>4.7贯通性结构面与斜（边）坡的关系</w:t>
      </w:r>
      <w:bookmarkEnd w:id="39"/>
      <w:bookmarkEnd w:id="40"/>
    </w:p>
    <w:p>
      <w:pPr>
        <w:spacing w:line="360" w:lineRule="auto"/>
        <w:ind w:firstLine="560" w:firstLineChars="200"/>
        <w:rPr>
          <w:rFonts w:ascii="仿宋_GB2312" w:eastAsia="仿宋_GB2312"/>
          <w:sz w:val="28"/>
        </w:rPr>
      </w:pPr>
      <w:r>
        <w:rPr>
          <w:rFonts w:hint="eastAsia" w:ascii="仿宋_GB2312" w:eastAsia="仿宋_GB2312"/>
          <w:sz w:val="28"/>
        </w:rPr>
        <w:t>评估区用地地势起伏，土层厚薄不均，且分布不连续，区域构造则较稳定。</w:t>
      </w:r>
    </w:p>
    <w:p>
      <w:pPr>
        <w:spacing w:line="360" w:lineRule="auto"/>
        <w:ind w:firstLine="560" w:firstLineChars="200"/>
        <w:rPr>
          <w:rFonts w:ascii="仿宋_GB2312" w:eastAsia="仿宋_GB2312"/>
          <w:sz w:val="28"/>
        </w:rPr>
      </w:pPr>
      <w:r>
        <w:rPr>
          <w:rFonts w:hint="eastAsia" w:ascii="仿宋_GB2312" w:eastAsia="仿宋_GB2312"/>
          <w:sz w:val="28"/>
        </w:rPr>
        <w:t>XP4、XP5为顺向坡，局部开挖出现临空，因此贯通性结构面与斜（边）坡关系较复杂。</w:t>
      </w:r>
    </w:p>
    <w:p>
      <w:pPr>
        <w:spacing w:line="360" w:lineRule="auto"/>
        <w:ind w:firstLine="560" w:firstLineChars="200"/>
        <w:rPr>
          <w:rFonts w:ascii="仿宋_GB2312" w:eastAsia="仿宋_GB2312"/>
          <w:sz w:val="28"/>
        </w:rPr>
      </w:pPr>
      <w:r>
        <w:rPr>
          <w:rFonts w:hint="eastAsia" w:ascii="仿宋_GB2312" w:eastAsia="仿宋_GB2312"/>
          <w:sz w:val="28"/>
        </w:rPr>
        <w:t>评估区内贯通性结构面与斜边坡的关系总体较复杂。</w:t>
      </w:r>
    </w:p>
    <w:p>
      <w:pPr>
        <w:pStyle w:val="3"/>
        <w:spacing w:before="0" w:after="0" w:line="360" w:lineRule="auto"/>
        <w:rPr>
          <w:rFonts w:ascii="仿宋_GB2312" w:hAnsi="Times New Roman" w:eastAsia="仿宋_GB2312"/>
        </w:rPr>
      </w:pPr>
      <w:bookmarkStart w:id="41" w:name="_Toc206561576"/>
      <w:bookmarkStart w:id="42" w:name="_Toc251950871"/>
      <w:bookmarkStart w:id="43" w:name="_Toc257026176"/>
      <w:bookmarkStart w:id="44" w:name="_Toc248226909"/>
      <w:bookmarkStart w:id="45" w:name="_Toc251950625"/>
      <w:bookmarkStart w:id="46" w:name="_Toc453452481"/>
      <w:bookmarkStart w:id="47" w:name="_Toc31539"/>
      <w:bookmarkStart w:id="48" w:name="_Toc252362937"/>
      <w:bookmarkStart w:id="49" w:name="_Toc251951190"/>
      <w:r>
        <w:rPr>
          <w:rFonts w:hint="eastAsia" w:ascii="仿宋_GB2312" w:hAnsi="Times New Roman" w:eastAsia="仿宋_GB2312"/>
        </w:rPr>
        <w:t>4.8地质环境复杂程度评价</w:t>
      </w:r>
      <w:bookmarkEnd w:id="41"/>
      <w:bookmarkEnd w:id="42"/>
      <w:bookmarkEnd w:id="43"/>
      <w:bookmarkEnd w:id="44"/>
      <w:bookmarkEnd w:id="45"/>
      <w:bookmarkEnd w:id="46"/>
      <w:bookmarkEnd w:id="47"/>
      <w:bookmarkEnd w:id="48"/>
      <w:bookmarkEnd w:id="49"/>
    </w:p>
    <w:p>
      <w:pPr>
        <w:adjustRightInd w:val="0"/>
        <w:snapToGrid w:val="0"/>
        <w:spacing w:line="360" w:lineRule="auto"/>
        <w:ind w:firstLine="560" w:firstLineChars="200"/>
        <w:rPr>
          <w:rFonts w:ascii="仿宋_GB2312" w:hAnsi="宋体" w:eastAsia="仿宋_GB2312"/>
          <w:color w:val="000000"/>
          <w:sz w:val="28"/>
          <w:lang w:val="zh-CN"/>
        </w:rPr>
      </w:pPr>
      <w:r>
        <w:rPr>
          <w:rFonts w:hint="eastAsia" w:ascii="仿宋_GB2312" w:hAnsi="宋体" w:eastAsia="仿宋_GB2312"/>
          <w:color w:val="000000"/>
          <w:sz w:val="28"/>
          <w:lang w:val="zh-CN"/>
        </w:rPr>
        <w:t>综前述各项地质环境因素的相关内容，根据《地质灾害危险性评估技术规范》规范的划分标准，考虑到地形地貌、地质构造、人类工程活动影响程度等诸多因素的影响，各分区</w:t>
      </w:r>
      <w:r>
        <w:rPr>
          <w:rFonts w:hint="eastAsia" w:ascii="仿宋_GB2312" w:hAnsi="宋体" w:eastAsia="仿宋_GB2312"/>
          <w:color w:val="000000"/>
          <w:sz w:val="28"/>
        </w:rPr>
        <w:t>（分区详见第六章相关章节）</w:t>
      </w:r>
      <w:r>
        <w:rPr>
          <w:rFonts w:hint="eastAsia" w:ascii="仿宋_GB2312" w:hAnsi="宋体" w:eastAsia="仿宋_GB2312"/>
          <w:color w:val="000000"/>
          <w:sz w:val="28"/>
          <w:lang w:val="zh-CN"/>
        </w:rPr>
        <w:t>所处地区地质环境条件存在差异，为了比较准确的反映区域用地地质环境条件的复杂程度，先对评估区地质环境条件进行分区判定后再进行综合判定（详见表4-1）。</w:t>
      </w:r>
    </w:p>
    <w:p>
      <w:pPr>
        <w:adjustRightInd w:val="0"/>
        <w:snapToGrid w:val="0"/>
        <w:spacing w:line="360" w:lineRule="auto"/>
        <w:ind w:firstLine="560" w:firstLineChars="200"/>
        <w:rPr>
          <w:rFonts w:ascii="仿宋_GB2312" w:hAnsi="宋体" w:eastAsia="仿宋_GB2312"/>
          <w:color w:val="000000"/>
          <w:sz w:val="28"/>
          <w:lang w:val="zh-CN"/>
        </w:rPr>
      </w:pPr>
      <w:r>
        <w:rPr>
          <w:rFonts w:hint="eastAsia" w:ascii="仿宋_GB2312" w:hAnsi="宋体" w:eastAsia="仿宋_GB2312"/>
          <w:color w:val="000000"/>
          <w:sz w:val="28"/>
          <w:lang w:val="zh-CN"/>
        </w:rPr>
        <w:t>综上所述，评估区地貌形态为构造剥蚀浅丘陵地貌，地形坡角一般</w:t>
      </w:r>
      <w:r>
        <w:rPr>
          <w:rFonts w:hint="eastAsia" w:ascii="仿宋_GB2312" w:hAnsi="宋体" w:eastAsia="仿宋_GB2312"/>
          <w:color w:val="000000"/>
          <w:sz w:val="28"/>
        </w:rPr>
        <w:t>5～20°，局部25-30°</w:t>
      </w:r>
      <w:r>
        <w:rPr>
          <w:rFonts w:hint="eastAsia" w:ascii="仿宋_GB2312" w:hAnsi="宋体" w:eastAsia="仿宋_GB2312"/>
          <w:color w:val="000000"/>
          <w:sz w:val="28"/>
          <w:lang w:val="zh-CN"/>
        </w:rPr>
        <w:t>，岩土界面倾角一般5～20°；土层厚度一般为</w:t>
      </w:r>
      <w:r>
        <w:rPr>
          <w:rFonts w:hint="eastAsia" w:ascii="仿宋_GB2312" w:hAnsi="宋体" w:eastAsia="仿宋_GB2312"/>
          <w:color w:val="000000"/>
          <w:sz w:val="28"/>
        </w:rPr>
        <w:t>0.5</w:t>
      </w:r>
      <w:r>
        <w:rPr>
          <w:rFonts w:hint="eastAsia" w:ascii="仿宋_GB2312" w:hAnsi="宋体" w:eastAsia="仿宋_GB2312"/>
          <w:color w:val="000000"/>
          <w:sz w:val="28"/>
          <w:lang w:val="zh-CN"/>
        </w:rPr>
        <w:t>～</w:t>
      </w:r>
      <w:r>
        <w:rPr>
          <w:rFonts w:hint="eastAsia" w:ascii="仿宋_GB2312" w:hAnsi="宋体" w:eastAsia="仿宋_GB2312"/>
          <w:color w:val="000000"/>
          <w:sz w:val="28"/>
        </w:rPr>
        <w:t>5.3</w:t>
      </w:r>
      <w:r>
        <w:rPr>
          <w:rFonts w:hint="eastAsia" w:ascii="仿宋_GB2312" w:hAnsi="宋体" w:eastAsia="仿宋_GB2312"/>
          <w:color w:val="000000"/>
          <w:sz w:val="28"/>
          <w:lang w:val="zh-CN"/>
        </w:rPr>
        <w:t>m，出露岩性为泥岩、砂岩，岩性差异较小；基岩中一般发育有三组间距大于1m的构造裂隙；岩体呈中厚层状构造；不良地质现象影响范围占评估区面积的0.37%；破坏地质环境的人类活动总体较强烈。根据《地质灾害危险性评估技术规范》表2的划分标准，评估区地质环境条件复杂程度为“较复杂”（见表4-1）。</w:t>
      </w:r>
    </w:p>
    <w:p>
      <w:pPr>
        <w:spacing w:line="460" w:lineRule="exact"/>
        <w:jc w:val="center"/>
        <w:rPr>
          <w:rFonts w:ascii="仿宋_GB2312" w:eastAsia="仿宋_GB2312"/>
          <w:b/>
          <w:bCs/>
          <w:sz w:val="24"/>
        </w:rPr>
      </w:pPr>
      <w:r>
        <w:rPr>
          <w:rFonts w:hint="eastAsia" w:ascii="仿宋_GB2312" w:eastAsia="仿宋_GB2312"/>
          <w:b/>
          <w:bCs/>
          <w:sz w:val="24"/>
        </w:rPr>
        <w:t>表4-1  区域用地地质环境复杂程度划分综合表</w:t>
      </w:r>
    </w:p>
    <w:tbl>
      <w:tblPr>
        <w:tblStyle w:val="30"/>
        <w:tblW w:w="5000" w:type="pct"/>
        <w:tblInd w:w="0" w:type="dxa"/>
        <w:tblLayout w:type="autofit"/>
        <w:tblCellMar>
          <w:top w:w="0" w:type="dxa"/>
          <w:left w:w="108" w:type="dxa"/>
          <w:bottom w:w="0" w:type="dxa"/>
          <w:right w:w="108" w:type="dxa"/>
        </w:tblCellMar>
      </w:tblPr>
      <w:tblGrid>
        <w:gridCol w:w="519"/>
        <w:gridCol w:w="1467"/>
        <w:gridCol w:w="1097"/>
        <w:gridCol w:w="438"/>
        <w:gridCol w:w="1297"/>
        <w:gridCol w:w="3746"/>
        <w:gridCol w:w="1175"/>
      </w:tblGrid>
      <w:tr>
        <w:tblPrEx>
          <w:tblCellMar>
            <w:top w:w="0" w:type="dxa"/>
            <w:left w:w="108" w:type="dxa"/>
            <w:bottom w:w="0" w:type="dxa"/>
            <w:right w:w="108" w:type="dxa"/>
          </w:tblCellMar>
        </w:tblPrEx>
        <w:trPr>
          <w:trHeight w:val="20" w:hRule="atLeast"/>
        </w:trPr>
        <w:tc>
          <w:tcPr>
            <w:tcW w:w="267" w:type="pct"/>
            <w:tcBorders>
              <w:top w:val="single" w:color="auto" w:sz="12" w:space="0"/>
              <w:left w:val="single" w:color="auto" w:sz="12" w:space="0"/>
              <w:bottom w:val="double" w:color="auto" w:sz="6"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序号</w:t>
            </w:r>
          </w:p>
        </w:tc>
        <w:tc>
          <w:tcPr>
            <w:tcW w:w="2207" w:type="pct"/>
            <w:gridSpan w:val="4"/>
            <w:tcBorders>
              <w:top w:val="single" w:color="auto" w:sz="12" w:space="0"/>
              <w:left w:val="nil"/>
              <w:bottom w:val="double" w:color="auto" w:sz="6"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判定因素</w:t>
            </w:r>
          </w:p>
        </w:tc>
        <w:tc>
          <w:tcPr>
            <w:tcW w:w="1923" w:type="pct"/>
            <w:tcBorders>
              <w:top w:val="single" w:color="auto" w:sz="12" w:space="0"/>
              <w:left w:val="nil"/>
              <w:bottom w:val="double" w:color="auto" w:sz="6"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地质环境特征</w:t>
            </w:r>
          </w:p>
        </w:tc>
        <w:tc>
          <w:tcPr>
            <w:tcW w:w="603" w:type="pct"/>
            <w:tcBorders>
              <w:top w:val="single" w:color="auto" w:sz="12" w:space="0"/>
              <w:left w:val="nil"/>
              <w:bottom w:val="double" w:color="auto" w:sz="6" w:space="0"/>
              <w:right w:val="single" w:color="auto" w:sz="12" w:space="0"/>
            </w:tcBorders>
            <w:shd w:val="clear" w:color="auto" w:fill="auto"/>
            <w:vAlign w:val="center"/>
          </w:tcPr>
          <w:p>
            <w:pPr>
              <w:widowControl/>
              <w:adjustRightInd w:val="0"/>
              <w:snapToGrid w:val="0"/>
              <w:spacing w:line="240" w:lineRule="atLeast"/>
              <w:jc w:val="center"/>
              <w:rPr>
                <w:rFonts w:ascii="仿宋_GB2312" w:hAnsi="宋体" w:eastAsia="仿宋_GB2312"/>
                <w:color w:val="000000"/>
                <w:kern w:val="0"/>
                <w:sz w:val="22"/>
                <w:szCs w:val="22"/>
              </w:rPr>
            </w:pPr>
            <w:r>
              <w:rPr>
                <w:rFonts w:hint="eastAsia" w:ascii="仿宋_GB2312" w:hAnsi="宋体" w:eastAsia="仿宋_GB2312"/>
                <w:color w:val="000000"/>
                <w:kern w:val="0"/>
                <w:sz w:val="22"/>
                <w:szCs w:val="22"/>
              </w:rPr>
              <w:t>复杂</w:t>
            </w:r>
          </w:p>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程度</w:t>
            </w:r>
          </w:p>
        </w:tc>
      </w:tr>
      <w:tr>
        <w:tblPrEx>
          <w:tblCellMar>
            <w:top w:w="0" w:type="dxa"/>
            <w:left w:w="108" w:type="dxa"/>
            <w:bottom w:w="0" w:type="dxa"/>
            <w:right w:w="108" w:type="dxa"/>
          </w:tblCellMar>
        </w:tblPrEx>
        <w:trPr>
          <w:trHeight w:val="20" w:hRule="atLeast"/>
        </w:trPr>
        <w:tc>
          <w:tcPr>
            <w:tcW w:w="267"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1</w:t>
            </w:r>
          </w:p>
        </w:tc>
        <w:tc>
          <w:tcPr>
            <w:tcW w:w="75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地形条件</w:t>
            </w:r>
          </w:p>
        </w:tc>
        <w:tc>
          <w:tcPr>
            <w:tcW w:w="1454" w:type="pct"/>
            <w:gridSpan w:val="3"/>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 xml:space="preserve">地 形 坡 角 </w:t>
            </w:r>
            <w:r>
              <w:rPr>
                <w:rFonts w:hint="eastAsia" w:ascii="仿宋_GB2312" w:eastAsia="仿宋_GB2312"/>
                <w:color w:val="000000"/>
                <w:kern w:val="0"/>
                <w:sz w:val="22"/>
                <w:szCs w:val="22"/>
              </w:rPr>
              <w:t>(°)</w:t>
            </w:r>
          </w:p>
        </w:tc>
        <w:tc>
          <w:tcPr>
            <w:tcW w:w="192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一般5-20°</w:t>
            </w:r>
            <w:r>
              <w:rPr>
                <w:rFonts w:hint="eastAsia" w:ascii="仿宋_GB2312" w:hAnsi="宋体" w:eastAsia="仿宋_GB2312"/>
                <w:color w:val="000000"/>
                <w:kern w:val="0"/>
                <w:sz w:val="22"/>
                <w:szCs w:val="22"/>
              </w:rPr>
              <w:t>，局部25-30°</w:t>
            </w:r>
          </w:p>
        </w:tc>
        <w:tc>
          <w:tcPr>
            <w:tcW w:w="603" w:type="pct"/>
            <w:tcBorders>
              <w:top w:val="nil"/>
              <w:left w:val="nil"/>
              <w:bottom w:val="single" w:color="auto" w:sz="4"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较复杂</w:t>
            </w:r>
          </w:p>
        </w:tc>
      </w:tr>
      <w:tr>
        <w:tblPrEx>
          <w:tblCellMar>
            <w:top w:w="0" w:type="dxa"/>
            <w:left w:w="108" w:type="dxa"/>
            <w:bottom w:w="0" w:type="dxa"/>
            <w:right w:w="108" w:type="dxa"/>
          </w:tblCellMar>
        </w:tblPrEx>
        <w:trPr>
          <w:trHeight w:val="20" w:hRule="atLeast"/>
        </w:trPr>
        <w:tc>
          <w:tcPr>
            <w:tcW w:w="267"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2</w:t>
            </w:r>
          </w:p>
        </w:tc>
        <w:tc>
          <w:tcPr>
            <w:tcW w:w="753"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仿宋_GB2312" w:eastAsia="仿宋_GB2312"/>
                <w:color w:val="000000"/>
                <w:kern w:val="0"/>
                <w:sz w:val="22"/>
                <w:szCs w:val="22"/>
              </w:rPr>
            </w:pPr>
          </w:p>
        </w:tc>
        <w:tc>
          <w:tcPr>
            <w:tcW w:w="788" w:type="pct"/>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自然陡坡高度</w:t>
            </w:r>
            <w:r>
              <w:rPr>
                <w:rFonts w:hint="eastAsia" w:ascii="仿宋_GB2312" w:eastAsia="仿宋_GB2312"/>
                <w:color w:val="000000"/>
                <w:kern w:val="0"/>
                <w:sz w:val="22"/>
                <w:szCs w:val="22"/>
              </w:rPr>
              <w:t>(m)</w:t>
            </w:r>
          </w:p>
        </w:tc>
        <w:tc>
          <w:tcPr>
            <w:tcW w:w="666"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岩坡</w:t>
            </w:r>
          </w:p>
        </w:tc>
        <w:tc>
          <w:tcPr>
            <w:tcW w:w="192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w:t>
            </w:r>
          </w:p>
        </w:tc>
        <w:tc>
          <w:tcPr>
            <w:tcW w:w="603" w:type="pct"/>
            <w:tcBorders>
              <w:top w:val="nil"/>
              <w:left w:val="nil"/>
              <w:bottom w:val="single" w:color="auto" w:sz="4"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w:t>
            </w:r>
          </w:p>
        </w:tc>
      </w:tr>
      <w:tr>
        <w:tblPrEx>
          <w:tblCellMar>
            <w:top w:w="0" w:type="dxa"/>
            <w:left w:w="108" w:type="dxa"/>
            <w:bottom w:w="0" w:type="dxa"/>
            <w:right w:w="108" w:type="dxa"/>
          </w:tblCellMar>
        </w:tblPrEx>
        <w:trPr>
          <w:trHeight w:val="20" w:hRule="atLeast"/>
        </w:trPr>
        <w:tc>
          <w:tcPr>
            <w:tcW w:w="267"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3</w:t>
            </w:r>
          </w:p>
        </w:tc>
        <w:tc>
          <w:tcPr>
            <w:tcW w:w="753"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仿宋_GB2312" w:eastAsia="仿宋_GB2312"/>
                <w:color w:val="000000"/>
                <w:kern w:val="0"/>
                <w:sz w:val="22"/>
                <w:szCs w:val="22"/>
              </w:rPr>
            </w:pPr>
          </w:p>
        </w:tc>
        <w:tc>
          <w:tcPr>
            <w:tcW w:w="788" w:type="pct"/>
            <w:gridSpan w:val="2"/>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仿宋_GB2312" w:eastAsia="仿宋_GB2312"/>
                <w:color w:val="000000"/>
                <w:kern w:val="0"/>
                <w:sz w:val="22"/>
                <w:szCs w:val="22"/>
              </w:rPr>
            </w:pPr>
          </w:p>
        </w:tc>
        <w:tc>
          <w:tcPr>
            <w:tcW w:w="666"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土坡</w:t>
            </w:r>
          </w:p>
        </w:tc>
        <w:tc>
          <w:tcPr>
            <w:tcW w:w="192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w:t>
            </w:r>
          </w:p>
        </w:tc>
        <w:tc>
          <w:tcPr>
            <w:tcW w:w="603" w:type="pct"/>
            <w:tcBorders>
              <w:top w:val="nil"/>
              <w:left w:val="nil"/>
              <w:bottom w:val="single" w:color="auto" w:sz="4"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w:t>
            </w:r>
          </w:p>
        </w:tc>
      </w:tr>
      <w:tr>
        <w:tblPrEx>
          <w:tblCellMar>
            <w:top w:w="0" w:type="dxa"/>
            <w:left w:w="108" w:type="dxa"/>
            <w:bottom w:w="0" w:type="dxa"/>
            <w:right w:w="108" w:type="dxa"/>
          </w:tblCellMar>
        </w:tblPrEx>
        <w:trPr>
          <w:trHeight w:val="20" w:hRule="atLeast"/>
        </w:trPr>
        <w:tc>
          <w:tcPr>
            <w:tcW w:w="267"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4</w:t>
            </w:r>
          </w:p>
        </w:tc>
        <w:tc>
          <w:tcPr>
            <w:tcW w:w="75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岩土性质</w:t>
            </w:r>
          </w:p>
        </w:tc>
        <w:tc>
          <w:tcPr>
            <w:tcW w:w="1454"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 xml:space="preserve">土 层 厚 度 </w:t>
            </w:r>
            <w:r>
              <w:rPr>
                <w:rFonts w:hint="eastAsia" w:ascii="仿宋_GB2312" w:eastAsia="仿宋_GB2312"/>
                <w:color w:val="000000"/>
                <w:kern w:val="0"/>
                <w:sz w:val="22"/>
                <w:szCs w:val="22"/>
              </w:rPr>
              <w:t>(m)</w:t>
            </w:r>
          </w:p>
        </w:tc>
        <w:tc>
          <w:tcPr>
            <w:tcW w:w="192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最厚0.3-5.3m</w:t>
            </w:r>
          </w:p>
        </w:tc>
        <w:tc>
          <w:tcPr>
            <w:tcW w:w="603" w:type="pct"/>
            <w:tcBorders>
              <w:top w:val="nil"/>
              <w:left w:val="nil"/>
              <w:bottom w:val="single" w:color="auto" w:sz="4"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较复杂</w:t>
            </w:r>
          </w:p>
        </w:tc>
      </w:tr>
      <w:tr>
        <w:tblPrEx>
          <w:tblCellMar>
            <w:top w:w="0" w:type="dxa"/>
            <w:left w:w="108" w:type="dxa"/>
            <w:bottom w:w="0" w:type="dxa"/>
            <w:right w:w="108" w:type="dxa"/>
          </w:tblCellMar>
        </w:tblPrEx>
        <w:trPr>
          <w:trHeight w:val="20" w:hRule="atLeast"/>
        </w:trPr>
        <w:tc>
          <w:tcPr>
            <w:tcW w:w="267"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5</w:t>
            </w:r>
          </w:p>
        </w:tc>
        <w:tc>
          <w:tcPr>
            <w:tcW w:w="753"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仿宋_GB2312" w:eastAsia="仿宋_GB2312"/>
                <w:color w:val="000000"/>
                <w:kern w:val="0"/>
                <w:sz w:val="22"/>
                <w:szCs w:val="22"/>
              </w:rPr>
            </w:pPr>
          </w:p>
        </w:tc>
        <w:tc>
          <w:tcPr>
            <w:tcW w:w="1454"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 xml:space="preserve">岩 层 厚 度 </w:t>
            </w:r>
            <w:r>
              <w:rPr>
                <w:rFonts w:hint="eastAsia" w:ascii="仿宋_GB2312" w:eastAsia="仿宋_GB2312"/>
                <w:color w:val="000000"/>
                <w:kern w:val="0"/>
                <w:sz w:val="22"/>
                <w:szCs w:val="22"/>
              </w:rPr>
              <w:t>(m)</w:t>
            </w:r>
          </w:p>
        </w:tc>
        <w:tc>
          <w:tcPr>
            <w:tcW w:w="192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中厚-厚层层状构造</w:t>
            </w:r>
          </w:p>
        </w:tc>
        <w:tc>
          <w:tcPr>
            <w:tcW w:w="603" w:type="pct"/>
            <w:tcBorders>
              <w:top w:val="nil"/>
              <w:left w:val="nil"/>
              <w:bottom w:val="single" w:color="auto" w:sz="4"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较复杂</w:t>
            </w:r>
          </w:p>
        </w:tc>
      </w:tr>
      <w:tr>
        <w:tblPrEx>
          <w:tblCellMar>
            <w:top w:w="0" w:type="dxa"/>
            <w:left w:w="108" w:type="dxa"/>
            <w:bottom w:w="0" w:type="dxa"/>
            <w:right w:w="108" w:type="dxa"/>
          </w:tblCellMar>
        </w:tblPrEx>
        <w:trPr>
          <w:trHeight w:val="20" w:hRule="atLeast"/>
        </w:trPr>
        <w:tc>
          <w:tcPr>
            <w:tcW w:w="267"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6</w:t>
            </w:r>
          </w:p>
        </w:tc>
        <w:tc>
          <w:tcPr>
            <w:tcW w:w="753"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仿宋_GB2312" w:eastAsia="仿宋_GB2312"/>
                <w:color w:val="000000"/>
                <w:kern w:val="0"/>
                <w:sz w:val="22"/>
                <w:szCs w:val="22"/>
              </w:rPr>
            </w:pPr>
          </w:p>
        </w:tc>
        <w:tc>
          <w:tcPr>
            <w:tcW w:w="1454"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岩层或土层组合</w:t>
            </w:r>
          </w:p>
        </w:tc>
        <w:tc>
          <w:tcPr>
            <w:tcW w:w="192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岩土二元组合</w:t>
            </w:r>
          </w:p>
        </w:tc>
        <w:tc>
          <w:tcPr>
            <w:tcW w:w="603" w:type="pct"/>
            <w:tcBorders>
              <w:top w:val="nil"/>
              <w:left w:val="nil"/>
              <w:bottom w:val="single" w:color="auto" w:sz="4"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较复杂</w:t>
            </w:r>
          </w:p>
        </w:tc>
      </w:tr>
      <w:tr>
        <w:tblPrEx>
          <w:tblCellMar>
            <w:top w:w="0" w:type="dxa"/>
            <w:left w:w="108" w:type="dxa"/>
            <w:bottom w:w="0" w:type="dxa"/>
            <w:right w:w="108" w:type="dxa"/>
          </w:tblCellMar>
        </w:tblPrEx>
        <w:trPr>
          <w:trHeight w:val="20" w:hRule="atLeast"/>
        </w:trPr>
        <w:tc>
          <w:tcPr>
            <w:tcW w:w="267"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7</w:t>
            </w:r>
          </w:p>
        </w:tc>
        <w:tc>
          <w:tcPr>
            <w:tcW w:w="75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地质构造</w:t>
            </w:r>
          </w:p>
        </w:tc>
        <w:tc>
          <w:tcPr>
            <w:tcW w:w="1454"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裂隙发育程度</w:t>
            </w:r>
          </w:p>
        </w:tc>
        <w:tc>
          <w:tcPr>
            <w:tcW w:w="192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无断层，有2组裂隙，间距大与1m</w:t>
            </w:r>
          </w:p>
        </w:tc>
        <w:tc>
          <w:tcPr>
            <w:tcW w:w="603" w:type="pct"/>
            <w:tcBorders>
              <w:top w:val="nil"/>
              <w:left w:val="nil"/>
              <w:bottom w:val="single" w:color="auto" w:sz="4"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简单</w:t>
            </w:r>
          </w:p>
        </w:tc>
      </w:tr>
      <w:tr>
        <w:tblPrEx>
          <w:tblCellMar>
            <w:top w:w="0" w:type="dxa"/>
            <w:left w:w="108" w:type="dxa"/>
            <w:bottom w:w="0" w:type="dxa"/>
            <w:right w:w="108" w:type="dxa"/>
          </w:tblCellMar>
        </w:tblPrEx>
        <w:trPr>
          <w:trHeight w:val="20" w:hRule="atLeast"/>
        </w:trPr>
        <w:tc>
          <w:tcPr>
            <w:tcW w:w="267"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8</w:t>
            </w:r>
          </w:p>
        </w:tc>
        <w:tc>
          <w:tcPr>
            <w:tcW w:w="753"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仿宋_GB2312" w:eastAsia="仿宋_GB2312"/>
                <w:color w:val="000000"/>
                <w:kern w:val="0"/>
                <w:sz w:val="22"/>
                <w:szCs w:val="22"/>
              </w:rPr>
            </w:pPr>
          </w:p>
        </w:tc>
        <w:tc>
          <w:tcPr>
            <w:tcW w:w="1454"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贯通性结构面与斜</w:t>
            </w:r>
            <w:r>
              <w:rPr>
                <w:rFonts w:hint="eastAsia" w:ascii="仿宋_GB2312" w:eastAsia="仿宋_GB2312"/>
                <w:color w:val="000000"/>
                <w:kern w:val="0"/>
                <w:sz w:val="22"/>
                <w:szCs w:val="22"/>
              </w:rPr>
              <w:t>(</w:t>
            </w:r>
            <w:r>
              <w:rPr>
                <w:rFonts w:hint="eastAsia" w:ascii="仿宋_GB2312" w:hAnsi="宋体" w:eastAsia="仿宋_GB2312"/>
                <w:color w:val="000000"/>
                <w:kern w:val="0"/>
                <w:sz w:val="22"/>
                <w:szCs w:val="22"/>
              </w:rPr>
              <w:t>边</w:t>
            </w:r>
            <w:r>
              <w:rPr>
                <w:rFonts w:hint="eastAsia" w:ascii="仿宋_GB2312" w:eastAsia="仿宋_GB2312"/>
                <w:color w:val="000000"/>
                <w:kern w:val="0"/>
                <w:sz w:val="22"/>
                <w:szCs w:val="22"/>
              </w:rPr>
              <w:t>)</w:t>
            </w:r>
            <w:r>
              <w:rPr>
                <w:rFonts w:hint="eastAsia" w:ascii="仿宋_GB2312" w:hAnsi="宋体" w:eastAsia="仿宋_GB2312"/>
                <w:color w:val="000000"/>
                <w:kern w:val="0"/>
                <w:sz w:val="22"/>
                <w:szCs w:val="22"/>
              </w:rPr>
              <w:t>坡关系</w:t>
            </w:r>
          </w:p>
        </w:tc>
        <w:tc>
          <w:tcPr>
            <w:tcW w:w="192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局部外倾临空倾角20°～10°影响总用地面积小于10%</w:t>
            </w:r>
          </w:p>
        </w:tc>
        <w:tc>
          <w:tcPr>
            <w:tcW w:w="603" w:type="pct"/>
            <w:tcBorders>
              <w:top w:val="nil"/>
              <w:left w:val="nil"/>
              <w:bottom w:val="single" w:color="auto" w:sz="4"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简单</w:t>
            </w:r>
          </w:p>
        </w:tc>
      </w:tr>
      <w:tr>
        <w:tblPrEx>
          <w:tblCellMar>
            <w:top w:w="0" w:type="dxa"/>
            <w:left w:w="108" w:type="dxa"/>
            <w:bottom w:w="0" w:type="dxa"/>
            <w:right w:w="108" w:type="dxa"/>
          </w:tblCellMar>
        </w:tblPrEx>
        <w:trPr>
          <w:trHeight w:val="20" w:hRule="atLeast"/>
        </w:trPr>
        <w:tc>
          <w:tcPr>
            <w:tcW w:w="267"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9</w:t>
            </w:r>
          </w:p>
        </w:tc>
        <w:tc>
          <w:tcPr>
            <w:tcW w:w="753"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仿宋_GB2312" w:eastAsia="仿宋_GB2312"/>
                <w:color w:val="000000"/>
                <w:kern w:val="0"/>
                <w:sz w:val="22"/>
                <w:szCs w:val="22"/>
              </w:rPr>
            </w:pPr>
          </w:p>
        </w:tc>
        <w:tc>
          <w:tcPr>
            <w:tcW w:w="1454"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地震基本烈度</w:t>
            </w:r>
          </w:p>
        </w:tc>
        <w:tc>
          <w:tcPr>
            <w:tcW w:w="192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Ⅵ</w:t>
            </w:r>
          </w:p>
        </w:tc>
        <w:tc>
          <w:tcPr>
            <w:tcW w:w="603" w:type="pct"/>
            <w:tcBorders>
              <w:top w:val="nil"/>
              <w:left w:val="nil"/>
              <w:bottom w:val="single" w:color="auto" w:sz="4"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较复杂</w:t>
            </w:r>
          </w:p>
        </w:tc>
      </w:tr>
      <w:tr>
        <w:tblPrEx>
          <w:tblCellMar>
            <w:top w:w="0" w:type="dxa"/>
            <w:left w:w="108" w:type="dxa"/>
            <w:bottom w:w="0" w:type="dxa"/>
            <w:right w:w="108" w:type="dxa"/>
          </w:tblCellMar>
        </w:tblPrEx>
        <w:trPr>
          <w:trHeight w:val="20" w:hRule="atLeast"/>
        </w:trPr>
        <w:tc>
          <w:tcPr>
            <w:tcW w:w="267"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10</w:t>
            </w:r>
          </w:p>
        </w:tc>
        <w:tc>
          <w:tcPr>
            <w:tcW w:w="75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水文及水文地质</w:t>
            </w:r>
          </w:p>
        </w:tc>
        <w:tc>
          <w:tcPr>
            <w:tcW w:w="1454"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spacing w:val="-10"/>
                <w:kern w:val="0"/>
                <w:sz w:val="22"/>
                <w:szCs w:val="22"/>
              </w:rPr>
            </w:pPr>
            <w:r>
              <w:rPr>
                <w:rFonts w:hint="eastAsia" w:ascii="仿宋_GB2312" w:hAnsi="宋体" w:eastAsia="仿宋_GB2312"/>
                <w:color w:val="000000"/>
                <w:spacing w:val="-10"/>
                <w:kern w:val="0"/>
                <w:sz w:val="22"/>
                <w:szCs w:val="22"/>
              </w:rPr>
              <w:t>地表水对岩土体的影响</w:t>
            </w:r>
          </w:p>
        </w:tc>
        <w:tc>
          <w:tcPr>
            <w:tcW w:w="192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小</w:t>
            </w:r>
          </w:p>
        </w:tc>
        <w:tc>
          <w:tcPr>
            <w:tcW w:w="603" w:type="pct"/>
            <w:tcBorders>
              <w:top w:val="nil"/>
              <w:left w:val="nil"/>
              <w:bottom w:val="single" w:color="auto" w:sz="4"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简单</w:t>
            </w:r>
          </w:p>
        </w:tc>
      </w:tr>
      <w:tr>
        <w:tblPrEx>
          <w:tblCellMar>
            <w:top w:w="0" w:type="dxa"/>
            <w:left w:w="108" w:type="dxa"/>
            <w:bottom w:w="0" w:type="dxa"/>
            <w:right w:w="108" w:type="dxa"/>
          </w:tblCellMar>
        </w:tblPrEx>
        <w:trPr>
          <w:trHeight w:val="20" w:hRule="atLeast"/>
        </w:trPr>
        <w:tc>
          <w:tcPr>
            <w:tcW w:w="267"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11</w:t>
            </w:r>
          </w:p>
        </w:tc>
        <w:tc>
          <w:tcPr>
            <w:tcW w:w="753"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仿宋_GB2312" w:eastAsia="仿宋_GB2312"/>
                <w:color w:val="000000"/>
                <w:kern w:val="0"/>
                <w:sz w:val="22"/>
                <w:szCs w:val="22"/>
              </w:rPr>
            </w:pPr>
          </w:p>
        </w:tc>
        <w:tc>
          <w:tcPr>
            <w:tcW w:w="1454"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spacing w:val="-10"/>
                <w:kern w:val="0"/>
                <w:sz w:val="22"/>
                <w:szCs w:val="22"/>
              </w:rPr>
            </w:pPr>
            <w:r>
              <w:rPr>
                <w:rFonts w:hint="eastAsia" w:ascii="仿宋_GB2312" w:hAnsi="宋体" w:eastAsia="仿宋_GB2312"/>
                <w:color w:val="000000"/>
                <w:spacing w:val="-10"/>
                <w:kern w:val="0"/>
                <w:sz w:val="22"/>
                <w:szCs w:val="22"/>
              </w:rPr>
              <w:t>地下水对岩土体的影响</w:t>
            </w:r>
          </w:p>
        </w:tc>
        <w:tc>
          <w:tcPr>
            <w:tcW w:w="192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小</w:t>
            </w:r>
          </w:p>
        </w:tc>
        <w:tc>
          <w:tcPr>
            <w:tcW w:w="603" w:type="pct"/>
            <w:tcBorders>
              <w:top w:val="nil"/>
              <w:left w:val="nil"/>
              <w:bottom w:val="single" w:color="auto" w:sz="4"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简单</w:t>
            </w:r>
          </w:p>
        </w:tc>
      </w:tr>
      <w:tr>
        <w:tblPrEx>
          <w:tblCellMar>
            <w:top w:w="0" w:type="dxa"/>
            <w:left w:w="108" w:type="dxa"/>
            <w:bottom w:w="0" w:type="dxa"/>
            <w:right w:w="108" w:type="dxa"/>
          </w:tblCellMar>
        </w:tblPrEx>
        <w:trPr>
          <w:trHeight w:val="20" w:hRule="atLeast"/>
        </w:trPr>
        <w:tc>
          <w:tcPr>
            <w:tcW w:w="267"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12</w:t>
            </w:r>
          </w:p>
        </w:tc>
        <w:tc>
          <w:tcPr>
            <w:tcW w:w="2207" w:type="pct"/>
            <w:gridSpan w:val="4"/>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不良地质现象占用地面积的比例</w:t>
            </w:r>
            <w:r>
              <w:rPr>
                <w:rFonts w:hint="eastAsia" w:ascii="仿宋_GB2312" w:eastAsia="仿宋_GB2312"/>
                <w:color w:val="000000"/>
                <w:kern w:val="0"/>
                <w:sz w:val="22"/>
                <w:szCs w:val="22"/>
              </w:rPr>
              <w:t>(%)</w:t>
            </w:r>
          </w:p>
        </w:tc>
        <w:tc>
          <w:tcPr>
            <w:tcW w:w="192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0.37</w:t>
            </w:r>
          </w:p>
        </w:tc>
        <w:tc>
          <w:tcPr>
            <w:tcW w:w="603" w:type="pct"/>
            <w:tcBorders>
              <w:top w:val="nil"/>
              <w:left w:val="nil"/>
              <w:bottom w:val="single" w:color="auto" w:sz="4"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简单</w:t>
            </w:r>
          </w:p>
        </w:tc>
      </w:tr>
      <w:tr>
        <w:tblPrEx>
          <w:tblCellMar>
            <w:top w:w="0" w:type="dxa"/>
            <w:left w:w="108" w:type="dxa"/>
            <w:bottom w:w="0" w:type="dxa"/>
            <w:right w:w="108" w:type="dxa"/>
          </w:tblCellMar>
        </w:tblPrEx>
        <w:trPr>
          <w:trHeight w:val="20" w:hRule="atLeast"/>
        </w:trPr>
        <w:tc>
          <w:tcPr>
            <w:tcW w:w="267"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13</w:t>
            </w:r>
          </w:p>
        </w:tc>
        <w:tc>
          <w:tcPr>
            <w:tcW w:w="75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破坏地质环境的人类活动</w:t>
            </w:r>
          </w:p>
        </w:tc>
        <w:tc>
          <w:tcPr>
            <w:tcW w:w="56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边坡高度</w:t>
            </w:r>
            <w:r>
              <w:rPr>
                <w:rFonts w:hint="eastAsia" w:ascii="仿宋_GB2312" w:eastAsia="仿宋_GB2312"/>
                <w:color w:val="000000"/>
                <w:kern w:val="0"/>
                <w:sz w:val="22"/>
                <w:szCs w:val="22"/>
              </w:rPr>
              <w:t>(m)</w:t>
            </w:r>
          </w:p>
        </w:tc>
        <w:tc>
          <w:tcPr>
            <w:tcW w:w="891" w:type="pct"/>
            <w:gridSpan w:val="2"/>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土质边坡</w:t>
            </w:r>
          </w:p>
        </w:tc>
        <w:tc>
          <w:tcPr>
            <w:tcW w:w="1923"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小于8m</w:t>
            </w:r>
          </w:p>
        </w:tc>
        <w:tc>
          <w:tcPr>
            <w:tcW w:w="603" w:type="pct"/>
            <w:tcBorders>
              <w:top w:val="nil"/>
              <w:left w:val="single" w:color="auto" w:sz="4" w:space="0"/>
              <w:bottom w:val="single" w:color="auto" w:sz="4"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简单</w:t>
            </w:r>
          </w:p>
        </w:tc>
      </w:tr>
      <w:tr>
        <w:tblPrEx>
          <w:tblCellMar>
            <w:top w:w="0" w:type="dxa"/>
            <w:left w:w="108" w:type="dxa"/>
            <w:bottom w:w="0" w:type="dxa"/>
            <w:right w:w="108" w:type="dxa"/>
          </w:tblCellMar>
        </w:tblPrEx>
        <w:trPr>
          <w:trHeight w:val="20" w:hRule="atLeast"/>
        </w:trPr>
        <w:tc>
          <w:tcPr>
            <w:tcW w:w="267"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14</w:t>
            </w:r>
          </w:p>
        </w:tc>
        <w:tc>
          <w:tcPr>
            <w:tcW w:w="753"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仿宋_GB2312" w:eastAsia="仿宋_GB2312"/>
                <w:color w:val="000000"/>
                <w:kern w:val="0"/>
                <w:sz w:val="22"/>
                <w:szCs w:val="22"/>
              </w:rPr>
            </w:pPr>
          </w:p>
        </w:tc>
        <w:tc>
          <w:tcPr>
            <w:tcW w:w="563"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仿宋_GB2312" w:eastAsia="仿宋_GB2312"/>
                <w:color w:val="000000"/>
                <w:kern w:val="0"/>
                <w:sz w:val="22"/>
                <w:szCs w:val="22"/>
              </w:rPr>
            </w:pPr>
          </w:p>
        </w:tc>
        <w:tc>
          <w:tcPr>
            <w:tcW w:w="891" w:type="pct"/>
            <w:gridSpan w:val="2"/>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岩质边坡</w:t>
            </w:r>
          </w:p>
        </w:tc>
        <w:tc>
          <w:tcPr>
            <w:tcW w:w="1923"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小于15m</w:t>
            </w:r>
          </w:p>
        </w:tc>
        <w:tc>
          <w:tcPr>
            <w:tcW w:w="603" w:type="pct"/>
            <w:tcBorders>
              <w:top w:val="nil"/>
              <w:left w:val="single" w:color="auto" w:sz="4" w:space="0"/>
              <w:bottom w:val="single" w:color="auto" w:sz="4"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简单</w:t>
            </w:r>
          </w:p>
        </w:tc>
      </w:tr>
      <w:tr>
        <w:tblPrEx>
          <w:tblCellMar>
            <w:top w:w="0" w:type="dxa"/>
            <w:left w:w="108" w:type="dxa"/>
            <w:bottom w:w="0" w:type="dxa"/>
            <w:right w:w="108" w:type="dxa"/>
          </w:tblCellMar>
        </w:tblPrEx>
        <w:trPr>
          <w:trHeight w:val="20" w:hRule="atLeast"/>
        </w:trPr>
        <w:tc>
          <w:tcPr>
            <w:tcW w:w="267"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15</w:t>
            </w:r>
          </w:p>
        </w:tc>
        <w:tc>
          <w:tcPr>
            <w:tcW w:w="753"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仿宋_GB2312" w:eastAsia="仿宋_GB2312"/>
                <w:color w:val="000000"/>
                <w:kern w:val="0"/>
                <w:sz w:val="22"/>
                <w:szCs w:val="22"/>
              </w:rPr>
            </w:pPr>
          </w:p>
        </w:tc>
        <w:tc>
          <w:tcPr>
            <w:tcW w:w="1454"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spacing w:val="-20"/>
                <w:kern w:val="0"/>
                <w:sz w:val="22"/>
                <w:szCs w:val="22"/>
              </w:rPr>
            </w:pPr>
            <w:r>
              <w:rPr>
                <w:rFonts w:hint="eastAsia" w:ascii="仿宋_GB2312" w:hAnsi="宋体" w:eastAsia="仿宋_GB2312"/>
                <w:color w:val="000000"/>
                <w:spacing w:val="-20"/>
                <w:kern w:val="0"/>
                <w:sz w:val="22"/>
                <w:szCs w:val="22"/>
              </w:rPr>
              <w:t>地下空间覆岩厚度与跨度之比</w:t>
            </w:r>
          </w:p>
        </w:tc>
        <w:tc>
          <w:tcPr>
            <w:tcW w:w="192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w:t>
            </w:r>
          </w:p>
        </w:tc>
        <w:tc>
          <w:tcPr>
            <w:tcW w:w="603" w:type="pct"/>
            <w:tcBorders>
              <w:top w:val="nil"/>
              <w:left w:val="nil"/>
              <w:bottom w:val="single" w:color="auto" w:sz="4"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w:t>
            </w:r>
          </w:p>
        </w:tc>
      </w:tr>
      <w:tr>
        <w:tblPrEx>
          <w:tblCellMar>
            <w:top w:w="0" w:type="dxa"/>
            <w:left w:w="108" w:type="dxa"/>
            <w:bottom w:w="0" w:type="dxa"/>
            <w:right w:w="108" w:type="dxa"/>
          </w:tblCellMar>
        </w:tblPrEx>
        <w:trPr>
          <w:trHeight w:val="20" w:hRule="atLeast"/>
        </w:trPr>
        <w:tc>
          <w:tcPr>
            <w:tcW w:w="267"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eastAsia="仿宋_GB2312"/>
                <w:color w:val="000000"/>
                <w:kern w:val="0"/>
                <w:sz w:val="22"/>
                <w:szCs w:val="22"/>
              </w:rPr>
              <w:t>16</w:t>
            </w:r>
          </w:p>
        </w:tc>
        <w:tc>
          <w:tcPr>
            <w:tcW w:w="753"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tLeast"/>
              <w:jc w:val="center"/>
              <w:rPr>
                <w:rFonts w:ascii="仿宋_GB2312" w:eastAsia="仿宋_GB2312"/>
                <w:color w:val="000000"/>
                <w:kern w:val="0"/>
                <w:sz w:val="22"/>
                <w:szCs w:val="22"/>
              </w:rPr>
            </w:pPr>
          </w:p>
        </w:tc>
        <w:tc>
          <w:tcPr>
            <w:tcW w:w="1454"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spacing w:val="-22"/>
                <w:kern w:val="0"/>
                <w:sz w:val="22"/>
                <w:szCs w:val="22"/>
              </w:rPr>
            </w:pPr>
            <w:r>
              <w:rPr>
                <w:rFonts w:hint="eastAsia" w:ascii="仿宋_GB2312" w:hAnsi="宋体" w:eastAsia="仿宋_GB2312"/>
                <w:color w:val="000000"/>
                <w:spacing w:val="-22"/>
                <w:kern w:val="0"/>
                <w:sz w:val="22"/>
                <w:szCs w:val="22"/>
              </w:rPr>
              <w:t>采空区占用地面积的比例</w:t>
            </w:r>
            <w:r>
              <w:rPr>
                <w:rFonts w:hint="eastAsia" w:ascii="仿宋_GB2312" w:eastAsia="仿宋_GB2312"/>
                <w:color w:val="000000"/>
                <w:spacing w:val="-22"/>
                <w:kern w:val="0"/>
                <w:sz w:val="22"/>
                <w:szCs w:val="22"/>
              </w:rPr>
              <w:t>(%)</w:t>
            </w:r>
          </w:p>
        </w:tc>
        <w:tc>
          <w:tcPr>
            <w:tcW w:w="192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w:t>
            </w:r>
          </w:p>
        </w:tc>
        <w:tc>
          <w:tcPr>
            <w:tcW w:w="603" w:type="pct"/>
            <w:tcBorders>
              <w:top w:val="nil"/>
              <w:left w:val="nil"/>
              <w:bottom w:val="single" w:color="auto" w:sz="4"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w:t>
            </w:r>
          </w:p>
        </w:tc>
      </w:tr>
      <w:tr>
        <w:tblPrEx>
          <w:tblCellMar>
            <w:top w:w="0" w:type="dxa"/>
            <w:left w:w="108" w:type="dxa"/>
            <w:bottom w:w="0" w:type="dxa"/>
            <w:right w:w="108" w:type="dxa"/>
          </w:tblCellMar>
        </w:tblPrEx>
        <w:trPr>
          <w:trHeight w:val="20" w:hRule="atLeast"/>
        </w:trPr>
        <w:tc>
          <w:tcPr>
            <w:tcW w:w="4397" w:type="pct"/>
            <w:gridSpan w:val="6"/>
            <w:tcBorders>
              <w:top w:val="single" w:color="auto" w:sz="4" w:space="0"/>
              <w:left w:val="single" w:color="auto" w:sz="12" w:space="0"/>
              <w:bottom w:val="single" w:color="auto" w:sz="12" w:space="0"/>
              <w:right w:val="single" w:color="auto" w:sz="4"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小结</w:t>
            </w:r>
          </w:p>
        </w:tc>
        <w:tc>
          <w:tcPr>
            <w:tcW w:w="603" w:type="pct"/>
            <w:tcBorders>
              <w:top w:val="nil"/>
              <w:left w:val="nil"/>
              <w:bottom w:val="single" w:color="auto" w:sz="12" w:space="0"/>
              <w:right w:val="single" w:color="auto" w:sz="12" w:space="0"/>
            </w:tcBorders>
            <w:shd w:val="clear" w:color="auto" w:fill="auto"/>
            <w:vAlign w:val="center"/>
          </w:tcPr>
          <w:p>
            <w:pPr>
              <w:widowControl/>
              <w:adjustRightInd w:val="0"/>
              <w:snapToGrid w:val="0"/>
              <w:spacing w:line="240" w:lineRule="atLeast"/>
              <w:jc w:val="center"/>
              <w:rPr>
                <w:rFonts w:ascii="仿宋_GB2312" w:eastAsia="仿宋_GB2312"/>
                <w:color w:val="000000"/>
                <w:kern w:val="0"/>
                <w:sz w:val="22"/>
                <w:szCs w:val="22"/>
              </w:rPr>
            </w:pPr>
            <w:r>
              <w:rPr>
                <w:rFonts w:hint="eastAsia" w:ascii="仿宋_GB2312" w:hAnsi="宋体" w:eastAsia="仿宋_GB2312"/>
                <w:color w:val="000000"/>
                <w:kern w:val="0"/>
                <w:sz w:val="22"/>
                <w:szCs w:val="22"/>
              </w:rPr>
              <w:t>较复杂</w:t>
            </w:r>
          </w:p>
        </w:tc>
      </w:tr>
    </w:tbl>
    <w:p>
      <w:pPr>
        <w:pStyle w:val="2"/>
        <w:adjustRightInd w:val="0"/>
        <w:snapToGrid w:val="0"/>
        <w:spacing w:before="360" w:beforeLines="150" w:line="360" w:lineRule="auto"/>
        <w:ind w:firstLine="0"/>
        <w:rPr>
          <w:rFonts w:ascii="仿宋_GB2312" w:hAnsi="宋体" w:eastAsia="仿宋_GB2312"/>
          <w:b/>
          <w:bCs/>
          <w:i w:val="0"/>
          <w:iCs w:val="0"/>
          <w:sz w:val="36"/>
          <w:szCs w:val="36"/>
        </w:rPr>
      </w:pPr>
      <w:bookmarkStart w:id="50" w:name="_Toc12159"/>
      <w:r>
        <w:rPr>
          <w:rFonts w:hint="eastAsia" w:ascii="仿宋_GB2312" w:hAnsi="宋体" w:eastAsia="仿宋_GB2312"/>
          <w:b/>
          <w:bCs/>
          <w:i w:val="0"/>
          <w:iCs w:val="0"/>
          <w:sz w:val="36"/>
          <w:szCs w:val="36"/>
        </w:rPr>
        <w:t>5 地质灾害及地质环境问题</w:t>
      </w:r>
      <w:bookmarkEnd w:id="50"/>
      <w:bookmarkStart w:id="51" w:name="_Toc364921026"/>
      <w:bookmarkStart w:id="52" w:name="_Toc93116152"/>
      <w:bookmarkStart w:id="53" w:name="_Toc97349220"/>
      <w:bookmarkStart w:id="54" w:name="_Toc98064813"/>
      <w:bookmarkStart w:id="55" w:name="_Toc301190022"/>
      <w:bookmarkStart w:id="56" w:name="_Toc97013483"/>
      <w:bookmarkStart w:id="57" w:name="_Toc96144778"/>
      <w:bookmarkStart w:id="58" w:name="_Toc453452483"/>
    </w:p>
    <w:p>
      <w:pPr>
        <w:spacing w:line="360" w:lineRule="auto"/>
        <w:ind w:firstLine="560" w:firstLineChars="200"/>
        <w:rPr>
          <w:rFonts w:ascii="仿宋_GB2312" w:hAnsi="宋体" w:eastAsia="仿宋_GB2312"/>
          <w:color w:val="000000"/>
          <w:sz w:val="28"/>
          <w:szCs w:val="28"/>
        </w:rPr>
      </w:pPr>
      <w:r>
        <w:rPr>
          <w:rFonts w:hint="eastAsia" w:eastAsia="仿宋_GB2312"/>
          <w:sz w:val="28"/>
        </w:rPr>
        <w:t>评估区存在的主要地质环境问题为：斜（边）坡的稳定性问题。</w:t>
      </w:r>
      <w:bookmarkEnd w:id="51"/>
      <w:bookmarkEnd w:id="52"/>
      <w:bookmarkEnd w:id="53"/>
      <w:bookmarkEnd w:id="54"/>
      <w:bookmarkEnd w:id="55"/>
      <w:bookmarkEnd w:id="56"/>
      <w:bookmarkEnd w:id="57"/>
      <w:bookmarkEnd w:id="58"/>
    </w:p>
    <w:p>
      <w:pPr>
        <w:pStyle w:val="3"/>
        <w:spacing w:before="240" w:after="240" w:line="360" w:lineRule="auto"/>
        <w:rPr>
          <w:rFonts w:ascii="仿宋_GB2312" w:eastAsia="仿宋_GB2312"/>
          <w:bCs w:val="0"/>
          <w:kern w:val="30"/>
          <w:sz w:val="30"/>
          <w:szCs w:val="24"/>
        </w:rPr>
      </w:pPr>
      <w:bookmarkStart w:id="59" w:name="_Toc281318257"/>
      <w:bookmarkStart w:id="60" w:name="_Toc275874741"/>
      <w:bookmarkStart w:id="61" w:name="_Toc5971"/>
      <w:bookmarkStart w:id="62" w:name="_Toc453452484"/>
      <w:bookmarkStart w:id="63" w:name="_Toc427925620"/>
      <w:r>
        <w:rPr>
          <w:rFonts w:hint="eastAsia" w:ascii="仿宋_GB2312" w:eastAsia="仿宋_GB2312"/>
          <w:bCs w:val="0"/>
          <w:kern w:val="30"/>
          <w:sz w:val="30"/>
          <w:szCs w:val="24"/>
        </w:rPr>
        <w:t>5.</w:t>
      </w:r>
      <w:bookmarkEnd w:id="59"/>
      <w:bookmarkEnd w:id="60"/>
      <w:r>
        <w:rPr>
          <w:rFonts w:hint="eastAsia" w:ascii="仿宋_GB2312" w:eastAsia="仿宋_GB2312"/>
          <w:bCs w:val="0"/>
          <w:kern w:val="30"/>
          <w:sz w:val="30"/>
          <w:szCs w:val="24"/>
        </w:rPr>
        <w:t>1斜（边）坡稳定性</w:t>
      </w:r>
      <w:bookmarkEnd w:id="61"/>
      <w:bookmarkEnd w:id="62"/>
      <w:bookmarkEnd w:id="63"/>
      <w:r>
        <w:rPr>
          <w:rFonts w:hint="eastAsia" w:ascii="仿宋_GB2312" w:eastAsia="仿宋_GB2312"/>
          <w:bCs w:val="0"/>
          <w:kern w:val="30"/>
          <w:sz w:val="30"/>
          <w:szCs w:val="24"/>
        </w:rPr>
        <w:t xml:space="preserve">   </w:t>
      </w:r>
    </w:p>
    <w:p>
      <w:pPr>
        <w:pStyle w:val="13"/>
        <w:spacing w:line="360" w:lineRule="auto"/>
        <w:rPr>
          <w:rFonts w:ascii="仿宋_GB2312" w:eastAsia="仿宋_GB2312"/>
        </w:rPr>
      </w:pPr>
      <w:r>
        <w:rPr>
          <w:rFonts w:hint="eastAsia" w:ascii="仿宋_GB2312" w:eastAsia="仿宋_GB2312"/>
        </w:rPr>
        <w:t>（1）斜坡稳定性</w:t>
      </w:r>
    </w:p>
    <w:p>
      <w:pPr>
        <w:adjustRightInd w:val="0"/>
        <w:snapToGrid w:val="0"/>
        <w:spacing w:line="360" w:lineRule="auto"/>
        <w:ind w:firstLine="560" w:firstLineChars="200"/>
        <w:jc w:val="center"/>
        <w:rPr>
          <w:rFonts w:ascii="仿宋_GB2312" w:eastAsia="仿宋_GB2312"/>
          <w:sz w:val="28"/>
          <w:szCs w:val="28"/>
        </w:rPr>
      </w:pPr>
      <w:r>
        <w:rPr>
          <w:rFonts w:hint="eastAsia" w:ascii="仿宋_GB2312" w:eastAsia="仿宋_GB2312"/>
          <w:sz w:val="28"/>
          <w:szCs w:val="28"/>
        </w:rPr>
        <w:drawing>
          <wp:inline distT="0" distB="0" distL="114300" distR="114300">
            <wp:extent cx="6044565" cy="3963670"/>
            <wp:effectExtent l="0" t="0" r="5715" b="13970"/>
            <wp:docPr id="14" name="图片 14" descr="166359164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3591645824"/>
                    <pic:cNvPicPr>
                      <a:picLocks noChangeAspect="1"/>
                    </pic:cNvPicPr>
                  </pic:nvPicPr>
                  <pic:blipFill>
                    <a:blip r:embed="rId27"/>
                    <a:stretch>
                      <a:fillRect/>
                    </a:stretch>
                  </pic:blipFill>
                  <pic:spPr>
                    <a:xfrm>
                      <a:off x="0" y="0"/>
                      <a:ext cx="6044565" cy="3963670"/>
                    </a:xfrm>
                    <a:prstGeom prst="rect">
                      <a:avLst/>
                    </a:prstGeom>
                  </pic:spPr>
                </pic:pic>
              </a:graphicData>
            </a:graphic>
          </wp:inline>
        </w:drawing>
      </w:r>
    </w:p>
    <w:p>
      <w:pPr>
        <w:adjustRightInd w:val="0"/>
        <w:snapToGrid w:val="0"/>
        <w:spacing w:line="360" w:lineRule="auto"/>
        <w:ind w:firstLine="560" w:firstLineChars="200"/>
        <w:jc w:val="center"/>
        <w:rPr>
          <w:rFonts w:ascii="仿宋_GB2312" w:eastAsia="仿宋_GB2312"/>
          <w:sz w:val="28"/>
          <w:szCs w:val="28"/>
        </w:rPr>
      </w:pPr>
      <w:r>
        <w:rPr>
          <w:rFonts w:hint="eastAsia" w:ascii="仿宋_GB2312" w:eastAsia="仿宋_GB2312"/>
          <w:sz w:val="28"/>
          <w:szCs w:val="28"/>
        </w:rPr>
        <w:t>北西测斜坡与评估用地</w:t>
      </w:r>
      <w:r>
        <w:rPr>
          <w:rFonts w:hint="eastAsia" w:ascii="仿宋_GB2312" w:eastAsia="仿宋_GB2312"/>
          <w:sz w:val="28"/>
          <w:szCs w:val="28"/>
          <w:lang w:val="en-US" w:eastAsia="zh-CN"/>
        </w:rPr>
        <w:t>范围</w:t>
      </w:r>
      <w:r>
        <w:rPr>
          <w:rFonts w:hint="eastAsia" w:ascii="仿宋_GB2312" w:eastAsia="仿宋_GB2312"/>
          <w:sz w:val="28"/>
          <w:szCs w:val="28"/>
        </w:rPr>
        <w:t>位置关系图（比例尺1:10000）</w:t>
      </w:r>
    </w:p>
    <w:p>
      <w:pPr>
        <w:adjustRightInd w:val="0"/>
        <w:snapToGrid w:val="0"/>
        <w:spacing w:line="360" w:lineRule="auto"/>
        <w:ind w:firstLine="420" w:firstLineChars="200"/>
        <w:jc w:val="center"/>
        <w:rPr>
          <w:rFonts w:ascii="仿宋_GB2312" w:eastAsia="仿宋_GB2312"/>
          <w:sz w:val="28"/>
          <w:szCs w:val="28"/>
        </w:rPr>
      </w:pPr>
      <w:r>
        <w:drawing>
          <wp:inline distT="0" distB="0" distL="114300" distR="114300">
            <wp:extent cx="6045200" cy="2043430"/>
            <wp:effectExtent l="0" t="0" r="5080" b="1397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8"/>
                    <a:stretch>
                      <a:fillRect/>
                    </a:stretch>
                  </pic:blipFill>
                  <pic:spPr>
                    <a:xfrm>
                      <a:off x="0" y="0"/>
                      <a:ext cx="6045200" cy="2043430"/>
                    </a:xfrm>
                    <a:prstGeom prst="rect">
                      <a:avLst/>
                    </a:prstGeom>
                    <a:noFill/>
                    <a:ln>
                      <a:noFill/>
                    </a:ln>
                  </pic:spPr>
                </pic:pic>
              </a:graphicData>
            </a:graphic>
          </wp:inline>
        </w:drawing>
      </w:r>
    </w:p>
    <w:p>
      <w:pPr>
        <w:adjustRightInd w:val="0"/>
        <w:snapToGrid w:val="0"/>
        <w:spacing w:line="360" w:lineRule="auto"/>
        <w:ind w:firstLine="560" w:firstLineChars="200"/>
        <w:jc w:val="center"/>
        <w:rPr>
          <w:rFonts w:ascii="仿宋_GB2312" w:eastAsia="仿宋_GB2312"/>
          <w:sz w:val="28"/>
          <w:szCs w:val="28"/>
        </w:rPr>
      </w:pPr>
      <w:r>
        <w:rPr>
          <w:rFonts w:hint="eastAsia" w:ascii="仿宋_GB2312" w:eastAsia="仿宋_GB2312"/>
          <w:sz w:val="28"/>
          <w:szCs w:val="28"/>
        </w:rPr>
        <w:t>北西测斜坡剖面图（比例尺1:5000）</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在评估区北西侧地块西侧为斜坡地形，斜坡顶部较陡局部形成陡崖，根据现场调查，未见危岩发育，中部为自然斜坡，坡向130°，斜坡坡角25-30°，斜坡土层厚度约为0.5-3m，局部基岩出露，岩土界面倾角约为25°，局部土层可能发生滑塌，本次评估用地红线距离陡崖450-500m左右，斜坡下部较平缓，因此发生失稳对评估用地范围的影响小。</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 xml:space="preserve">评估区属于剥蚀丘陵地貌，规划区内地形坡角为5-20°，局部坡角25-30°。评估区土层一般较薄0.3-5m；基岩为砂岩、泥岩互层发育；选择较为典型的7个斜坡和1个边坡进行稳定性分析，现状斜坡稳定性分析如表5-1：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766"/>
        <w:gridCol w:w="2375"/>
        <w:gridCol w:w="3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exact"/>
          <w:jc w:val="center"/>
        </w:trPr>
        <w:tc>
          <w:tcPr>
            <w:tcW w:w="764" w:type="dxa"/>
            <w:vAlign w:val="center"/>
          </w:tcPr>
          <w:p>
            <w:pPr>
              <w:snapToGrid w:val="0"/>
              <w:jc w:val="center"/>
              <w:rPr>
                <w:rFonts w:ascii="仿宋_GB2312" w:hAnsi="宋体" w:eastAsia="仿宋_GB2312"/>
                <w:color w:val="000000"/>
                <w:szCs w:val="21"/>
              </w:rPr>
            </w:pPr>
            <w:r>
              <w:rPr>
                <w:rFonts w:hint="eastAsia" w:ascii="仿宋_GB2312" w:hAnsi="宋体" w:eastAsia="仿宋_GB2312"/>
                <w:color w:val="000000"/>
                <w:szCs w:val="21"/>
              </w:rPr>
              <w:t>斜坡</w:t>
            </w:r>
          </w:p>
        </w:tc>
        <w:tc>
          <w:tcPr>
            <w:tcW w:w="2766" w:type="dxa"/>
            <w:vAlign w:val="center"/>
          </w:tcPr>
          <w:p>
            <w:pPr>
              <w:snapToGrid w:val="0"/>
              <w:jc w:val="center"/>
              <w:rPr>
                <w:rFonts w:ascii="仿宋_GB2312" w:hAnsi="宋体" w:eastAsia="仿宋_GB2312"/>
                <w:color w:val="000000"/>
                <w:szCs w:val="21"/>
              </w:rPr>
            </w:pPr>
            <w:r>
              <w:rPr>
                <w:rFonts w:hint="eastAsia" w:ascii="仿宋_GB2312" w:hAnsi="宋体" w:eastAsia="仿宋_GB2312"/>
                <w:color w:val="000000"/>
                <w:szCs w:val="21"/>
              </w:rPr>
              <w:t>斜坡特征</w:t>
            </w:r>
          </w:p>
        </w:tc>
        <w:tc>
          <w:tcPr>
            <w:tcW w:w="2375" w:type="dxa"/>
            <w:vAlign w:val="center"/>
          </w:tcPr>
          <w:p>
            <w:pPr>
              <w:snapToGrid w:val="0"/>
              <w:jc w:val="center"/>
              <w:rPr>
                <w:rFonts w:ascii="仿宋_GB2312" w:hAnsi="宋体" w:eastAsia="仿宋_GB2312"/>
                <w:color w:val="000000"/>
                <w:szCs w:val="21"/>
              </w:rPr>
            </w:pPr>
            <w:r>
              <w:rPr>
                <w:rFonts w:hint="eastAsia" w:ascii="仿宋_GB2312" w:hAnsi="宋体" w:eastAsia="仿宋_GB2312"/>
                <w:color w:val="000000"/>
                <w:szCs w:val="21"/>
              </w:rPr>
              <w:t>赤平投影分析图</w:t>
            </w:r>
          </w:p>
        </w:tc>
        <w:tc>
          <w:tcPr>
            <w:tcW w:w="3504" w:type="dxa"/>
            <w:vAlign w:val="center"/>
          </w:tcPr>
          <w:p>
            <w:pPr>
              <w:snapToGrid w:val="0"/>
              <w:jc w:val="center"/>
              <w:rPr>
                <w:rFonts w:ascii="仿宋_GB2312" w:hAnsi="宋体" w:eastAsia="仿宋_GB2312"/>
                <w:color w:val="000000"/>
                <w:szCs w:val="21"/>
              </w:rPr>
            </w:pPr>
            <w:r>
              <w:rPr>
                <w:rFonts w:hint="eastAsia" w:ascii="仿宋_GB2312" w:hAnsi="宋体" w:eastAsia="仿宋_GB2312"/>
                <w:color w:val="000000"/>
                <w:szCs w:val="21"/>
              </w:rPr>
              <w:t>斜坡稳定性评价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5" w:hRule="exact"/>
          <w:jc w:val="center"/>
        </w:trPr>
        <w:tc>
          <w:tcPr>
            <w:tcW w:w="76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Cs w:val="21"/>
              </w:rPr>
            </w:pPr>
            <w:r>
              <w:rPr>
                <w:rFonts w:hint="eastAsia" w:ascii="仿宋_GB2312" w:hAnsi="宋体" w:eastAsia="仿宋_GB2312"/>
                <w:color w:val="000000"/>
                <w:szCs w:val="21"/>
              </w:rPr>
              <w:t>XP1</w:t>
            </w:r>
          </w:p>
        </w:tc>
        <w:tc>
          <w:tcPr>
            <w:tcW w:w="2766" w:type="dxa"/>
            <w:tcBorders>
              <w:top w:val="single" w:color="auto" w:sz="4" w:space="0"/>
              <w:left w:val="single" w:color="auto" w:sz="4" w:space="0"/>
              <w:bottom w:val="single" w:color="auto" w:sz="4" w:space="0"/>
              <w:right w:val="single" w:color="auto" w:sz="4" w:space="0"/>
            </w:tcBorders>
            <w:vAlign w:val="center"/>
          </w:tcPr>
          <w:p>
            <w:pPr>
              <w:snapToGrid w:val="0"/>
              <w:rPr>
                <w:rFonts w:ascii="仿宋_GB2312" w:hAnsi="宋体" w:eastAsia="仿宋_GB2312"/>
                <w:color w:val="000000"/>
                <w:szCs w:val="21"/>
              </w:rPr>
            </w:pPr>
            <w:r>
              <w:rPr>
                <w:rFonts w:hint="eastAsia" w:ascii="仿宋_GB2312" w:hAnsi="宋体" w:eastAsia="仿宋_GB2312"/>
                <w:color w:val="000000"/>
                <w:szCs w:val="21"/>
              </w:rPr>
              <w:t>斜坡长为81m，宽为157m，高为28m，坡向为45°，坡角为20°。基岩为泥岩、砂岩。</w:t>
            </w:r>
          </w:p>
          <w:p>
            <w:pPr>
              <w:snapToGrid w:val="0"/>
              <w:rPr>
                <w:rFonts w:ascii="仿宋_GB2312" w:hAnsi="宋体" w:eastAsia="仿宋_GB2312"/>
                <w:color w:val="000000"/>
                <w:szCs w:val="21"/>
              </w:rPr>
            </w:pPr>
            <w:r>
              <w:rPr>
                <w:rFonts w:hint="eastAsia" w:ascii="仿宋_GB2312" w:hAnsi="宋体" w:eastAsia="仿宋_GB2312"/>
                <w:color w:val="000000"/>
                <w:szCs w:val="21"/>
              </w:rPr>
              <w:t>1.YC产状：312°∠18°</w:t>
            </w:r>
          </w:p>
          <w:p>
            <w:pPr>
              <w:snapToGrid w:val="0"/>
              <w:rPr>
                <w:rFonts w:ascii="仿宋_GB2312" w:hAnsi="宋体" w:eastAsia="仿宋_GB2312"/>
                <w:color w:val="000000"/>
                <w:szCs w:val="21"/>
              </w:rPr>
            </w:pPr>
            <w:r>
              <w:rPr>
                <w:rFonts w:hint="eastAsia" w:ascii="仿宋_GB2312" w:hAnsi="宋体" w:eastAsia="仿宋_GB2312"/>
                <w:color w:val="000000"/>
                <w:szCs w:val="21"/>
              </w:rPr>
              <w:t xml:space="preserve">2.LX1产状：140°∠87°    </w:t>
            </w:r>
          </w:p>
          <w:p>
            <w:pPr>
              <w:snapToGrid w:val="0"/>
              <w:rPr>
                <w:rFonts w:ascii="仿宋_GB2312" w:hAnsi="宋体" w:eastAsia="仿宋_GB2312"/>
                <w:color w:val="000000"/>
                <w:szCs w:val="21"/>
              </w:rPr>
            </w:pPr>
            <w:r>
              <w:rPr>
                <w:rFonts w:hint="eastAsia" w:ascii="仿宋_GB2312" w:hAnsi="宋体" w:eastAsia="仿宋_GB2312"/>
                <w:color w:val="000000"/>
                <w:szCs w:val="21"/>
              </w:rPr>
              <w:t>3.LX2产状：30°∠84°</w:t>
            </w:r>
          </w:p>
          <w:p>
            <w:pPr>
              <w:snapToGrid w:val="0"/>
              <w:rPr>
                <w:rFonts w:ascii="仿宋_GB2312" w:hAnsi="宋体" w:eastAsia="仿宋_GB2312"/>
                <w:color w:val="FF0000"/>
                <w:szCs w:val="21"/>
              </w:rPr>
            </w:pPr>
            <w:r>
              <w:rPr>
                <w:rFonts w:hint="eastAsia" w:ascii="仿宋_GB2312" w:hAnsi="宋体" w:eastAsia="仿宋_GB2312"/>
                <w:color w:val="000000"/>
                <w:szCs w:val="21"/>
              </w:rPr>
              <w:t>4.XP产状：45°∠20°</w:t>
            </w:r>
          </w:p>
        </w:tc>
        <w:tc>
          <w:tcPr>
            <w:tcW w:w="2375" w:type="dxa"/>
            <w:tcBorders>
              <w:top w:val="single" w:color="auto" w:sz="4" w:space="0"/>
              <w:left w:val="single" w:color="auto" w:sz="4" w:space="0"/>
              <w:bottom w:val="single" w:color="auto" w:sz="4" w:space="0"/>
              <w:right w:val="single" w:color="auto" w:sz="4" w:space="0"/>
            </w:tcBorders>
            <w:vAlign w:val="center"/>
          </w:tcPr>
          <w:p>
            <w:pPr>
              <w:snapToGrid w:val="0"/>
              <w:rPr>
                <w:rFonts w:ascii="仿宋_GB2312" w:hAnsi="宋体" w:eastAsia="仿宋_GB2312"/>
                <w:color w:val="FF0000"/>
                <w:szCs w:val="21"/>
              </w:rPr>
            </w:pPr>
            <w:r>
              <w:drawing>
                <wp:inline distT="0" distB="0" distL="114300" distR="114300">
                  <wp:extent cx="1440815" cy="1397635"/>
                  <wp:effectExtent l="0" t="0" r="698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1440815" cy="1397635"/>
                          </a:xfrm>
                          <a:prstGeom prst="rect">
                            <a:avLst/>
                          </a:prstGeom>
                          <a:noFill/>
                          <a:ln>
                            <a:noFill/>
                          </a:ln>
                        </pic:spPr>
                      </pic:pic>
                    </a:graphicData>
                  </a:graphic>
                </wp:inline>
              </w:drawing>
            </w:r>
          </w:p>
        </w:tc>
        <w:tc>
          <w:tcPr>
            <w:tcW w:w="3504" w:type="dxa"/>
            <w:tcBorders>
              <w:top w:val="single" w:color="auto" w:sz="4" w:space="0"/>
              <w:left w:val="single" w:color="auto" w:sz="4" w:space="0"/>
              <w:bottom w:val="single" w:color="auto" w:sz="4" w:space="0"/>
              <w:right w:val="single" w:color="auto" w:sz="4" w:space="0"/>
            </w:tcBorders>
            <w:vAlign w:val="center"/>
          </w:tcPr>
          <w:p>
            <w:pPr>
              <w:snapToGrid w:val="0"/>
              <w:ind w:left="-13" w:leftChars="-6" w:firstLine="420" w:firstLineChars="200"/>
              <w:jc w:val="left"/>
              <w:rPr>
                <w:rFonts w:ascii="仿宋_GB2312" w:hAnsi="宋体" w:eastAsia="仿宋_GB2312"/>
                <w:color w:val="000000"/>
                <w:szCs w:val="21"/>
              </w:rPr>
            </w:pPr>
            <w:r>
              <w:rPr>
                <w:rFonts w:hint="eastAsia" w:ascii="仿宋_GB2312" w:hAnsi="宋体" w:eastAsia="仿宋_GB2312"/>
                <w:color w:val="000000"/>
                <w:szCs w:val="21"/>
              </w:rPr>
              <w:t>斜坡表层土层较薄，植被发育，岩土界面粗糙不平，土层不易滑动。根据赤平投影图分析，斜坡为反向坡，无不利结构面组合。根据现场调查，斜坡未见变形迹象。</w:t>
            </w:r>
          </w:p>
          <w:p>
            <w:pPr>
              <w:snapToGrid w:val="0"/>
              <w:ind w:left="-13" w:leftChars="-6" w:firstLine="420" w:firstLineChars="200"/>
              <w:jc w:val="left"/>
              <w:rPr>
                <w:rFonts w:ascii="仿宋_GB2312" w:hAnsi="宋体" w:eastAsia="仿宋_GB2312"/>
                <w:color w:val="000000"/>
                <w:szCs w:val="21"/>
              </w:rPr>
            </w:pPr>
            <w:r>
              <w:rPr>
                <w:rFonts w:hint="eastAsia" w:ascii="仿宋_GB2312" w:hAnsi="宋体" w:eastAsia="仿宋_GB2312"/>
                <w:color w:val="000000"/>
                <w:szCs w:val="21"/>
              </w:rPr>
              <w:t>因此斜坡现状稳定，发生地质灾害的可能性小，危险性小。</w:t>
            </w:r>
          </w:p>
          <w:p>
            <w:pPr>
              <w:snapToGrid w:val="0"/>
              <w:ind w:firstLine="315" w:firstLineChars="150"/>
              <w:rPr>
                <w:rFonts w:ascii="仿宋_GB2312" w:hAnsi="宋体" w:eastAsia="仿宋_GB2312"/>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3" w:hRule="exact"/>
          <w:jc w:val="center"/>
        </w:trPr>
        <w:tc>
          <w:tcPr>
            <w:tcW w:w="76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Cs w:val="21"/>
              </w:rPr>
            </w:pPr>
            <w:r>
              <w:rPr>
                <w:rFonts w:hint="eastAsia" w:ascii="仿宋_GB2312" w:hAnsi="宋体" w:eastAsia="仿宋_GB2312"/>
                <w:color w:val="000000"/>
                <w:szCs w:val="21"/>
              </w:rPr>
              <w:t xml:space="preserve">XP2 </w:t>
            </w:r>
          </w:p>
        </w:tc>
        <w:tc>
          <w:tcPr>
            <w:tcW w:w="2766" w:type="dxa"/>
            <w:tcBorders>
              <w:top w:val="single" w:color="auto" w:sz="4" w:space="0"/>
              <w:left w:val="single" w:color="auto" w:sz="4" w:space="0"/>
              <w:bottom w:val="single" w:color="auto" w:sz="4" w:space="0"/>
              <w:right w:val="single" w:color="auto" w:sz="4" w:space="0"/>
            </w:tcBorders>
            <w:vAlign w:val="center"/>
          </w:tcPr>
          <w:p>
            <w:pPr>
              <w:snapToGrid w:val="0"/>
              <w:rPr>
                <w:rFonts w:ascii="仿宋_GB2312" w:hAnsi="宋体" w:eastAsia="仿宋_GB2312"/>
                <w:color w:val="000000"/>
                <w:szCs w:val="21"/>
              </w:rPr>
            </w:pPr>
            <w:r>
              <w:rPr>
                <w:rFonts w:hint="eastAsia" w:ascii="仿宋_GB2312" w:hAnsi="宋体" w:eastAsia="仿宋_GB2312"/>
                <w:color w:val="000000"/>
                <w:szCs w:val="21"/>
              </w:rPr>
              <w:t>斜坡长为144m，宽为160m，高为30m，坡向为293°，坡角为12°，基岩为泥岩、砂岩。</w:t>
            </w:r>
          </w:p>
          <w:p>
            <w:pPr>
              <w:snapToGrid w:val="0"/>
              <w:rPr>
                <w:rFonts w:ascii="仿宋_GB2312" w:hAnsi="宋体" w:eastAsia="仿宋_GB2312"/>
                <w:color w:val="000000"/>
                <w:szCs w:val="21"/>
              </w:rPr>
            </w:pPr>
            <w:r>
              <w:rPr>
                <w:rFonts w:hint="eastAsia" w:ascii="仿宋_GB2312" w:hAnsi="宋体" w:eastAsia="仿宋_GB2312"/>
                <w:color w:val="000000"/>
                <w:szCs w:val="21"/>
              </w:rPr>
              <w:t>1.YC产状：312°∠18°</w:t>
            </w:r>
          </w:p>
          <w:p>
            <w:pPr>
              <w:snapToGrid w:val="0"/>
              <w:rPr>
                <w:rFonts w:ascii="仿宋_GB2312" w:hAnsi="宋体" w:eastAsia="仿宋_GB2312"/>
                <w:color w:val="000000"/>
                <w:szCs w:val="21"/>
              </w:rPr>
            </w:pPr>
            <w:r>
              <w:rPr>
                <w:rFonts w:hint="eastAsia" w:ascii="仿宋_GB2312" w:hAnsi="宋体" w:eastAsia="仿宋_GB2312"/>
                <w:color w:val="000000"/>
                <w:szCs w:val="21"/>
              </w:rPr>
              <w:t xml:space="preserve">2.LX1产状：140°∠87°    </w:t>
            </w:r>
          </w:p>
          <w:p>
            <w:pPr>
              <w:snapToGrid w:val="0"/>
              <w:rPr>
                <w:rFonts w:ascii="仿宋_GB2312" w:hAnsi="宋体" w:eastAsia="仿宋_GB2312"/>
                <w:color w:val="000000"/>
                <w:szCs w:val="21"/>
              </w:rPr>
            </w:pPr>
            <w:r>
              <w:rPr>
                <w:rFonts w:hint="eastAsia" w:ascii="仿宋_GB2312" w:hAnsi="宋体" w:eastAsia="仿宋_GB2312"/>
                <w:color w:val="000000"/>
                <w:szCs w:val="21"/>
              </w:rPr>
              <w:t>3.LX2产状：30°∠84°</w:t>
            </w:r>
          </w:p>
          <w:p>
            <w:pPr>
              <w:snapToGrid w:val="0"/>
              <w:rPr>
                <w:rFonts w:ascii="仿宋_GB2312" w:hAnsi="宋体" w:eastAsia="仿宋_GB2312"/>
                <w:color w:val="000000"/>
                <w:szCs w:val="21"/>
              </w:rPr>
            </w:pPr>
            <w:r>
              <w:rPr>
                <w:rFonts w:hint="eastAsia" w:ascii="仿宋_GB2312" w:hAnsi="宋体" w:eastAsia="仿宋_GB2312"/>
                <w:color w:val="000000"/>
                <w:szCs w:val="21"/>
              </w:rPr>
              <w:t>4.XP产状：293°∠12°</w:t>
            </w:r>
          </w:p>
        </w:tc>
        <w:tc>
          <w:tcPr>
            <w:tcW w:w="2375" w:type="dxa"/>
            <w:tcBorders>
              <w:top w:val="single" w:color="auto" w:sz="4" w:space="0"/>
              <w:left w:val="single" w:color="auto" w:sz="4" w:space="0"/>
              <w:bottom w:val="single" w:color="auto" w:sz="4" w:space="0"/>
              <w:right w:val="single" w:color="auto" w:sz="4" w:space="0"/>
            </w:tcBorders>
            <w:vAlign w:val="center"/>
          </w:tcPr>
          <w:p>
            <w:pPr>
              <w:snapToGrid w:val="0"/>
              <w:rPr>
                <w:rFonts w:ascii="仿宋_GB2312" w:hAnsi="宋体" w:eastAsia="仿宋_GB2312"/>
                <w:color w:val="000000"/>
                <w:szCs w:val="21"/>
              </w:rPr>
            </w:pPr>
            <w:r>
              <w:drawing>
                <wp:inline distT="0" distB="0" distL="114300" distR="114300">
                  <wp:extent cx="1367790" cy="1428115"/>
                  <wp:effectExtent l="0" t="0" r="381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1367790" cy="1428115"/>
                          </a:xfrm>
                          <a:prstGeom prst="rect">
                            <a:avLst/>
                          </a:prstGeom>
                          <a:noFill/>
                          <a:ln>
                            <a:noFill/>
                          </a:ln>
                        </pic:spPr>
                      </pic:pic>
                    </a:graphicData>
                  </a:graphic>
                </wp:inline>
              </w:drawing>
            </w:r>
          </w:p>
        </w:tc>
        <w:tc>
          <w:tcPr>
            <w:tcW w:w="3504" w:type="dxa"/>
            <w:tcBorders>
              <w:top w:val="single" w:color="auto" w:sz="4" w:space="0"/>
              <w:left w:val="single" w:color="auto" w:sz="4" w:space="0"/>
              <w:bottom w:val="single" w:color="auto" w:sz="4" w:space="0"/>
              <w:right w:val="single" w:color="auto" w:sz="4" w:space="0"/>
            </w:tcBorders>
            <w:vAlign w:val="center"/>
          </w:tcPr>
          <w:p>
            <w:pPr>
              <w:snapToGrid w:val="0"/>
              <w:ind w:left="-13" w:leftChars="-6" w:firstLine="420" w:firstLineChars="200"/>
              <w:jc w:val="left"/>
              <w:rPr>
                <w:rFonts w:ascii="仿宋_GB2312" w:hAnsi="宋体" w:eastAsia="仿宋_GB2312"/>
                <w:color w:val="000000"/>
                <w:szCs w:val="21"/>
              </w:rPr>
            </w:pPr>
            <w:r>
              <w:rPr>
                <w:rFonts w:hint="eastAsia" w:ascii="仿宋_GB2312" w:hAnsi="宋体" w:eastAsia="仿宋_GB2312"/>
                <w:color w:val="000000"/>
                <w:szCs w:val="21"/>
              </w:rPr>
              <w:t>斜坡表层土层较薄，植被发育，岩土界面粗糙不平，土层不易滑动。根据赤平投影图分析，斜坡为顺向坡，岩层顺向不临空。根据现场调查，斜坡未见变形迹象。</w:t>
            </w:r>
          </w:p>
          <w:p>
            <w:pPr>
              <w:snapToGrid w:val="0"/>
              <w:ind w:left="-13" w:leftChars="-6" w:firstLine="420" w:firstLineChars="200"/>
              <w:jc w:val="left"/>
              <w:rPr>
                <w:rFonts w:ascii="仿宋_GB2312" w:hAnsi="宋体" w:eastAsia="仿宋_GB2312"/>
                <w:color w:val="000000"/>
                <w:szCs w:val="21"/>
              </w:rPr>
            </w:pPr>
            <w:r>
              <w:rPr>
                <w:rFonts w:hint="eastAsia" w:ascii="仿宋_GB2312" w:hAnsi="宋体" w:eastAsia="仿宋_GB2312"/>
                <w:color w:val="000000"/>
                <w:szCs w:val="21"/>
              </w:rPr>
              <w:t>因此斜坡现状稳定，发生地质灾害的可能性小，危险性小。</w:t>
            </w:r>
          </w:p>
          <w:p>
            <w:pPr>
              <w:snapToGrid w:val="0"/>
              <w:ind w:firstLine="420" w:firstLineChars="200"/>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9" w:hRule="exact"/>
          <w:jc w:val="center"/>
        </w:trPr>
        <w:tc>
          <w:tcPr>
            <w:tcW w:w="76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Cs w:val="21"/>
              </w:rPr>
            </w:pPr>
            <w:r>
              <w:rPr>
                <w:rFonts w:hint="eastAsia" w:ascii="仿宋_GB2312" w:hAnsi="宋体" w:eastAsia="仿宋_GB2312"/>
                <w:color w:val="000000"/>
                <w:szCs w:val="21"/>
              </w:rPr>
              <w:t>XP3</w:t>
            </w:r>
          </w:p>
        </w:tc>
        <w:tc>
          <w:tcPr>
            <w:tcW w:w="2766" w:type="dxa"/>
            <w:tcBorders>
              <w:top w:val="single" w:color="auto" w:sz="4" w:space="0"/>
              <w:left w:val="single" w:color="auto" w:sz="4" w:space="0"/>
              <w:bottom w:val="single" w:color="auto" w:sz="4" w:space="0"/>
              <w:right w:val="single" w:color="auto" w:sz="4" w:space="0"/>
            </w:tcBorders>
            <w:vAlign w:val="center"/>
          </w:tcPr>
          <w:p>
            <w:pPr>
              <w:snapToGrid w:val="0"/>
              <w:rPr>
                <w:rFonts w:ascii="仿宋_GB2312" w:hAnsi="宋体" w:eastAsia="仿宋_GB2312"/>
                <w:color w:val="000000"/>
                <w:szCs w:val="21"/>
              </w:rPr>
            </w:pPr>
            <w:r>
              <w:rPr>
                <w:rFonts w:hint="eastAsia" w:ascii="仿宋_GB2312" w:hAnsi="宋体" w:eastAsia="仿宋_GB2312"/>
                <w:color w:val="000000"/>
                <w:szCs w:val="21"/>
              </w:rPr>
              <w:t>斜坡长为222m，宽为342m，高为50m，坡向为314°，坡角为13°，基岩为泥岩、砂岩。</w:t>
            </w:r>
          </w:p>
          <w:p>
            <w:pPr>
              <w:snapToGrid w:val="0"/>
              <w:rPr>
                <w:rFonts w:ascii="仿宋_GB2312" w:hAnsi="宋体" w:eastAsia="仿宋_GB2312"/>
                <w:color w:val="000000"/>
                <w:szCs w:val="21"/>
              </w:rPr>
            </w:pPr>
            <w:r>
              <w:rPr>
                <w:rFonts w:hint="eastAsia" w:ascii="仿宋_GB2312" w:hAnsi="宋体" w:eastAsia="仿宋_GB2312"/>
                <w:color w:val="000000"/>
                <w:szCs w:val="21"/>
              </w:rPr>
              <w:t>1.YC产状：312°∠18°</w:t>
            </w:r>
          </w:p>
          <w:p>
            <w:pPr>
              <w:snapToGrid w:val="0"/>
              <w:rPr>
                <w:rFonts w:ascii="仿宋_GB2312" w:hAnsi="宋体" w:eastAsia="仿宋_GB2312"/>
                <w:color w:val="000000"/>
                <w:szCs w:val="21"/>
              </w:rPr>
            </w:pPr>
            <w:r>
              <w:rPr>
                <w:rFonts w:hint="eastAsia" w:ascii="仿宋_GB2312" w:hAnsi="宋体" w:eastAsia="仿宋_GB2312"/>
                <w:color w:val="000000"/>
                <w:szCs w:val="21"/>
              </w:rPr>
              <w:t xml:space="preserve">2.LX1产状：140°∠87°    </w:t>
            </w:r>
          </w:p>
          <w:p>
            <w:pPr>
              <w:snapToGrid w:val="0"/>
              <w:rPr>
                <w:rFonts w:ascii="仿宋_GB2312" w:hAnsi="宋体" w:eastAsia="仿宋_GB2312"/>
                <w:color w:val="000000"/>
                <w:szCs w:val="21"/>
              </w:rPr>
            </w:pPr>
            <w:r>
              <w:rPr>
                <w:rFonts w:hint="eastAsia" w:ascii="仿宋_GB2312" w:hAnsi="宋体" w:eastAsia="仿宋_GB2312"/>
                <w:color w:val="000000"/>
                <w:szCs w:val="21"/>
              </w:rPr>
              <w:t>3.LX2产状：30°∠84°</w:t>
            </w:r>
          </w:p>
          <w:p>
            <w:pPr>
              <w:snapToGrid w:val="0"/>
              <w:rPr>
                <w:rFonts w:ascii="仿宋_GB2312" w:hAnsi="宋体" w:eastAsia="仿宋_GB2312"/>
                <w:color w:val="000000"/>
                <w:szCs w:val="21"/>
              </w:rPr>
            </w:pPr>
            <w:r>
              <w:rPr>
                <w:rFonts w:hint="eastAsia" w:ascii="仿宋_GB2312" w:hAnsi="宋体" w:eastAsia="仿宋_GB2312"/>
                <w:color w:val="000000"/>
                <w:szCs w:val="21"/>
              </w:rPr>
              <w:t>4.XP产状：314°∠13°</w:t>
            </w:r>
          </w:p>
        </w:tc>
        <w:tc>
          <w:tcPr>
            <w:tcW w:w="2375" w:type="dxa"/>
            <w:tcBorders>
              <w:top w:val="single" w:color="auto" w:sz="4" w:space="0"/>
              <w:left w:val="single" w:color="auto" w:sz="4" w:space="0"/>
              <w:bottom w:val="single" w:color="auto" w:sz="4" w:space="0"/>
              <w:right w:val="single" w:color="auto" w:sz="4" w:space="0"/>
            </w:tcBorders>
            <w:vAlign w:val="center"/>
          </w:tcPr>
          <w:p>
            <w:pPr>
              <w:snapToGrid w:val="0"/>
              <w:rPr>
                <w:rFonts w:ascii="仿宋_GB2312" w:hAnsi="宋体" w:eastAsia="仿宋_GB2312"/>
                <w:color w:val="000000"/>
                <w:szCs w:val="21"/>
              </w:rPr>
            </w:pPr>
            <w:r>
              <w:drawing>
                <wp:inline distT="0" distB="0" distL="114300" distR="114300">
                  <wp:extent cx="1370965" cy="1442085"/>
                  <wp:effectExtent l="0" t="0" r="63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tretch>
                            <a:fillRect/>
                          </a:stretch>
                        </pic:blipFill>
                        <pic:spPr>
                          <a:xfrm>
                            <a:off x="0" y="0"/>
                            <a:ext cx="1370965" cy="1442085"/>
                          </a:xfrm>
                          <a:prstGeom prst="rect">
                            <a:avLst/>
                          </a:prstGeom>
                          <a:noFill/>
                          <a:ln>
                            <a:noFill/>
                          </a:ln>
                        </pic:spPr>
                      </pic:pic>
                    </a:graphicData>
                  </a:graphic>
                </wp:inline>
              </w:drawing>
            </w:r>
          </w:p>
        </w:tc>
        <w:tc>
          <w:tcPr>
            <w:tcW w:w="3504" w:type="dxa"/>
            <w:tcBorders>
              <w:top w:val="single" w:color="auto" w:sz="4" w:space="0"/>
              <w:left w:val="single" w:color="auto" w:sz="4" w:space="0"/>
              <w:bottom w:val="single" w:color="auto" w:sz="4" w:space="0"/>
              <w:right w:val="single" w:color="auto" w:sz="4" w:space="0"/>
            </w:tcBorders>
            <w:vAlign w:val="center"/>
          </w:tcPr>
          <w:p>
            <w:pPr>
              <w:snapToGrid w:val="0"/>
              <w:ind w:left="-13" w:leftChars="-6" w:firstLine="420" w:firstLineChars="200"/>
              <w:jc w:val="left"/>
              <w:rPr>
                <w:rFonts w:ascii="仿宋_GB2312" w:hAnsi="宋体" w:eastAsia="仿宋_GB2312"/>
                <w:color w:val="000000"/>
                <w:szCs w:val="21"/>
              </w:rPr>
            </w:pPr>
            <w:r>
              <w:rPr>
                <w:rFonts w:hint="eastAsia" w:ascii="仿宋_GB2312" w:hAnsi="宋体" w:eastAsia="仿宋_GB2312"/>
                <w:color w:val="000000"/>
                <w:szCs w:val="21"/>
              </w:rPr>
              <w:t>斜坡表层土层较薄，植被发育，岩土界面粗糙不平，土层不易滑动。根据赤平投影图分析，斜坡为顺向坡，岩层顺向不临空。根据现场调查，斜坡未见变形迹象。</w:t>
            </w:r>
          </w:p>
          <w:p>
            <w:pPr>
              <w:snapToGrid w:val="0"/>
              <w:ind w:left="-13" w:leftChars="-6" w:firstLine="420" w:firstLineChars="200"/>
              <w:jc w:val="left"/>
              <w:rPr>
                <w:rFonts w:ascii="仿宋_GB2312" w:hAnsi="宋体" w:eastAsia="仿宋_GB2312"/>
                <w:color w:val="000000"/>
                <w:szCs w:val="21"/>
              </w:rPr>
            </w:pPr>
            <w:r>
              <w:rPr>
                <w:rFonts w:hint="eastAsia" w:ascii="仿宋_GB2312" w:hAnsi="宋体" w:eastAsia="仿宋_GB2312"/>
                <w:color w:val="000000"/>
                <w:szCs w:val="21"/>
              </w:rPr>
              <w:t>因此斜坡现状基本稳定，发生地质灾害的可能性小，危险性小。</w:t>
            </w:r>
          </w:p>
          <w:p>
            <w:pPr>
              <w:snapToGrid w:val="0"/>
              <w:ind w:firstLine="315" w:firstLineChars="150"/>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3" w:hRule="exact"/>
          <w:jc w:val="center"/>
        </w:trPr>
        <w:tc>
          <w:tcPr>
            <w:tcW w:w="76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Cs w:val="21"/>
              </w:rPr>
            </w:pPr>
            <w:r>
              <w:rPr>
                <w:rFonts w:hint="eastAsia" w:ascii="仿宋_GB2312" w:hAnsi="宋体" w:eastAsia="仿宋_GB2312"/>
                <w:color w:val="000000"/>
                <w:szCs w:val="21"/>
              </w:rPr>
              <w:t>XP4</w:t>
            </w:r>
          </w:p>
          <w:p>
            <w:pPr>
              <w:snapToGrid w:val="0"/>
              <w:jc w:val="center"/>
              <w:rPr>
                <w:rFonts w:ascii="仿宋_GB2312" w:hAnsi="宋体" w:eastAsia="仿宋_GB2312"/>
                <w:color w:val="000000"/>
                <w:szCs w:val="21"/>
              </w:rPr>
            </w:pPr>
          </w:p>
        </w:tc>
        <w:tc>
          <w:tcPr>
            <w:tcW w:w="2766" w:type="dxa"/>
            <w:tcBorders>
              <w:top w:val="single" w:color="auto" w:sz="4" w:space="0"/>
              <w:left w:val="single" w:color="auto" w:sz="4" w:space="0"/>
              <w:bottom w:val="single" w:color="auto" w:sz="4" w:space="0"/>
              <w:right w:val="single" w:color="auto" w:sz="4" w:space="0"/>
            </w:tcBorders>
            <w:vAlign w:val="center"/>
          </w:tcPr>
          <w:p>
            <w:pPr>
              <w:snapToGrid w:val="0"/>
              <w:rPr>
                <w:rFonts w:ascii="仿宋_GB2312" w:hAnsi="宋体" w:eastAsia="仿宋_GB2312"/>
                <w:color w:val="000000"/>
                <w:szCs w:val="21"/>
              </w:rPr>
            </w:pPr>
            <w:r>
              <w:rPr>
                <w:rFonts w:hint="eastAsia" w:ascii="仿宋_GB2312" w:hAnsi="宋体" w:eastAsia="仿宋_GB2312"/>
                <w:color w:val="000000"/>
                <w:szCs w:val="21"/>
              </w:rPr>
              <w:t>斜坡长为432m，宽为522m，高为43m，坡向为314°，坡角为8°，基岩为泥岩、砂岩。</w:t>
            </w:r>
          </w:p>
          <w:p>
            <w:pPr>
              <w:snapToGrid w:val="0"/>
              <w:rPr>
                <w:rFonts w:ascii="仿宋_GB2312" w:hAnsi="宋体" w:eastAsia="仿宋_GB2312"/>
                <w:color w:val="000000"/>
                <w:szCs w:val="21"/>
              </w:rPr>
            </w:pPr>
            <w:r>
              <w:rPr>
                <w:rFonts w:hint="eastAsia" w:ascii="仿宋_GB2312" w:hAnsi="宋体" w:eastAsia="仿宋_GB2312"/>
                <w:color w:val="000000"/>
                <w:szCs w:val="21"/>
              </w:rPr>
              <w:t>1.YC产状：312°∠18°</w:t>
            </w:r>
          </w:p>
          <w:p>
            <w:pPr>
              <w:snapToGrid w:val="0"/>
              <w:rPr>
                <w:rFonts w:ascii="仿宋_GB2312" w:hAnsi="宋体" w:eastAsia="仿宋_GB2312"/>
                <w:color w:val="000000"/>
                <w:szCs w:val="21"/>
              </w:rPr>
            </w:pPr>
            <w:r>
              <w:rPr>
                <w:rFonts w:hint="eastAsia" w:ascii="仿宋_GB2312" w:hAnsi="宋体" w:eastAsia="仿宋_GB2312"/>
                <w:color w:val="000000"/>
                <w:szCs w:val="21"/>
              </w:rPr>
              <w:t xml:space="preserve">2.LX1产状：140°∠87°    </w:t>
            </w:r>
          </w:p>
          <w:p>
            <w:pPr>
              <w:snapToGrid w:val="0"/>
              <w:rPr>
                <w:rFonts w:ascii="仿宋_GB2312" w:hAnsi="宋体" w:eastAsia="仿宋_GB2312"/>
                <w:color w:val="000000"/>
                <w:szCs w:val="21"/>
              </w:rPr>
            </w:pPr>
            <w:r>
              <w:rPr>
                <w:rFonts w:hint="eastAsia" w:ascii="仿宋_GB2312" w:hAnsi="宋体" w:eastAsia="仿宋_GB2312"/>
                <w:color w:val="000000"/>
                <w:szCs w:val="21"/>
              </w:rPr>
              <w:t>3.LX2产状：30°∠84°</w:t>
            </w:r>
          </w:p>
          <w:p>
            <w:pPr>
              <w:snapToGrid w:val="0"/>
              <w:rPr>
                <w:rFonts w:ascii="仿宋_GB2312" w:hAnsi="宋体" w:eastAsia="仿宋_GB2312"/>
                <w:color w:val="000000"/>
                <w:szCs w:val="21"/>
              </w:rPr>
            </w:pPr>
            <w:r>
              <w:rPr>
                <w:rFonts w:hint="eastAsia" w:ascii="仿宋_GB2312" w:hAnsi="宋体" w:eastAsia="仿宋_GB2312"/>
                <w:color w:val="000000"/>
                <w:szCs w:val="21"/>
              </w:rPr>
              <w:t>4.XP产状：109°∠8°</w:t>
            </w:r>
          </w:p>
        </w:tc>
        <w:tc>
          <w:tcPr>
            <w:tcW w:w="2375" w:type="dxa"/>
            <w:tcBorders>
              <w:top w:val="single" w:color="auto" w:sz="4" w:space="0"/>
              <w:left w:val="single" w:color="auto" w:sz="4" w:space="0"/>
              <w:bottom w:val="single" w:color="auto" w:sz="4" w:space="0"/>
              <w:right w:val="single" w:color="auto" w:sz="4" w:space="0"/>
            </w:tcBorders>
            <w:vAlign w:val="center"/>
          </w:tcPr>
          <w:p>
            <w:pPr>
              <w:snapToGrid w:val="0"/>
              <w:rPr>
                <w:rFonts w:ascii="仿宋_GB2312" w:hAnsi="宋体" w:eastAsia="仿宋_GB2312"/>
                <w:color w:val="000000"/>
                <w:szCs w:val="21"/>
              </w:rPr>
            </w:pPr>
            <w:r>
              <w:drawing>
                <wp:inline distT="0" distB="0" distL="114300" distR="114300">
                  <wp:extent cx="1370965" cy="139065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2"/>
                          <a:stretch>
                            <a:fillRect/>
                          </a:stretch>
                        </pic:blipFill>
                        <pic:spPr>
                          <a:xfrm>
                            <a:off x="0" y="0"/>
                            <a:ext cx="1370965" cy="1390650"/>
                          </a:xfrm>
                          <a:prstGeom prst="rect">
                            <a:avLst/>
                          </a:prstGeom>
                          <a:noFill/>
                          <a:ln>
                            <a:noFill/>
                          </a:ln>
                        </pic:spPr>
                      </pic:pic>
                    </a:graphicData>
                  </a:graphic>
                </wp:inline>
              </w:drawing>
            </w:r>
          </w:p>
        </w:tc>
        <w:tc>
          <w:tcPr>
            <w:tcW w:w="3504" w:type="dxa"/>
            <w:tcBorders>
              <w:top w:val="single" w:color="auto" w:sz="4" w:space="0"/>
              <w:left w:val="single" w:color="auto" w:sz="4" w:space="0"/>
              <w:bottom w:val="single" w:color="auto" w:sz="4" w:space="0"/>
              <w:right w:val="single" w:color="auto" w:sz="4" w:space="0"/>
            </w:tcBorders>
            <w:vAlign w:val="center"/>
          </w:tcPr>
          <w:p>
            <w:pPr>
              <w:snapToGrid w:val="0"/>
              <w:ind w:left="-13" w:leftChars="-6" w:firstLine="420" w:firstLineChars="200"/>
              <w:jc w:val="left"/>
              <w:rPr>
                <w:rFonts w:ascii="仿宋_GB2312" w:hAnsi="宋体" w:eastAsia="仿宋_GB2312"/>
                <w:color w:val="000000"/>
                <w:szCs w:val="21"/>
              </w:rPr>
            </w:pPr>
            <w:r>
              <w:rPr>
                <w:rFonts w:hint="eastAsia" w:ascii="仿宋_GB2312" w:hAnsi="宋体" w:eastAsia="仿宋_GB2312"/>
                <w:color w:val="000000"/>
                <w:szCs w:val="21"/>
              </w:rPr>
              <w:t>斜坡表层土层较薄，植被发育，岩土界面粗糙不平，土层不易滑动。根据赤平投影图分析，斜坡为反向坡，无不利结构面组合。根据现场调查，斜坡未见变形迹象。</w:t>
            </w:r>
          </w:p>
          <w:p>
            <w:pPr>
              <w:snapToGrid w:val="0"/>
              <w:ind w:left="-13" w:leftChars="-6" w:firstLine="420" w:firstLineChars="200"/>
              <w:jc w:val="left"/>
              <w:rPr>
                <w:rFonts w:ascii="仿宋_GB2312" w:hAnsi="宋体" w:eastAsia="仿宋_GB2312"/>
                <w:color w:val="000000"/>
                <w:szCs w:val="21"/>
              </w:rPr>
            </w:pPr>
            <w:r>
              <w:rPr>
                <w:rFonts w:hint="eastAsia" w:ascii="仿宋_GB2312" w:hAnsi="宋体" w:eastAsia="仿宋_GB2312"/>
                <w:color w:val="000000"/>
                <w:szCs w:val="21"/>
              </w:rPr>
              <w:t>因此斜坡现状稳定，发生地质灾害的可能性小，危险性小。</w:t>
            </w:r>
          </w:p>
          <w:p>
            <w:pPr>
              <w:snapToGrid w:val="0"/>
              <w:ind w:firstLine="315" w:firstLineChars="150"/>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9" w:hRule="exact"/>
          <w:jc w:val="center"/>
        </w:trPr>
        <w:tc>
          <w:tcPr>
            <w:tcW w:w="76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Cs w:val="21"/>
              </w:rPr>
            </w:pPr>
            <w:r>
              <w:rPr>
                <w:rFonts w:hint="eastAsia" w:ascii="仿宋_GB2312" w:hAnsi="宋体" w:eastAsia="仿宋_GB2312"/>
                <w:color w:val="000000"/>
                <w:szCs w:val="21"/>
              </w:rPr>
              <w:t>XP5</w:t>
            </w:r>
          </w:p>
          <w:p>
            <w:pPr>
              <w:snapToGrid w:val="0"/>
              <w:jc w:val="center"/>
              <w:rPr>
                <w:rFonts w:ascii="仿宋_GB2312" w:hAnsi="宋体" w:eastAsia="仿宋_GB2312"/>
                <w:color w:val="000000"/>
                <w:szCs w:val="21"/>
              </w:rPr>
            </w:pPr>
          </w:p>
        </w:tc>
        <w:tc>
          <w:tcPr>
            <w:tcW w:w="2766" w:type="dxa"/>
            <w:tcBorders>
              <w:top w:val="single" w:color="auto" w:sz="4" w:space="0"/>
              <w:left w:val="single" w:color="auto" w:sz="4" w:space="0"/>
              <w:bottom w:val="single" w:color="auto" w:sz="4" w:space="0"/>
              <w:right w:val="single" w:color="auto" w:sz="4" w:space="0"/>
            </w:tcBorders>
            <w:vAlign w:val="center"/>
          </w:tcPr>
          <w:p>
            <w:pPr>
              <w:snapToGrid w:val="0"/>
              <w:rPr>
                <w:rFonts w:ascii="仿宋_GB2312" w:hAnsi="宋体" w:eastAsia="仿宋_GB2312"/>
                <w:color w:val="000000"/>
                <w:szCs w:val="21"/>
              </w:rPr>
            </w:pPr>
            <w:r>
              <w:rPr>
                <w:rFonts w:hint="eastAsia" w:ascii="仿宋_GB2312" w:hAnsi="宋体" w:eastAsia="仿宋_GB2312"/>
                <w:color w:val="000000"/>
                <w:szCs w:val="21"/>
              </w:rPr>
              <w:t>斜坡长为158，宽为380m，高为41m，坡向为314°，坡角为10°，基岩为泥岩、砂岩。</w:t>
            </w:r>
          </w:p>
          <w:p>
            <w:pPr>
              <w:snapToGrid w:val="0"/>
              <w:rPr>
                <w:rFonts w:ascii="仿宋_GB2312" w:hAnsi="宋体" w:eastAsia="仿宋_GB2312"/>
                <w:color w:val="000000"/>
                <w:szCs w:val="21"/>
              </w:rPr>
            </w:pPr>
            <w:r>
              <w:rPr>
                <w:rFonts w:hint="eastAsia" w:ascii="仿宋_GB2312" w:hAnsi="宋体" w:eastAsia="仿宋_GB2312"/>
                <w:color w:val="000000"/>
                <w:szCs w:val="21"/>
              </w:rPr>
              <w:t>1.YC产状：312°∠18°</w:t>
            </w:r>
          </w:p>
          <w:p>
            <w:pPr>
              <w:snapToGrid w:val="0"/>
              <w:rPr>
                <w:rFonts w:ascii="仿宋_GB2312" w:hAnsi="宋体" w:eastAsia="仿宋_GB2312"/>
                <w:color w:val="000000"/>
                <w:szCs w:val="21"/>
              </w:rPr>
            </w:pPr>
            <w:r>
              <w:rPr>
                <w:rFonts w:hint="eastAsia" w:ascii="仿宋_GB2312" w:hAnsi="宋体" w:eastAsia="仿宋_GB2312"/>
                <w:color w:val="000000"/>
                <w:szCs w:val="21"/>
              </w:rPr>
              <w:t xml:space="preserve">2.LX1产状：140°∠87°    </w:t>
            </w:r>
          </w:p>
          <w:p>
            <w:pPr>
              <w:snapToGrid w:val="0"/>
              <w:rPr>
                <w:rFonts w:ascii="仿宋_GB2312" w:hAnsi="宋体" w:eastAsia="仿宋_GB2312"/>
                <w:color w:val="000000"/>
                <w:szCs w:val="21"/>
              </w:rPr>
            </w:pPr>
            <w:r>
              <w:rPr>
                <w:rFonts w:hint="eastAsia" w:ascii="仿宋_GB2312" w:hAnsi="宋体" w:eastAsia="仿宋_GB2312"/>
                <w:color w:val="000000"/>
                <w:szCs w:val="21"/>
              </w:rPr>
              <w:t>3.LX2产状：30°∠84°</w:t>
            </w:r>
          </w:p>
          <w:p>
            <w:pPr>
              <w:snapToGrid w:val="0"/>
              <w:rPr>
                <w:rFonts w:ascii="仿宋_GB2312" w:hAnsi="宋体" w:eastAsia="仿宋_GB2312"/>
                <w:color w:val="000000"/>
                <w:szCs w:val="21"/>
              </w:rPr>
            </w:pPr>
            <w:r>
              <w:rPr>
                <w:rFonts w:hint="eastAsia" w:ascii="仿宋_GB2312" w:hAnsi="宋体" w:eastAsia="仿宋_GB2312"/>
                <w:color w:val="000000"/>
                <w:szCs w:val="21"/>
              </w:rPr>
              <w:t>4.XP产状：314°∠10°</w:t>
            </w:r>
          </w:p>
        </w:tc>
        <w:tc>
          <w:tcPr>
            <w:tcW w:w="2375" w:type="dxa"/>
            <w:tcBorders>
              <w:top w:val="single" w:color="auto" w:sz="4" w:space="0"/>
              <w:left w:val="single" w:color="auto" w:sz="4" w:space="0"/>
              <w:bottom w:val="single" w:color="auto" w:sz="4" w:space="0"/>
              <w:right w:val="single" w:color="auto" w:sz="4" w:space="0"/>
            </w:tcBorders>
            <w:vAlign w:val="center"/>
          </w:tcPr>
          <w:p>
            <w:pPr>
              <w:snapToGrid w:val="0"/>
              <w:rPr>
                <w:rFonts w:ascii="仿宋_GB2312" w:hAnsi="宋体" w:eastAsia="仿宋_GB2312"/>
                <w:color w:val="000000"/>
                <w:szCs w:val="21"/>
              </w:rPr>
            </w:pPr>
            <w:r>
              <w:drawing>
                <wp:inline distT="0" distB="0" distL="114300" distR="114300">
                  <wp:extent cx="1370965" cy="1454785"/>
                  <wp:effectExtent l="0" t="0" r="635"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1370965" cy="1454785"/>
                          </a:xfrm>
                          <a:prstGeom prst="rect">
                            <a:avLst/>
                          </a:prstGeom>
                          <a:noFill/>
                          <a:ln>
                            <a:noFill/>
                          </a:ln>
                        </pic:spPr>
                      </pic:pic>
                    </a:graphicData>
                  </a:graphic>
                </wp:inline>
              </w:drawing>
            </w:r>
          </w:p>
        </w:tc>
        <w:tc>
          <w:tcPr>
            <w:tcW w:w="3504" w:type="dxa"/>
            <w:tcBorders>
              <w:top w:val="single" w:color="auto" w:sz="4" w:space="0"/>
              <w:left w:val="single" w:color="auto" w:sz="4" w:space="0"/>
              <w:bottom w:val="single" w:color="auto" w:sz="4" w:space="0"/>
              <w:right w:val="single" w:color="auto" w:sz="4" w:space="0"/>
            </w:tcBorders>
            <w:vAlign w:val="center"/>
          </w:tcPr>
          <w:p>
            <w:pPr>
              <w:snapToGrid w:val="0"/>
              <w:ind w:left="-13" w:leftChars="-6" w:firstLine="420" w:firstLineChars="200"/>
              <w:jc w:val="left"/>
              <w:rPr>
                <w:rFonts w:ascii="仿宋_GB2312" w:hAnsi="宋体" w:eastAsia="仿宋_GB2312"/>
                <w:color w:val="000000"/>
                <w:szCs w:val="21"/>
              </w:rPr>
            </w:pPr>
            <w:r>
              <w:rPr>
                <w:rFonts w:hint="eastAsia" w:ascii="仿宋_GB2312" w:hAnsi="宋体" w:eastAsia="仿宋_GB2312"/>
                <w:color w:val="000000"/>
                <w:szCs w:val="21"/>
              </w:rPr>
              <w:t>斜坡表层土层较薄，植被发育，岩土界面粗糙不平，土层不易滑动。根据赤平投影图分析，斜坡为切向坡，无不利结构面组合。根据现场调查，斜坡未见变形迹象。</w:t>
            </w:r>
          </w:p>
          <w:p>
            <w:pPr>
              <w:snapToGrid w:val="0"/>
              <w:ind w:left="-13" w:leftChars="-6" w:firstLine="420" w:firstLineChars="200"/>
              <w:jc w:val="left"/>
              <w:rPr>
                <w:rFonts w:ascii="仿宋_GB2312" w:hAnsi="宋体" w:eastAsia="仿宋_GB2312"/>
                <w:color w:val="000000"/>
                <w:szCs w:val="21"/>
              </w:rPr>
            </w:pPr>
            <w:r>
              <w:rPr>
                <w:rFonts w:hint="eastAsia" w:ascii="仿宋_GB2312" w:hAnsi="宋体" w:eastAsia="仿宋_GB2312"/>
                <w:color w:val="000000"/>
                <w:szCs w:val="21"/>
              </w:rPr>
              <w:t>因此斜坡现状稳定，发生地质灾害的可能性小，危险性小。</w:t>
            </w:r>
          </w:p>
          <w:p>
            <w:pPr>
              <w:snapToGrid w:val="0"/>
              <w:ind w:firstLine="315" w:firstLineChars="150"/>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9" w:hRule="exact"/>
          <w:jc w:val="center"/>
        </w:trPr>
        <w:tc>
          <w:tcPr>
            <w:tcW w:w="76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Cs w:val="21"/>
              </w:rPr>
            </w:pPr>
            <w:r>
              <w:rPr>
                <w:rFonts w:hint="eastAsia" w:ascii="仿宋_GB2312" w:hAnsi="宋体" w:eastAsia="仿宋_GB2312"/>
                <w:color w:val="000000"/>
                <w:szCs w:val="21"/>
              </w:rPr>
              <w:t>XP6</w:t>
            </w:r>
          </w:p>
          <w:p>
            <w:pPr>
              <w:snapToGrid w:val="0"/>
              <w:jc w:val="center"/>
              <w:rPr>
                <w:rFonts w:ascii="仿宋_GB2312" w:hAnsi="宋体" w:eastAsia="仿宋_GB2312"/>
                <w:color w:val="000000"/>
                <w:szCs w:val="21"/>
              </w:rPr>
            </w:pPr>
          </w:p>
        </w:tc>
        <w:tc>
          <w:tcPr>
            <w:tcW w:w="2766" w:type="dxa"/>
            <w:tcBorders>
              <w:top w:val="single" w:color="auto" w:sz="4" w:space="0"/>
              <w:left w:val="single" w:color="auto" w:sz="4" w:space="0"/>
              <w:bottom w:val="single" w:color="auto" w:sz="4" w:space="0"/>
              <w:right w:val="single" w:color="auto" w:sz="4" w:space="0"/>
            </w:tcBorders>
            <w:vAlign w:val="center"/>
          </w:tcPr>
          <w:p>
            <w:pPr>
              <w:snapToGrid w:val="0"/>
              <w:rPr>
                <w:rFonts w:ascii="仿宋_GB2312" w:hAnsi="宋体" w:eastAsia="仿宋_GB2312"/>
                <w:color w:val="000000"/>
                <w:szCs w:val="21"/>
              </w:rPr>
            </w:pPr>
            <w:r>
              <w:rPr>
                <w:rFonts w:hint="eastAsia" w:ascii="仿宋_GB2312" w:hAnsi="宋体" w:eastAsia="仿宋_GB2312"/>
                <w:color w:val="000000"/>
                <w:szCs w:val="21"/>
              </w:rPr>
              <w:t>斜坡长为77m，宽为195m，高为37m，坡向为110°，坡角为25°，基岩为泥岩、砂岩。</w:t>
            </w:r>
          </w:p>
          <w:p>
            <w:pPr>
              <w:snapToGrid w:val="0"/>
              <w:rPr>
                <w:rFonts w:ascii="仿宋_GB2312" w:hAnsi="宋体" w:eastAsia="仿宋_GB2312"/>
                <w:color w:val="000000"/>
                <w:szCs w:val="21"/>
              </w:rPr>
            </w:pPr>
            <w:r>
              <w:rPr>
                <w:rFonts w:hint="eastAsia" w:ascii="仿宋_GB2312" w:hAnsi="宋体" w:eastAsia="仿宋_GB2312"/>
                <w:color w:val="000000"/>
                <w:szCs w:val="21"/>
              </w:rPr>
              <w:t>1.YC产状：312°∠18°</w:t>
            </w:r>
          </w:p>
          <w:p>
            <w:pPr>
              <w:snapToGrid w:val="0"/>
              <w:rPr>
                <w:rFonts w:ascii="仿宋_GB2312" w:hAnsi="宋体" w:eastAsia="仿宋_GB2312"/>
                <w:color w:val="000000"/>
                <w:szCs w:val="21"/>
              </w:rPr>
            </w:pPr>
            <w:r>
              <w:rPr>
                <w:rFonts w:hint="eastAsia" w:ascii="仿宋_GB2312" w:hAnsi="宋体" w:eastAsia="仿宋_GB2312"/>
                <w:color w:val="000000"/>
                <w:szCs w:val="21"/>
              </w:rPr>
              <w:t xml:space="preserve">2.LX1产状：140°∠87°    </w:t>
            </w:r>
          </w:p>
          <w:p>
            <w:pPr>
              <w:snapToGrid w:val="0"/>
              <w:rPr>
                <w:rFonts w:ascii="仿宋_GB2312" w:hAnsi="宋体" w:eastAsia="仿宋_GB2312"/>
                <w:color w:val="000000"/>
                <w:szCs w:val="21"/>
              </w:rPr>
            </w:pPr>
            <w:r>
              <w:rPr>
                <w:rFonts w:hint="eastAsia" w:ascii="仿宋_GB2312" w:hAnsi="宋体" w:eastAsia="仿宋_GB2312"/>
                <w:color w:val="000000"/>
                <w:szCs w:val="21"/>
              </w:rPr>
              <w:t>3.LX2产状：30°∠84°</w:t>
            </w:r>
          </w:p>
          <w:p>
            <w:pPr>
              <w:snapToGrid w:val="0"/>
              <w:rPr>
                <w:rFonts w:ascii="仿宋_GB2312" w:hAnsi="宋体" w:eastAsia="仿宋_GB2312"/>
                <w:color w:val="000000"/>
                <w:szCs w:val="21"/>
              </w:rPr>
            </w:pPr>
            <w:r>
              <w:rPr>
                <w:rFonts w:hint="eastAsia" w:ascii="仿宋_GB2312" w:hAnsi="宋体" w:eastAsia="仿宋_GB2312"/>
                <w:color w:val="000000"/>
                <w:szCs w:val="21"/>
              </w:rPr>
              <w:t>4.XP产状：110°∠25°</w:t>
            </w:r>
          </w:p>
        </w:tc>
        <w:tc>
          <w:tcPr>
            <w:tcW w:w="2375" w:type="dxa"/>
            <w:tcBorders>
              <w:top w:val="single" w:color="auto" w:sz="4" w:space="0"/>
              <w:left w:val="single" w:color="auto" w:sz="4" w:space="0"/>
              <w:bottom w:val="single" w:color="auto" w:sz="4" w:space="0"/>
              <w:right w:val="single" w:color="auto" w:sz="4" w:space="0"/>
            </w:tcBorders>
            <w:vAlign w:val="center"/>
          </w:tcPr>
          <w:p>
            <w:pPr>
              <w:snapToGrid w:val="0"/>
            </w:pPr>
            <w:r>
              <w:drawing>
                <wp:inline distT="0" distB="0" distL="114300" distR="114300">
                  <wp:extent cx="1447800" cy="1393825"/>
                  <wp:effectExtent l="0" t="0" r="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a:stretch>
                            <a:fillRect/>
                          </a:stretch>
                        </pic:blipFill>
                        <pic:spPr>
                          <a:xfrm>
                            <a:off x="0" y="0"/>
                            <a:ext cx="1447800" cy="1393825"/>
                          </a:xfrm>
                          <a:prstGeom prst="rect">
                            <a:avLst/>
                          </a:prstGeom>
                          <a:noFill/>
                          <a:ln>
                            <a:noFill/>
                          </a:ln>
                        </pic:spPr>
                      </pic:pic>
                    </a:graphicData>
                  </a:graphic>
                </wp:inline>
              </w:drawing>
            </w:r>
          </w:p>
        </w:tc>
        <w:tc>
          <w:tcPr>
            <w:tcW w:w="3504" w:type="dxa"/>
            <w:tcBorders>
              <w:top w:val="single" w:color="auto" w:sz="4" w:space="0"/>
              <w:left w:val="single" w:color="auto" w:sz="4" w:space="0"/>
              <w:bottom w:val="single" w:color="auto" w:sz="4" w:space="0"/>
              <w:right w:val="single" w:color="auto" w:sz="4" w:space="0"/>
            </w:tcBorders>
            <w:vAlign w:val="center"/>
          </w:tcPr>
          <w:p>
            <w:pPr>
              <w:snapToGrid w:val="0"/>
              <w:ind w:left="-13" w:leftChars="-6" w:firstLine="420" w:firstLineChars="200"/>
              <w:jc w:val="left"/>
              <w:rPr>
                <w:rFonts w:ascii="仿宋_GB2312" w:hAnsi="宋体" w:eastAsia="仿宋_GB2312"/>
                <w:color w:val="000000"/>
                <w:szCs w:val="21"/>
              </w:rPr>
            </w:pPr>
            <w:r>
              <w:rPr>
                <w:rFonts w:hint="eastAsia" w:ascii="仿宋_GB2312" w:hAnsi="宋体" w:eastAsia="仿宋_GB2312"/>
                <w:color w:val="000000"/>
                <w:szCs w:val="21"/>
              </w:rPr>
              <w:t>斜坡表层土层较薄，植被发育，岩土界面粗糙不平，土层不易滑动。根据赤平投影图分析，斜坡为反向坡，无不利结构面组合。根据现场调查，斜坡未见变形迹象。</w:t>
            </w:r>
          </w:p>
          <w:p>
            <w:pPr>
              <w:snapToGrid w:val="0"/>
              <w:ind w:left="-13" w:leftChars="-6" w:firstLine="420" w:firstLineChars="200"/>
              <w:jc w:val="left"/>
              <w:rPr>
                <w:rFonts w:ascii="仿宋_GB2312" w:hAnsi="宋体" w:eastAsia="仿宋_GB2312"/>
                <w:color w:val="000000"/>
                <w:szCs w:val="21"/>
              </w:rPr>
            </w:pPr>
            <w:r>
              <w:rPr>
                <w:rFonts w:hint="eastAsia" w:ascii="仿宋_GB2312" w:hAnsi="宋体" w:eastAsia="仿宋_GB2312"/>
                <w:color w:val="000000"/>
                <w:szCs w:val="21"/>
              </w:rPr>
              <w:t>因此斜坡现状稳定，发生地质灾害的可能性小，危险性小。</w:t>
            </w:r>
          </w:p>
          <w:p>
            <w:pPr>
              <w:snapToGrid w:val="0"/>
              <w:ind w:firstLine="315" w:firstLineChars="150"/>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9" w:hRule="exact"/>
          <w:jc w:val="center"/>
        </w:trPr>
        <w:tc>
          <w:tcPr>
            <w:tcW w:w="76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Cs w:val="21"/>
              </w:rPr>
            </w:pPr>
            <w:r>
              <w:rPr>
                <w:rFonts w:hint="eastAsia" w:ascii="仿宋_GB2312" w:hAnsi="宋体" w:eastAsia="仿宋_GB2312"/>
                <w:color w:val="000000"/>
                <w:szCs w:val="21"/>
              </w:rPr>
              <w:t>XP7</w:t>
            </w:r>
          </w:p>
          <w:p>
            <w:pPr>
              <w:snapToGrid w:val="0"/>
              <w:jc w:val="center"/>
              <w:rPr>
                <w:rFonts w:ascii="仿宋_GB2312" w:hAnsi="宋体" w:eastAsia="仿宋_GB2312"/>
                <w:color w:val="000000"/>
                <w:szCs w:val="21"/>
              </w:rPr>
            </w:pPr>
          </w:p>
        </w:tc>
        <w:tc>
          <w:tcPr>
            <w:tcW w:w="2766" w:type="dxa"/>
            <w:tcBorders>
              <w:top w:val="single" w:color="auto" w:sz="4" w:space="0"/>
              <w:left w:val="single" w:color="auto" w:sz="4" w:space="0"/>
              <w:bottom w:val="single" w:color="auto" w:sz="4" w:space="0"/>
              <w:right w:val="single" w:color="auto" w:sz="4" w:space="0"/>
            </w:tcBorders>
            <w:vAlign w:val="center"/>
          </w:tcPr>
          <w:p>
            <w:pPr>
              <w:snapToGrid w:val="0"/>
              <w:rPr>
                <w:rFonts w:ascii="仿宋_GB2312" w:hAnsi="宋体" w:eastAsia="仿宋_GB2312"/>
                <w:color w:val="000000"/>
                <w:szCs w:val="21"/>
              </w:rPr>
            </w:pPr>
            <w:r>
              <w:rPr>
                <w:rFonts w:hint="eastAsia" w:ascii="仿宋_GB2312" w:hAnsi="宋体" w:eastAsia="仿宋_GB2312"/>
                <w:color w:val="000000"/>
                <w:szCs w:val="21"/>
              </w:rPr>
              <w:t>斜坡长为123m，宽为190m，高为40m，坡向为20°，坡角为21°，基岩为泥岩、砂岩。</w:t>
            </w:r>
          </w:p>
          <w:p>
            <w:pPr>
              <w:snapToGrid w:val="0"/>
              <w:rPr>
                <w:rFonts w:ascii="仿宋_GB2312" w:hAnsi="宋体" w:eastAsia="仿宋_GB2312"/>
                <w:color w:val="000000"/>
                <w:szCs w:val="21"/>
              </w:rPr>
            </w:pPr>
            <w:r>
              <w:rPr>
                <w:rFonts w:hint="eastAsia" w:ascii="仿宋_GB2312" w:hAnsi="宋体" w:eastAsia="仿宋_GB2312"/>
                <w:color w:val="000000"/>
                <w:szCs w:val="21"/>
              </w:rPr>
              <w:t>1.YC产状：312°∠18°</w:t>
            </w:r>
          </w:p>
          <w:p>
            <w:pPr>
              <w:snapToGrid w:val="0"/>
              <w:rPr>
                <w:rFonts w:ascii="仿宋_GB2312" w:hAnsi="宋体" w:eastAsia="仿宋_GB2312"/>
                <w:color w:val="000000"/>
                <w:szCs w:val="21"/>
              </w:rPr>
            </w:pPr>
            <w:r>
              <w:rPr>
                <w:rFonts w:hint="eastAsia" w:ascii="仿宋_GB2312" w:hAnsi="宋体" w:eastAsia="仿宋_GB2312"/>
                <w:color w:val="000000"/>
                <w:szCs w:val="21"/>
              </w:rPr>
              <w:t xml:space="preserve">2.LX1产状：140°∠87°    </w:t>
            </w:r>
          </w:p>
          <w:p>
            <w:pPr>
              <w:snapToGrid w:val="0"/>
              <w:rPr>
                <w:rFonts w:ascii="仿宋_GB2312" w:hAnsi="宋体" w:eastAsia="仿宋_GB2312"/>
                <w:color w:val="000000"/>
                <w:szCs w:val="21"/>
              </w:rPr>
            </w:pPr>
            <w:r>
              <w:rPr>
                <w:rFonts w:hint="eastAsia" w:ascii="仿宋_GB2312" w:hAnsi="宋体" w:eastAsia="仿宋_GB2312"/>
                <w:color w:val="000000"/>
                <w:szCs w:val="21"/>
              </w:rPr>
              <w:t>3.LX2产状：30°∠84°</w:t>
            </w:r>
          </w:p>
          <w:p>
            <w:pPr>
              <w:snapToGrid w:val="0"/>
              <w:rPr>
                <w:rFonts w:ascii="仿宋_GB2312" w:hAnsi="宋体" w:eastAsia="仿宋_GB2312"/>
                <w:color w:val="000000"/>
                <w:szCs w:val="21"/>
              </w:rPr>
            </w:pPr>
            <w:r>
              <w:rPr>
                <w:rFonts w:hint="eastAsia" w:ascii="仿宋_GB2312" w:hAnsi="宋体" w:eastAsia="仿宋_GB2312"/>
                <w:color w:val="000000"/>
                <w:szCs w:val="21"/>
              </w:rPr>
              <w:t>4.XP产状：20°∠18°</w:t>
            </w:r>
          </w:p>
        </w:tc>
        <w:tc>
          <w:tcPr>
            <w:tcW w:w="2375" w:type="dxa"/>
            <w:tcBorders>
              <w:top w:val="single" w:color="auto" w:sz="4" w:space="0"/>
              <w:left w:val="single" w:color="auto" w:sz="4" w:space="0"/>
              <w:bottom w:val="single" w:color="auto" w:sz="4" w:space="0"/>
              <w:right w:val="single" w:color="auto" w:sz="4" w:space="0"/>
            </w:tcBorders>
            <w:vAlign w:val="center"/>
          </w:tcPr>
          <w:p>
            <w:pPr>
              <w:snapToGrid w:val="0"/>
            </w:pPr>
            <w:r>
              <w:drawing>
                <wp:inline distT="0" distB="0" distL="114300" distR="114300">
                  <wp:extent cx="1366520" cy="1398270"/>
                  <wp:effectExtent l="0" t="0" r="508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5"/>
                          <a:stretch>
                            <a:fillRect/>
                          </a:stretch>
                        </pic:blipFill>
                        <pic:spPr>
                          <a:xfrm>
                            <a:off x="0" y="0"/>
                            <a:ext cx="1366520" cy="1398270"/>
                          </a:xfrm>
                          <a:prstGeom prst="rect">
                            <a:avLst/>
                          </a:prstGeom>
                          <a:noFill/>
                          <a:ln>
                            <a:noFill/>
                          </a:ln>
                        </pic:spPr>
                      </pic:pic>
                    </a:graphicData>
                  </a:graphic>
                </wp:inline>
              </w:drawing>
            </w:r>
          </w:p>
        </w:tc>
        <w:tc>
          <w:tcPr>
            <w:tcW w:w="3504" w:type="dxa"/>
            <w:tcBorders>
              <w:top w:val="single" w:color="auto" w:sz="4" w:space="0"/>
              <w:left w:val="single" w:color="auto" w:sz="4" w:space="0"/>
              <w:bottom w:val="single" w:color="auto" w:sz="4" w:space="0"/>
              <w:right w:val="single" w:color="auto" w:sz="4" w:space="0"/>
            </w:tcBorders>
            <w:vAlign w:val="center"/>
          </w:tcPr>
          <w:p>
            <w:pPr>
              <w:snapToGrid w:val="0"/>
              <w:ind w:left="-13" w:leftChars="-6" w:firstLine="420" w:firstLineChars="200"/>
              <w:jc w:val="left"/>
              <w:rPr>
                <w:rFonts w:ascii="仿宋_GB2312" w:hAnsi="宋体" w:eastAsia="仿宋_GB2312"/>
                <w:color w:val="000000"/>
                <w:szCs w:val="21"/>
              </w:rPr>
            </w:pPr>
            <w:r>
              <w:rPr>
                <w:rFonts w:hint="eastAsia" w:ascii="仿宋_GB2312" w:hAnsi="宋体" w:eastAsia="仿宋_GB2312"/>
                <w:color w:val="000000"/>
                <w:szCs w:val="21"/>
              </w:rPr>
              <w:t>斜坡表层土层较薄，植被发育，岩土界面粗糙不平，土层不易滑动。根据赤平投影图分析，斜坡为切向坡，无不利结构面组合。根据现场调查，斜坡未见变形迹象。</w:t>
            </w:r>
          </w:p>
          <w:p>
            <w:pPr>
              <w:snapToGrid w:val="0"/>
              <w:ind w:left="-13" w:leftChars="-6" w:firstLine="420" w:firstLineChars="200"/>
              <w:jc w:val="left"/>
              <w:rPr>
                <w:rFonts w:ascii="仿宋_GB2312" w:hAnsi="宋体" w:eastAsia="仿宋_GB2312"/>
                <w:color w:val="000000"/>
                <w:szCs w:val="21"/>
              </w:rPr>
            </w:pPr>
            <w:r>
              <w:rPr>
                <w:rFonts w:hint="eastAsia" w:ascii="仿宋_GB2312" w:hAnsi="宋体" w:eastAsia="仿宋_GB2312"/>
                <w:color w:val="000000"/>
                <w:szCs w:val="21"/>
              </w:rPr>
              <w:t>因此斜坡现状稳定，发生地质灾害的可能性小，危险性小。</w:t>
            </w:r>
          </w:p>
          <w:p>
            <w:pPr>
              <w:snapToGrid w:val="0"/>
              <w:ind w:firstLine="315" w:firstLineChars="150"/>
              <w:rPr>
                <w:rFonts w:ascii="仿宋_GB2312" w:hAnsi="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9" w:hRule="exact"/>
          <w:jc w:val="center"/>
        </w:trPr>
        <w:tc>
          <w:tcPr>
            <w:tcW w:w="76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Cs w:val="21"/>
              </w:rPr>
            </w:pPr>
            <w:r>
              <w:rPr>
                <w:rFonts w:hint="eastAsia" w:ascii="仿宋_GB2312" w:hAnsi="宋体" w:eastAsia="仿宋_GB2312"/>
                <w:color w:val="000000"/>
                <w:szCs w:val="21"/>
              </w:rPr>
              <w:t>BP1</w:t>
            </w:r>
          </w:p>
          <w:p>
            <w:pPr>
              <w:snapToGrid w:val="0"/>
              <w:jc w:val="center"/>
              <w:rPr>
                <w:rFonts w:ascii="仿宋_GB2312" w:hAnsi="宋体" w:eastAsia="仿宋_GB2312"/>
                <w:color w:val="000000"/>
                <w:szCs w:val="21"/>
              </w:rPr>
            </w:pPr>
          </w:p>
        </w:tc>
        <w:tc>
          <w:tcPr>
            <w:tcW w:w="2766" w:type="dxa"/>
            <w:tcBorders>
              <w:top w:val="single" w:color="auto" w:sz="4" w:space="0"/>
              <w:left w:val="single" w:color="auto" w:sz="4" w:space="0"/>
              <w:bottom w:val="single" w:color="auto" w:sz="4" w:space="0"/>
              <w:right w:val="single" w:color="auto" w:sz="4" w:space="0"/>
            </w:tcBorders>
            <w:vAlign w:val="center"/>
          </w:tcPr>
          <w:p>
            <w:pPr>
              <w:snapToGrid w:val="0"/>
              <w:rPr>
                <w:rFonts w:ascii="仿宋_GB2312" w:hAnsi="宋体" w:eastAsia="仿宋_GB2312"/>
                <w:color w:val="000000"/>
                <w:szCs w:val="21"/>
              </w:rPr>
            </w:pPr>
            <w:r>
              <w:rPr>
                <w:rFonts w:hint="eastAsia" w:ascii="仿宋_GB2312" w:hAnsi="宋体" w:eastAsia="仿宋_GB2312"/>
                <w:color w:val="000000"/>
                <w:szCs w:val="21"/>
              </w:rPr>
              <w:t>斜坡长为217m，高为2-13m，坡向为357°，坡角为90°，基岩为砂岩。</w:t>
            </w:r>
          </w:p>
          <w:p>
            <w:pPr>
              <w:snapToGrid w:val="0"/>
              <w:rPr>
                <w:rFonts w:ascii="仿宋_GB2312" w:hAnsi="宋体" w:eastAsia="仿宋_GB2312"/>
                <w:color w:val="000000"/>
                <w:szCs w:val="21"/>
              </w:rPr>
            </w:pPr>
            <w:r>
              <w:rPr>
                <w:rFonts w:hint="eastAsia" w:ascii="仿宋_GB2312" w:hAnsi="宋体" w:eastAsia="仿宋_GB2312"/>
                <w:color w:val="000000"/>
                <w:szCs w:val="21"/>
              </w:rPr>
              <w:t>1.YC产状：312°∠18°</w:t>
            </w:r>
          </w:p>
          <w:p>
            <w:pPr>
              <w:snapToGrid w:val="0"/>
              <w:rPr>
                <w:rFonts w:ascii="仿宋_GB2312" w:hAnsi="宋体" w:eastAsia="仿宋_GB2312"/>
                <w:color w:val="000000"/>
                <w:szCs w:val="21"/>
              </w:rPr>
            </w:pPr>
            <w:r>
              <w:rPr>
                <w:rFonts w:hint="eastAsia" w:ascii="仿宋_GB2312" w:hAnsi="宋体" w:eastAsia="仿宋_GB2312"/>
                <w:color w:val="000000"/>
                <w:szCs w:val="21"/>
              </w:rPr>
              <w:t xml:space="preserve">2.LX1产状：140°∠87°    </w:t>
            </w:r>
          </w:p>
          <w:p>
            <w:pPr>
              <w:snapToGrid w:val="0"/>
              <w:rPr>
                <w:rFonts w:ascii="仿宋_GB2312" w:hAnsi="宋体" w:eastAsia="仿宋_GB2312"/>
                <w:color w:val="000000"/>
                <w:szCs w:val="21"/>
              </w:rPr>
            </w:pPr>
            <w:r>
              <w:rPr>
                <w:rFonts w:hint="eastAsia" w:ascii="仿宋_GB2312" w:hAnsi="宋体" w:eastAsia="仿宋_GB2312"/>
                <w:color w:val="000000"/>
                <w:szCs w:val="21"/>
              </w:rPr>
              <w:t>3.LX2产状：30°∠84°</w:t>
            </w:r>
          </w:p>
          <w:p>
            <w:pPr>
              <w:snapToGrid w:val="0"/>
              <w:rPr>
                <w:rFonts w:ascii="仿宋_GB2312" w:hAnsi="宋体" w:eastAsia="仿宋_GB2312"/>
                <w:color w:val="000000"/>
                <w:szCs w:val="21"/>
              </w:rPr>
            </w:pPr>
            <w:r>
              <w:rPr>
                <w:rFonts w:hint="eastAsia" w:ascii="仿宋_GB2312" w:hAnsi="宋体" w:eastAsia="仿宋_GB2312"/>
                <w:color w:val="000000"/>
                <w:szCs w:val="21"/>
              </w:rPr>
              <w:t>4.XP产状：357°∠90°</w:t>
            </w:r>
          </w:p>
        </w:tc>
        <w:tc>
          <w:tcPr>
            <w:tcW w:w="2375" w:type="dxa"/>
            <w:tcBorders>
              <w:top w:val="single" w:color="auto" w:sz="4" w:space="0"/>
              <w:left w:val="single" w:color="auto" w:sz="4" w:space="0"/>
              <w:bottom w:val="single" w:color="auto" w:sz="4" w:space="0"/>
              <w:right w:val="single" w:color="auto" w:sz="4" w:space="0"/>
            </w:tcBorders>
            <w:vAlign w:val="center"/>
          </w:tcPr>
          <w:p>
            <w:pPr>
              <w:snapToGrid w:val="0"/>
            </w:pPr>
            <w:r>
              <w:drawing>
                <wp:inline distT="0" distB="0" distL="114300" distR="114300">
                  <wp:extent cx="1369695" cy="1426210"/>
                  <wp:effectExtent l="0" t="0" r="1905" b="254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6"/>
                          <a:stretch>
                            <a:fillRect/>
                          </a:stretch>
                        </pic:blipFill>
                        <pic:spPr>
                          <a:xfrm>
                            <a:off x="0" y="0"/>
                            <a:ext cx="1369695" cy="1426210"/>
                          </a:xfrm>
                          <a:prstGeom prst="rect">
                            <a:avLst/>
                          </a:prstGeom>
                          <a:noFill/>
                          <a:ln>
                            <a:noFill/>
                          </a:ln>
                        </pic:spPr>
                      </pic:pic>
                    </a:graphicData>
                  </a:graphic>
                </wp:inline>
              </w:drawing>
            </w:r>
          </w:p>
        </w:tc>
        <w:tc>
          <w:tcPr>
            <w:tcW w:w="3504" w:type="dxa"/>
            <w:tcBorders>
              <w:top w:val="single" w:color="auto" w:sz="4" w:space="0"/>
              <w:left w:val="single" w:color="auto" w:sz="4" w:space="0"/>
              <w:bottom w:val="single" w:color="auto" w:sz="4" w:space="0"/>
              <w:right w:val="single" w:color="auto" w:sz="4" w:space="0"/>
            </w:tcBorders>
            <w:vAlign w:val="center"/>
          </w:tcPr>
          <w:p>
            <w:pPr>
              <w:snapToGrid w:val="0"/>
              <w:ind w:left="-13" w:leftChars="-6" w:firstLine="420" w:firstLineChars="200"/>
              <w:jc w:val="left"/>
              <w:rPr>
                <w:rFonts w:ascii="仿宋_GB2312" w:hAnsi="宋体" w:eastAsia="仿宋_GB2312"/>
                <w:color w:val="000000"/>
                <w:szCs w:val="21"/>
              </w:rPr>
            </w:pPr>
          </w:p>
          <w:p>
            <w:pPr>
              <w:snapToGrid w:val="0"/>
              <w:ind w:left="-13" w:leftChars="-6" w:firstLine="420" w:firstLineChars="200"/>
              <w:jc w:val="left"/>
              <w:rPr>
                <w:rFonts w:ascii="仿宋_GB2312" w:hAnsi="宋体" w:eastAsia="仿宋_GB2312"/>
                <w:color w:val="000000"/>
                <w:szCs w:val="21"/>
              </w:rPr>
            </w:pPr>
            <w:r>
              <w:rPr>
                <w:rFonts w:hint="eastAsia" w:ascii="仿宋_GB2312" w:hAnsi="宋体" w:eastAsia="仿宋_GB2312"/>
                <w:color w:val="000000"/>
                <w:szCs w:val="21"/>
              </w:rPr>
              <w:t>边坡为修建道路形成的挖方岩质边坡，出露基岩为砂岩根据赤平投影图分析，边坡为切向坡，岩层切向临空且倾角为18°。边坡局部可能发生滑塌。根据现场调查，边坡未见变形迹象。</w:t>
            </w:r>
          </w:p>
          <w:p>
            <w:pPr>
              <w:snapToGrid w:val="0"/>
              <w:ind w:left="-13" w:leftChars="-6" w:firstLine="420" w:firstLineChars="200"/>
              <w:jc w:val="left"/>
              <w:rPr>
                <w:rFonts w:ascii="仿宋_GB2312" w:hAnsi="宋体" w:eastAsia="仿宋_GB2312"/>
                <w:color w:val="000000"/>
                <w:szCs w:val="21"/>
              </w:rPr>
            </w:pPr>
            <w:r>
              <w:rPr>
                <w:rFonts w:hint="eastAsia" w:ascii="仿宋_GB2312" w:hAnsi="宋体" w:eastAsia="仿宋_GB2312"/>
                <w:color w:val="000000"/>
                <w:szCs w:val="21"/>
              </w:rPr>
              <w:t>因此斜坡现状基本稳定，发生地质灾害的可能性中等，危险性小。</w:t>
            </w:r>
          </w:p>
          <w:p>
            <w:pPr>
              <w:snapToGrid w:val="0"/>
              <w:ind w:firstLine="315" w:firstLineChars="150"/>
              <w:rPr>
                <w:rFonts w:ascii="仿宋_GB2312" w:hAnsi="宋体" w:eastAsia="仿宋_GB2312"/>
                <w:color w:val="000000"/>
                <w:szCs w:val="21"/>
              </w:rPr>
            </w:pPr>
          </w:p>
        </w:tc>
      </w:tr>
    </w:tbl>
    <w:p>
      <w:pPr>
        <w:adjustRightInd w:val="0"/>
        <w:snapToGrid w:val="0"/>
        <w:spacing w:line="360" w:lineRule="auto"/>
        <w:ind w:firstLine="560" w:firstLineChars="200"/>
        <w:rPr>
          <w:rFonts w:ascii="仿宋_GB2312" w:eastAsia="仿宋_GB2312"/>
          <w:sz w:val="28"/>
          <w:szCs w:val="28"/>
        </w:rPr>
      </w:pPr>
    </w:p>
    <w:p>
      <w:pPr>
        <w:spacing w:line="360" w:lineRule="auto"/>
        <w:ind w:firstLine="560" w:firstLineChars="200"/>
        <w:rPr>
          <w:rFonts w:ascii="仿宋_GB2312" w:eastAsia="仿宋_GB2312"/>
          <w:sz w:val="28"/>
        </w:rPr>
      </w:pPr>
      <w:r>
        <w:rPr>
          <w:rFonts w:hint="eastAsia" w:ascii="仿宋_GB2312" w:hAnsi="宋体" w:eastAsia="仿宋_GB2312"/>
          <w:color w:val="000000"/>
          <w:sz w:val="28"/>
          <w:szCs w:val="28"/>
        </w:rPr>
        <w:t>综上所述；该评估区斜边坡现状稳定，发生地质灾害的可能性中等，危险性小。</w:t>
      </w:r>
    </w:p>
    <w:p>
      <w:pPr>
        <w:pStyle w:val="3"/>
        <w:spacing w:before="240" w:after="240" w:line="420" w:lineRule="exact"/>
        <w:rPr>
          <w:rFonts w:ascii="仿宋_GB2312" w:eastAsia="仿宋_GB2312"/>
          <w:bCs w:val="0"/>
          <w:kern w:val="30"/>
          <w:sz w:val="30"/>
          <w:szCs w:val="24"/>
        </w:rPr>
      </w:pPr>
      <w:bookmarkStart w:id="64" w:name="_Toc275874744"/>
      <w:bookmarkStart w:id="65" w:name="_Toc86860545"/>
      <w:bookmarkStart w:id="66" w:name="_Toc453452485"/>
      <w:bookmarkStart w:id="67" w:name="_Toc21408"/>
      <w:r>
        <w:rPr>
          <w:rFonts w:hint="eastAsia" w:ascii="仿宋_GB2312" w:eastAsia="仿宋_GB2312"/>
          <w:bCs w:val="0"/>
          <w:kern w:val="30"/>
          <w:sz w:val="30"/>
          <w:szCs w:val="24"/>
        </w:rPr>
        <w:t>5.2含水层</w:t>
      </w:r>
      <w:bookmarkEnd w:id="64"/>
      <w:bookmarkEnd w:id="65"/>
      <w:r>
        <w:rPr>
          <w:rFonts w:hint="eastAsia" w:ascii="仿宋_GB2312" w:eastAsia="仿宋_GB2312"/>
          <w:bCs w:val="0"/>
          <w:kern w:val="30"/>
          <w:sz w:val="30"/>
          <w:szCs w:val="24"/>
        </w:rPr>
        <w:t>破坏</w:t>
      </w:r>
      <w:bookmarkEnd w:id="66"/>
      <w:bookmarkEnd w:id="67"/>
    </w:p>
    <w:p>
      <w:pPr>
        <w:spacing w:line="360" w:lineRule="auto"/>
        <w:ind w:firstLine="560" w:firstLineChars="200"/>
        <w:rPr>
          <w:rFonts w:ascii="仿宋_GB2312" w:eastAsia="仿宋_GB2312"/>
          <w:sz w:val="28"/>
        </w:rPr>
      </w:pPr>
      <w:bookmarkStart w:id="68" w:name="_Toc275874745"/>
      <w:r>
        <w:rPr>
          <w:rFonts w:hint="eastAsia" w:ascii="仿宋_GB2312" w:eastAsia="仿宋_GB2312"/>
          <w:sz w:val="28"/>
        </w:rPr>
        <w:t>根据现场调查了解，结合扶欢循环经济产业园规划及土地规划，未来建设在评估区内为地表浅层的挖填，不会对深层含水层产生破坏。</w:t>
      </w:r>
    </w:p>
    <w:p>
      <w:pPr>
        <w:pStyle w:val="3"/>
        <w:spacing w:before="240" w:after="240" w:line="420" w:lineRule="exact"/>
        <w:rPr>
          <w:rFonts w:ascii="仿宋_GB2312" w:eastAsia="仿宋_GB2312"/>
          <w:bCs w:val="0"/>
          <w:kern w:val="30"/>
          <w:sz w:val="30"/>
          <w:szCs w:val="24"/>
        </w:rPr>
      </w:pPr>
      <w:bookmarkStart w:id="69" w:name="_Toc427925622"/>
      <w:bookmarkStart w:id="70" w:name="_Toc453452486"/>
      <w:bookmarkStart w:id="71" w:name="_Toc32142"/>
      <w:r>
        <w:rPr>
          <w:rFonts w:hint="eastAsia" w:ascii="仿宋_GB2312" w:eastAsia="仿宋_GB2312"/>
          <w:bCs w:val="0"/>
          <w:kern w:val="30"/>
          <w:sz w:val="30"/>
          <w:szCs w:val="24"/>
        </w:rPr>
        <w:t>5.3地下空间</w:t>
      </w:r>
      <w:bookmarkEnd w:id="69"/>
      <w:r>
        <w:rPr>
          <w:rFonts w:hint="eastAsia" w:ascii="仿宋_GB2312" w:eastAsia="仿宋_GB2312"/>
          <w:bCs w:val="0"/>
          <w:kern w:val="30"/>
          <w:sz w:val="30"/>
          <w:szCs w:val="24"/>
        </w:rPr>
        <w:t>的影响</w:t>
      </w:r>
      <w:bookmarkEnd w:id="70"/>
      <w:bookmarkEnd w:id="71"/>
    </w:p>
    <w:p>
      <w:pPr>
        <w:pStyle w:val="13"/>
        <w:adjustRightInd w:val="0"/>
        <w:snapToGrid w:val="0"/>
        <w:spacing w:line="360" w:lineRule="auto"/>
        <w:rPr>
          <w:rFonts w:ascii="仿宋_GB2312" w:eastAsia="仿宋_GB2312"/>
          <w:szCs w:val="36"/>
        </w:rPr>
      </w:pPr>
      <w:r>
        <w:rPr>
          <w:rFonts w:hint="eastAsia" w:ascii="仿宋_GB2312" w:eastAsia="仿宋_GB2312"/>
        </w:rPr>
        <w:t>根据收集资料和现场调查，评估区范围内无地下洞室。</w:t>
      </w:r>
    </w:p>
    <w:p>
      <w:pPr>
        <w:pStyle w:val="3"/>
        <w:spacing w:before="240" w:after="240" w:line="420" w:lineRule="exact"/>
        <w:rPr>
          <w:rFonts w:ascii="仿宋_GB2312" w:eastAsia="仿宋_GB2312"/>
          <w:bCs w:val="0"/>
          <w:kern w:val="30"/>
          <w:sz w:val="30"/>
          <w:szCs w:val="24"/>
        </w:rPr>
      </w:pPr>
      <w:bookmarkStart w:id="72" w:name="_Toc427925623"/>
      <w:bookmarkStart w:id="73" w:name="_Toc453452487"/>
      <w:bookmarkStart w:id="74" w:name="_Toc29875"/>
      <w:r>
        <w:rPr>
          <w:rFonts w:hint="eastAsia" w:ascii="仿宋_GB2312" w:eastAsia="仿宋_GB2312"/>
          <w:bCs w:val="0"/>
          <w:kern w:val="30"/>
          <w:sz w:val="30"/>
          <w:szCs w:val="24"/>
        </w:rPr>
        <w:t>5.4地表水</w:t>
      </w:r>
      <w:bookmarkEnd w:id="72"/>
      <w:bookmarkEnd w:id="73"/>
      <w:bookmarkEnd w:id="74"/>
    </w:p>
    <w:p>
      <w:pPr>
        <w:spacing w:line="360" w:lineRule="auto"/>
        <w:ind w:firstLine="560" w:firstLineChars="200"/>
        <w:rPr>
          <w:rFonts w:ascii="仿宋_GB2312" w:eastAsia="仿宋_GB2312"/>
          <w:sz w:val="28"/>
          <w:szCs w:val="28"/>
        </w:rPr>
      </w:pPr>
      <w:r>
        <w:rPr>
          <w:rFonts w:hint="eastAsia" w:ascii="仿宋_GB2312" w:hAnsi="宋体" w:eastAsia="仿宋_GB2312"/>
          <w:sz w:val="28"/>
        </w:rPr>
        <w:t>评估区内主要的地表水为溱溪河，发源于青年镇罗争坪，流经关坝镇至扶欢镇，流经扶欢场至两河口注入綦江。全长26.1公里，多年平均流量2.55立方米∕秒，落差830米，流域面积134.2平方公里。</w:t>
      </w:r>
      <w:r>
        <w:rPr>
          <w:rFonts w:hint="eastAsia" w:ascii="仿宋_GB2312" w:eastAsia="仿宋_GB2312"/>
          <w:sz w:val="28"/>
          <w:szCs w:val="28"/>
        </w:rPr>
        <w:t>常年水位471m，</w:t>
      </w:r>
      <w:r>
        <w:rPr>
          <w:rFonts w:hint="eastAsia" w:ascii="仿宋_GB2312" w:hAnsi="宋体" w:eastAsia="仿宋_GB2312"/>
          <w:sz w:val="28"/>
          <w:szCs w:val="28"/>
        </w:rPr>
        <w:t>一般洪水位约</w:t>
      </w:r>
      <w:r>
        <w:rPr>
          <w:rFonts w:hint="eastAsia" w:ascii="仿宋_GB2312" w:eastAsia="仿宋_GB2312"/>
          <w:sz w:val="28"/>
          <w:szCs w:val="28"/>
        </w:rPr>
        <w:t>473m。</w:t>
      </w:r>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调查区分布有部分人工鱼塘，其水位、水体补给与排泄均系人为控制，水量有限。</w:t>
      </w:r>
    </w:p>
    <w:p>
      <w:pPr>
        <w:pStyle w:val="3"/>
        <w:spacing w:before="240" w:after="240" w:line="420" w:lineRule="exact"/>
        <w:rPr>
          <w:rFonts w:ascii="仿宋_GB2312" w:eastAsia="仿宋_GB2312"/>
          <w:bCs w:val="0"/>
          <w:kern w:val="30"/>
          <w:sz w:val="30"/>
          <w:szCs w:val="24"/>
        </w:rPr>
      </w:pPr>
      <w:bookmarkStart w:id="75" w:name="_Toc86860546"/>
      <w:bookmarkStart w:id="76" w:name="_Toc453452488"/>
      <w:bookmarkStart w:id="77" w:name="_Toc15400"/>
      <w:r>
        <w:rPr>
          <w:rFonts w:hint="eastAsia" w:ascii="仿宋_GB2312" w:eastAsia="仿宋_GB2312"/>
          <w:bCs w:val="0"/>
          <w:kern w:val="30"/>
          <w:sz w:val="30"/>
          <w:szCs w:val="24"/>
        </w:rPr>
        <w:t>5.5地质遗迹、自然和人文景观</w:t>
      </w:r>
      <w:bookmarkEnd w:id="68"/>
      <w:r>
        <w:rPr>
          <w:rFonts w:hint="eastAsia" w:ascii="仿宋_GB2312" w:eastAsia="仿宋_GB2312"/>
          <w:bCs w:val="0"/>
          <w:kern w:val="30"/>
          <w:sz w:val="30"/>
          <w:szCs w:val="24"/>
        </w:rPr>
        <w:t>、</w:t>
      </w:r>
      <w:bookmarkEnd w:id="75"/>
      <w:r>
        <w:rPr>
          <w:rFonts w:hint="eastAsia" w:ascii="仿宋_GB2312" w:eastAsia="仿宋_GB2312"/>
          <w:bCs w:val="0"/>
          <w:kern w:val="30"/>
          <w:sz w:val="30"/>
          <w:szCs w:val="24"/>
        </w:rPr>
        <w:t>风景名胜区</w:t>
      </w:r>
      <w:bookmarkEnd w:id="76"/>
      <w:bookmarkEnd w:id="77"/>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根据收集资料和现场调查，结合城市规划及土地规划，无其他地质遗迹、自然保护区和人文景观。</w:t>
      </w:r>
    </w:p>
    <w:p>
      <w:pPr>
        <w:pStyle w:val="3"/>
        <w:spacing w:before="240" w:after="240" w:line="360" w:lineRule="auto"/>
        <w:rPr>
          <w:rFonts w:ascii="仿宋_GB2312" w:eastAsia="仿宋_GB2312"/>
          <w:bCs w:val="0"/>
          <w:kern w:val="30"/>
          <w:sz w:val="30"/>
          <w:szCs w:val="24"/>
        </w:rPr>
      </w:pPr>
      <w:bookmarkStart w:id="78" w:name="_Toc31761"/>
      <w:bookmarkStart w:id="79" w:name="_Toc427925625"/>
      <w:bookmarkStart w:id="80" w:name="_Toc453452489"/>
      <w:r>
        <w:rPr>
          <w:rFonts w:hint="eastAsia" w:ascii="仿宋_GB2312" w:eastAsia="仿宋_GB2312"/>
          <w:bCs w:val="0"/>
          <w:kern w:val="30"/>
          <w:sz w:val="30"/>
          <w:szCs w:val="24"/>
        </w:rPr>
        <w:t>5.6土地资源及建构筑物</w:t>
      </w:r>
      <w:bookmarkEnd w:id="78"/>
      <w:bookmarkEnd w:id="79"/>
      <w:bookmarkEnd w:id="80"/>
    </w:p>
    <w:p>
      <w:pPr>
        <w:spacing w:line="360" w:lineRule="auto"/>
        <w:ind w:firstLine="560" w:firstLineChars="200"/>
        <w:rPr>
          <w:rFonts w:ascii="仿宋_GB2312" w:eastAsia="仿宋_GB2312"/>
          <w:sz w:val="28"/>
        </w:rPr>
      </w:pPr>
      <w:r>
        <w:rPr>
          <w:rFonts w:ascii="仿宋_GB2312" w:eastAsia="仿宋_GB2312"/>
          <w:sz w:val="28"/>
        </w:rPr>
        <w:t>评估区内土地资源主要为</w:t>
      </w:r>
      <w:r>
        <w:rPr>
          <w:rFonts w:hint="eastAsia" w:ascii="仿宋_GB2312" w:eastAsia="仿宋_GB2312"/>
          <w:sz w:val="28"/>
        </w:rPr>
        <w:t>农田、</w:t>
      </w:r>
      <w:r>
        <w:rPr>
          <w:rFonts w:ascii="仿宋_GB2312" w:eastAsia="仿宋_GB2312"/>
          <w:sz w:val="28"/>
        </w:rPr>
        <w:t>耕地</w:t>
      </w:r>
      <w:r>
        <w:rPr>
          <w:rFonts w:hint="eastAsia" w:ascii="仿宋_GB2312" w:eastAsia="仿宋_GB2312"/>
          <w:sz w:val="28"/>
        </w:rPr>
        <w:t>部分斜坡为荒地。</w:t>
      </w:r>
    </w:p>
    <w:p>
      <w:pPr>
        <w:spacing w:line="360" w:lineRule="auto"/>
        <w:ind w:firstLine="560" w:firstLineChars="200"/>
        <w:rPr>
          <w:rFonts w:ascii="仿宋_GB2312" w:eastAsia="仿宋_GB2312"/>
          <w:sz w:val="28"/>
        </w:rPr>
      </w:pPr>
      <w:r>
        <w:rPr>
          <w:rFonts w:hint="eastAsia" w:ascii="仿宋_GB2312" w:eastAsia="仿宋_GB2312"/>
          <w:sz w:val="28"/>
        </w:rPr>
        <w:t>评估区内主要构筑物为工业用地</w:t>
      </w:r>
      <w:r>
        <w:rPr>
          <w:rFonts w:ascii="仿宋_GB2312" w:eastAsia="仿宋_GB2312"/>
          <w:sz w:val="28"/>
        </w:rPr>
        <w:t>。</w:t>
      </w:r>
      <w:r>
        <w:rPr>
          <w:rFonts w:hint="eastAsia" w:ascii="仿宋_GB2312" w:eastAsia="仿宋_GB2312"/>
          <w:sz w:val="28"/>
        </w:rPr>
        <w:t>居民地和厂房较分散，规划区实施前应做好拆迁安置工作。</w:t>
      </w:r>
    </w:p>
    <w:p>
      <w:pPr>
        <w:pStyle w:val="3"/>
        <w:spacing w:before="240" w:after="240" w:line="360" w:lineRule="auto"/>
        <w:rPr>
          <w:rFonts w:ascii="仿宋_GB2312" w:eastAsia="仿宋_GB2312"/>
          <w:bCs w:val="0"/>
          <w:kern w:val="30"/>
          <w:sz w:val="30"/>
          <w:szCs w:val="24"/>
        </w:rPr>
      </w:pPr>
      <w:bookmarkStart w:id="81" w:name="_Toc78331420"/>
      <w:bookmarkStart w:id="82" w:name="_Toc453452490"/>
      <w:bookmarkStart w:id="83" w:name="_Toc427925626"/>
      <w:bookmarkStart w:id="84" w:name="_Toc25259"/>
      <w:r>
        <w:rPr>
          <w:rFonts w:hint="eastAsia" w:ascii="仿宋_GB2312" w:eastAsia="仿宋_GB2312"/>
          <w:bCs w:val="0"/>
          <w:kern w:val="30"/>
          <w:sz w:val="30"/>
          <w:szCs w:val="24"/>
        </w:rPr>
        <w:t>5.7小结</w:t>
      </w:r>
      <w:bookmarkEnd w:id="81"/>
      <w:bookmarkEnd w:id="82"/>
      <w:bookmarkEnd w:id="83"/>
      <w:bookmarkEnd w:id="84"/>
    </w:p>
    <w:p>
      <w:pPr>
        <w:spacing w:line="360" w:lineRule="auto"/>
        <w:ind w:firstLine="560" w:firstLineChars="200"/>
        <w:rPr>
          <w:rFonts w:ascii="仿宋_GB2312" w:eastAsia="仿宋_GB2312"/>
          <w:sz w:val="28"/>
        </w:rPr>
      </w:pPr>
      <w:r>
        <w:rPr>
          <w:rFonts w:hint="eastAsia" w:ascii="仿宋_GB2312" w:eastAsia="仿宋_GB2312"/>
          <w:sz w:val="28"/>
        </w:rPr>
        <w:t>评估区主要地质环境问题为规划拟建工程修建中对已有斜（边）坡及地质造成影响破坏.</w:t>
      </w:r>
    </w:p>
    <w:p>
      <w:pPr>
        <w:pStyle w:val="27"/>
        <w:adjustRightInd w:val="0"/>
        <w:snapToGrid w:val="0"/>
        <w:spacing w:line="360" w:lineRule="auto"/>
        <w:ind w:firstLine="573"/>
        <w:rPr>
          <w:rFonts w:ascii="仿宋_GB2312" w:eastAsia="仿宋_GB2312"/>
          <w:color w:val="000000"/>
          <w:lang w:val="eu-ES"/>
        </w:rPr>
      </w:pPr>
      <w:r>
        <w:rPr>
          <w:rFonts w:hint="eastAsia" w:ascii="仿宋_GB2312" w:eastAsia="仿宋_GB2312"/>
          <w:color w:val="000000"/>
          <w:lang w:val="eu-ES"/>
        </w:rPr>
        <w:t>通过调查，未见其他地质遗迹，未见区县级以上自然保护区、风景旅游区、森林公园和人文景观。</w:t>
      </w:r>
    </w:p>
    <w:p>
      <w:pPr>
        <w:pStyle w:val="2"/>
        <w:adjustRightInd w:val="0"/>
        <w:snapToGrid w:val="0"/>
        <w:spacing w:line="360" w:lineRule="auto"/>
        <w:ind w:firstLine="0"/>
        <w:rPr>
          <w:rFonts w:ascii="仿宋_GB2312" w:hAnsi="宋体" w:eastAsia="仿宋_GB2312"/>
          <w:b/>
          <w:bCs/>
          <w:i w:val="0"/>
          <w:iCs w:val="0"/>
          <w:sz w:val="36"/>
          <w:szCs w:val="36"/>
        </w:rPr>
      </w:pPr>
      <w:bookmarkStart w:id="85" w:name="_Toc16459"/>
      <w:r>
        <w:rPr>
          <w:rFonts w:hint="eastAsia" w:ascii="仿宋_GB2312" w:hAnsi="宋体" w:eastAsia="仿宋_GB2312"/>
          <w:b/>
          <w:bCs/>
          <w:i w:val="0"/>
          <w:iCs w:val="0"/>
          <w:sz w:val="36"/>
          <w:szCs w:val="36"/>
        </w:rPr>
        <w:t>6 地质灾害发生可能性分析</w:t>
      </w:r>
      <w:bookmarkEnd w:id="85"/>
    </w:p>
    <w:p>
      <w:pPr>
        <w:spacing w:line="360" w:lineRule="auto"/>
        <w:ind w:firstLine="560" w:firstLineChars="200"/>
        <w:rPr>
          <w:rFonts w:eastAsia="仿宋_GB2312"/>
          <w:sz w:val="28"/>
        </w:rPr>
      </w:pPr>
      <w:r>
        <w:rPr>
          <w:rFonts w:hint="eastAsia" w:eastAsia="仿宋_GB2312"/>
          <w:sz w:val="28"/>
        </w:rPr>
        <w:t>评估区存在的主要地质环境问题为：斜（边）坡的稳定性问题。</w:t>
      </w:r>
    </w:p>
    <w:p>
      <w:pPr>
        <w:spacing w:line="360" w:lineRule="auto"/>
        <w:rPr>
          <w:rFonts w:ascii="仿宋" w:hAnsi="仿宋" w:eastAsia="仿宋"/>
          <w:b/>
          <w:sz w:val="28"/>
          <w:szCs w:val="28"/>
        </w:rPr>
      </w:pPr>
      <w:r>
        <w:rPr>
          <w:rFonts w:hint="eastAsia" w:ascii="仿宋_GB2312" w:hAnsi="宋体" w:eastAsia="仿宋_GB2312"/>
          <w:b/>
          <w:sz w:val="28"/>
          <w:szCs w:val="28"/>
        </w:rPr>
        <w:t xml:space="preserve">1、斜（边）坡稳定性 </w:t>
      </w:r>
      <w:r>
        <w:rPr>
          <w:rFonts w:hint="eastAsia" w:ascii="仿宋" w:hAnsi="仿宋" w:eastAsia="仿宋"/>
          <w:b/>
          <w:sz w:val="28"/>
          <w:szCs w:val="28"/>
        </w:rPr>
        <w:t xml:space="preserve">  </w:t>
      </w:r>
    </w:p>
    <w:p>
      <w:pPr>
        <w:pStyle w:val="13"/>
        <w:spacing w:line="360" w:lineRule="auto"/>
        <w:rPr>
          <w:rFonts w:ascii="仿宋_GB2312" w:eastAsia="仿宋_GB2312"/>
        </w:rPr>
      </w:pPr>
      <w:r>
        <w:rPr>
          <w:rFonts w:hint="eastAsia" w:ascii="仿宋_GB2312" w:eastAsia="仿宋_GB2312"/>
        </w:rPr>
        <w:t>1）斜坡稳定性</w:t>
      </w:r>
    </w:p>
    <w:p>
      <w:pPr>
        <w:pStyle w:val="13"/>
        <w:spacing w:line="360" w:lineRule="auto"/>
        <w:rPr>
          <w:rFonts w:ascii="仿宋_GB2312" w:eastAsia="仿宋_GB2312"/>
        </w:rPr>
      </w:pPr>
      <w:r>
        <w:rPr>
          <w:rFonts w:hint="eastAsia" w:ascii="仿宋_GB2312" w:eastAsia="仿宋_GB2312"/>
        </w:rPr>
        <w:t>评估区内存在不同坡度的斜坡，坡度一般5-20°，局部25-30°，场地内存在顺层斜坡，且岩层倾角较缓。根据现场调查，评估区内存在两张构造裂隙，其中一组为软弱结构面且泥质充填（局部）。结合对评估区的走访调查，尚未出现明显变形迹象的自然斜坡整体稳定性较好。</w:t>
      </w:r>
    </w:p>
    <w:p>
      <w:pPr>
        <w:pStyle w:val="13"/>
        <w:spacing w:line="360" w:lineRule="auto"/>
        <w:rPr>
          <w:rFonts w:ascii="仿宋_GB2312" w:eastAsia="仿宋_GB2312"/>
        </w:rPr>
      </w:pPr>
      <w:r>
        <w:rPr>
          <w:rFonts w:hint="eastAsia" w:ascii="仿宋_GB2312" w:eastAsia="仿宋_GB2312"/>
        </w:rPr>
        <w:t>2）边坡稳定性</w:t>
      </w:r>
    </w:p>
    <w:p>
      <w:pPr>
        <w:pStyle w:val="13"/>
        <w:spacing w:line="360" w:lineRule="auto"/>
        <w:rPr>
          <w:rFonts w:ascii="仿宋_GB2312" w:eastAsia="仿宋_GB2312"/>
        </w:rPr>
      </w:pPr>
      <w:r>
        <w:rPr>
          <w:rFonts w:hint="eastAsia" w:ascii="仿宋_GB2312" w:eastAsia="仿宋_GB2312"/>
        </w:rPr>
        <w:t>用地区域内存在多处边坡，以场地整平及道路施工建设现场的岩质、土质边坡为主。道路边坡局部较高，但都已按设计坡率进行放坡处理，现状较为稳定。</w:t>
      </w:r>
    </w:p>
    <w:p>
      <w:pPr>
        <w:pStyle w:val="3"/>
        <w:spacing w:before="240" w:after="240" w:line="360" w:lineRule="auto"/>
        <w:rPr>
          <w:rFonts w:ascii="仿宋_GB2312" w:eastAsia="仿宋_GB2312"/>
          <w:bCs w:val="0"/>
          <w:kern w:val="30"/>
          <w:sz w:val="30"/>
          <w:szCs w:val="24"/>
        </w:rPr>
      </w:pPr>
      <w:bookmarkStart w:id="86" w:name="_Toc9685"/>
      <w:r>
        <w:rPr>
          <w:rFonts w:hint="eastAsia" w:ascii="仿宋_GB2312" w:eastAsia="仿宋_GB2312"/>
          <w:bCs w:val="0"/>
          <w:kern w:val="30"/>
          <w:sz w:val="30"/>
          <w:szCs w:val="24"/>
        </w:rPr>
        <w:t>6.1 地质灾害分区原则</w:t>
      </w:r>
      <w:bookmarkEnd w:id="86"/>
    </w:p>
    <w:p>
      <w:pPr>
        <w:spacing w:line="360" w:lineRule="auto"/>
        <w:ind w:firstLine="573"/>
        <w:rPr>
          <w:rFonts w:ascii="仿宋_GB2312" w:eastAsia="仿宋_GB2312"/>
          <w:color w:val="000000"/>
          <w:sz w:val="28"/>
        </w:rPr>
      </w:pPr>
      <w:r>
        <w:rPr>
          <w:rFonts w:hint="eastAsia" w:ascii="仿宋_GB2312" w:eastAsia="仿宋_GB2312"/>
          <w:color w:val="000000"/>
          <w:sz w:val="28"/>
          <w:szCs w:val="36"/>
        </w:rPr>
        <w:t>评估区地质环境较复杂，各区块地质环境条件有一定差异，将评估区进行宏观分区。各地块地质环境复杂程度，按各小区地质环境复杂程度分别确定。当不同地块地质环境判定因素及结果基本相同时，可归并在一起。</w:t>
      </w:r>
    </w:p>
    <w:p>
      <w:pPr>
        <w:pStyle w:val="10"/>
        <w:adjustRightInd w:val="0"/>
        <w:snapToGrid w:val="0"/>
        <w:spacing w:line="360" w:lineRule="auto"/>
        <w:ind w:firstLine="560" w:firstLineChars="200"/>
        <w:rPr>
          <w:rFonts w:ascii="仿宋_GB2312" w:eastAsia="仿宋_GB2312"/>
          <w:color w:val="000000"/>
          <w:szCs w:val="28"/>
        </w:rPr>
      </w:pPr>
      <w:r>
        <w:rPr>
          <w:rFonts w:hint="eastAsia" w:ascii="仿宋_GB2312" w:eastAsia="仿宋_GB2312"/>
          <w:color w:val="000000"/>
          <w:szCs w:val="28"/>
        </w:rPr>
        <w:t>评估区地质灾害发生可能性分区将遵循以下原则：</w:t>
      </w:r>
    </w:p>
    <w:p>
      <w:pPr>
        <w:pStyle w:val="10"/>
        <w:adjustRightInd w:val="0"/>
        <w:snapToGrid w:val="0"/>
        <w:spacing w:line="360" w:lineRule="auto"/>
        <w:ind w:firstLine="560" w:firstLineChars="200"/>
        <w:rPr>
          <w:rFonts w:ascii="仿宋_GB2312" w:eastAsia="仿宋_GB2312"/>
          <w:color w:val="000000"/>
          <w:szCs w:val="28"/>
        </w:rPr>
      </w:pPr>
      <w:r>
        <w:rPr>
          <w:rFonts w:hint="eastAsia" w:ascii="仿宋_GB2312" w:eastAsia="仿宋_GB2312"/>
          <w:color w:val="000000"/>
          <w:szCs w:val="28"/>
        </w:rPr>
        <w:t>(1) 微地形地貌的异同；</w:t>
      </w:r>
    </w:p>
    <w:p>
      <w:pPr>
        <w:spacing w:line="360" w:lineRule="auto"/>
        <w:ind w:firstLine="573"/>
        <w:rPr>
          <w:rFonts w:ascii="仿宋_GB2312" w:eastAsia="仿宋_GB2312"/>
          <w:color w:val="000000"/>
          <w:sz w:val="28"/>
          <w:szCs w:val="36"/>
        </w:rPr>
      </w:pPr>
      <w:r>
        <w:rPr>
          <w:rFonts w:hint="eastAsia" w:ascii="仿宋_GB2312" w:eastAsia="仿宋_GB2312"/>
          <w:color w:val="000000"/>
          <w:sz w:val="28"/>
          <w:szCs w:val="36"/>
        </w:rPr>
        <w:t>(2) 地质灾害发生可能性的异同；</w:t>
      </w:r>
    </w:p>
    <w:p>
      <w:pPr>
        <w:spacing w:line="360" w:lineRule="auto"/>
        <w:ind w:firstLine="573"/>
        <w:rPr>
          <w:rFonts w:ascii="仿宋_GB2312" w:eastAsia="仿宋_GB2312"/>
          <w:color w:val="000000"/>
          <w:sz w:val="28"/>
          <w:szCs w:val="36"/>
        </w:rPr>
      </w:pPr>
      <w:r>
        <w:rPr>
          <w:rFonts w:hint="eastAsia" w:ascii="仿宋_GB2312" w:eastAsia="仿宋_GB2312"/>
          <w:color w:val="000000"/>
          <w:sz w:val="28"/>
          <w:szCs w:val="36"/>
        </w:rPr>
        <w:t>(3) 人类工程活动改变或破坏地质环境强烈程度的异同，</w:t>
      </w:r>
    </w:p>
    <w:p>
      <w:pPr>
        <w:spacing w:line="360" w:lineRule="auto"/>
        <w:ind w:firstLine="573"/>
        <w:rPr>
          <w:rFonts w:ascii="仿宋_GB2312" w:eastAsia="仿宋_GB2312"/>
          <w:color w:val="000000"/>
          <w:sz w:val="28"/>
          <w:szCs w:val="36"/>
        </w:rPr>
      </w:pPr>
      <w:r>
        <w:rPr>
          <w:rFonts w:hint="eastAsia" w:ascii="仿宋_GB2312" w:eastAsia="仿宋_GB2312"/>
          <w:color w:val="000000"/>
          <w:sz w:val="28"/>
          <w:szCs w:val="36"/>
        </w:rPr>
        <w:t>(4)不良地质现象发育的区域单独分区。</w:t>
      </w:r>
    </w:p>
    <w:p>
      <w:pPr>
        <w:pStyle w:val="3"/>
        <w:spacing w:before="240" w:after="240" w:line="360" w:lineRule="auto"/>
        <w:rPr>
          <w:rFonts w:ascii="仿宋_GB2312" w:eastAsia="仿宋_GB2312"/>
          <w:bCs w:val="0"/>
          <w:kern w:val="30"/>
          <w:sz w:val="30"/>
          <w:szCs w:val="24"/>
        </w:rPr>
      </w:pPr>
      <w:bookmarkStart w:id="87" w:name="_Toc8683"/>
      <w:r>
        <w:rPr>
          <w:rFonts w:hint="eastAsia" w:ascii="仿宋_GB2312" w:eastAsia="仿宋_GB2312"/>
          <w:bCs w:val="0"/>
          <w:kern w:val="30"/>
          <w:sz w:val="30"/>
          <w:szCs w:val="24"/>
        </w:rPr>
        <w:t>6.2宏观分区及各区地质环境复杂程度</w:t>
      </w:r>
      <w:bookmarkEnd w:id="87"/>
    </w:p>
    <w:p>
      <w:pPr>
        <w:pStyle w:val="10"/>
        <w:adjustRightInd w:val="0"/>
        <w:snapToGrid w:val="0"/>
        <w:spacing w:line="360" w:lineRule="auto"/>
        <w:ind w:firstLine="560" w:firstLineChars="200"/>
        <w:rPr>
          <w:rFonts w:ascii="仿宋_GB2312" w:eastAsia="仿宋_GB2312"/>
          <w:color w:val="000000"/>
          <w:szCs w:val="28"/>
        </w:rPr>
      </w:pPr>
      <w:r>
        <w:rPr>
          <w:rFonts w:hint="eastAsia" w:ascii="仿宋_GB2312" w:eastAsia="仿宋_GB2312"/>
          <w:color w:val="000000"/>
          <w:szCs w:val="28"/>
        </w:rPr>
        <w:t>根据上述原则，并结合规划用地的红线分界。从宏观上对评估区进行划分。评估区的岩层倾角为16-22°。</w:t>
      </w:r>
    </w:p>
    <w:p>
      <w:pPr>
        <w:pStyle w:val="10"/>
        <w:adjustRightInd w:val="0"/>
        <w:snapToGrid w:val="0"/>
        <w:spacing w:line="360" w:lineRule="auto"/>
        <w:ind w:firstLine="560" w:firstLineChars="200"/>
        <w:rPr>
          <w:rFonts w:ascii="仿宋_GB2312" w:eastAsia="仿宋_GB2312"/>
          <w:color w:val="000000"/>
          <w:szCs w:val="28"/>
        </w:rPr>
      </w:pPr>
      <w:r>
        <w:rPr>
          <w:rFonts w:hint="eastAsia" w:ascii="仿宋_GB2312" w:eastAsia="仿宋_GB2312"/>
          <w:color w:val="000000"/>
          <w:szCs w:val="28"/>
        </w:rPr>
        <w:t>(1)先按照</w:t>
      </w:r>
      <w:r>
        <w:rPr>
          <w:rFonts w:hint="eastAsia" w:ascii="仿宋_GB2312" w:eastAsia="仿宋_GB2312"/>
          <w:b/>
          <w:color w:val="000000"/>
          <w:szCs w:val="28"/>
        </w:rPr>
        <w:t>原始地形的坡角</w:t>
      </w:r>
      <w:r>
        <w:rPr>
          <w:rFonts w:hint="eastAsia" w:ascii="仿宋_GB2312" w:eastAsia="仿宋_GB2312"/>
          <w:color w:val="000000"/>
          <w:szCs w:val="28"/>
        </w:rPr>
        <w:t>进行分区：</w:t>
      </w:r>
    </w:p>
    <w:p>
      <w:pPr>
        <w:pStyle w:val="10"/>
        <w:adjustRightInd w:val="0"/>
        <w:snapToGrid w:val="0"/>
        <w:spacing w:line="360" w:lineRule="auto"/>
        <w:ind w:firstLine="560" w:firstLineChars="200"/>
        <w:rPr>
          <w:rFonts w:ascii="仿宋_GB2312" w:eastAsia="仿宋_GB2312"/>
          <w:szCs w:val="36"/>
        </w:rPr>
      </w:pPr>
      <w:r>
        <w:rPr>
          <w:rFonts w:hint="eastAsia" w:ascii="仿宋_GB2312" w:eastAsia="仿宋_GB2312"/>
          <w:szCs w:val="36"/>
        </w:rPr>
        <w:t>地形总体坡角≥15°，＜30°的区域：</w:t>
      </w:r>
    </w:p>
    <w:p>
      <w:pPr>
        <w:pStyle w:val="10"/>
        <w:adjustRightInd w:val="0"/>
        <w:snapToGrid w:val="0"/>
        <w:spacing w:line="360" w:lineRule="auto"/>
        <w:ind w:left="708" w:leftChars="337" w:firstLine="280" w:firstLineChars="100"/>
        <w:rPr>
          <w:rFonts w:ascii="仿宋_GB2312" w:eastAsia="仿宋_GB2312"/>
          <w:szCs w:val="28"/>
        </w:rPr>
      </w:pPr>
      <w:r>
        <w:rPr>
          <w:rFonts w:hint="eastAsia" w:ascii="仿宋_GB2312" w:eastAsia="仿宋_GB2312"/>
          <w:szCs w:val="28"/>
        </w:rPr>
        <w:t>①不存在外倾</w:t>
      </w:r>
      <w:r>
        <w:rPr>
          <w:rFonts w:hint="eastAsia" w:ascii="仿宋_GB2312" w:eastAsia="仿宋_GB2312"/>
          <w:b/>
          <w:szCs w:val="36"/>
        </w:rPr>
        <w:t>贯通结构面的分区：</w:t>
      </w:r>
      <w:r>
        <w:rPr>
          <w:rFonts w:hint="eastAsia" w:ascii="仿宋_GB2312" w:eastAsia="仿宋_GB2312"/>
          <w:szCs w:val="36"/>
        </w:rPr>
        <w:t>（编号为</w:t>
      </w:r>
      <w:r>
        <w:rPr>
          <w:rFonts w:hint="eastAsia" w:ascii="仿宋_GB2312" w:eastAsia="仿宋_GB2312"/>
          <w:color w:val="000000" w:themeColor="text1"/>
          <w:szCs w:val="36"/>
        </w:rPr>
        <w:t>17、21</w:t>
      </w:r>
      <w:r>
        <w:rPr>
          <w:rFonts w:hint="eastAsia" w:ascii="仿宋_GB2312" w:eastAsia="仿宋_GB2312"/>
          <w:szCs w:val="36"/>
        </w:rPr>
        <w:t>）</w:t>
      </w:r>
      <w:r>
        <w:rPr>
          <w:rFonts w:hint="eastAsia" w:ascii="仿宋_GB2312" w:eastAsia="仿宋_GB2312"/>
          <w:szCs w:val="28"/>
        </w:rPr>
        <w:t>。</w:t>
      </w:r>
    </w:p>
    <w:p>
      <w:pPr>
        <w:pStyle w:val="10"/>
        <w:adjustRightInd w:val="0"/>
        <w:snapToGrid w:val="0"/>
        <w:spacing w:line="360" w:lineRule="auto"/>
        <w:ind w:left="920" w:firstLine="0"/>
        <w:rPr>
          <w:rFonts w:ascii="仿宋_GB2312" w:eastAsia="仿宋_GB2312"/>
          <w:b/>
          <w:szCs w:val="36"/>
        </w:rPr>
      </w:pPr>
      <w:r>
        <w:rPr>
          <w:rFonts w:hint="eastAsia" w:ascii="仿宋_GB2312" w:eastAsia="仿宋_GB2312"/>
          <w:szCs w:val="36"/>
        </w:rPr>
        <w:t>②存在外倾</w:t>
      </w:r>
      <w:r>
        <w:rPr>
          <w:rFonts w:hint="eastAsia" w:ascii="仿宋_GB2312" w:eastAsia="仿宋_GB2312"/>
          <w:b/>
          <w:szCs w:val="36"/>
        </w:rPr>
        <w:t>贯通结构面的分区如下：</w:t>
      </w:r>
    </w:p>
    <w:p>
      <w:pPr>
        <w:pStyle w:val="10"/>
        <w:adjustRightInd w:val="0"/>
        <w:snapToGrid w:val="0"/>
        <w:spacing w:line="360" w:lineRule="auto"/>
        <w:ind w:firstLine="840" w:firstLineChars="300"/>
        <w:rPr>
          <w:rFonts w:ascii="仿宋_GB2312" w:eastAsia="仿宋_GB2312"/>
          <w:szCs w:val="36"/>
        </w:rPr>
      </w:pPr>
      <w:r>
        <w:rPr>
          <w:rFonts w:hint="eastAsia" w:ascii="仿宋_GB2312" w:eastAsiaTheme="minorEastAsia"/>
          <w:color w:val="000000" w:themeColor="text1"/>
          <w:szCs w:val="36"/>
        </w:rPr>
        <w:t>局</w:t>
      </w:r>
      <w:r>
        <w:rPr>
          <w:rFonts w:ascii="仿宋_GB2312" w:eastAsiaTheme="minorEastAsia"/>
          <w:color w:val="000000" w:themeColor="text1"/>
          <w:szCs w:val="36"/>
        </w:rPr>
        <w:t>部</w:t>
      </w:r>
      <w:r>
        <w:rPr>
          <w:rFonts w:hint="eastAsia" w:ascii="仿宋_GB2312" w:eastAsia="仿宋_GB2312"/>
          <w:szCs w:val="36"/>
        </w:rPr>
        <w:t>外倾临空且倾角＜20°，≥10°的区域（编号为22、19）。</w:t>
      </w:r>
    </w:p>
    <w:p>
      <w:pPr>
        <w:pStyle w:val="10"/>
        <w:adjustRightInd w:val="0"/>
        <w:snapToGrid w:val="0"/>
        <w:spacing w:line="360" w:lineRule="auto"/>
        <w:ind w:firstLine="840" w:firstLineChars="300"/>
        <w:rPr>
          <w:rFonts w:ascii="仿宋_GB2312" w:eastAsia="仿宋_GB2312"/>
          <w:szCs w:val="36"/>
        </w:rPr>
      </w:pPr>
      <w:r>
        <w:rPr>
          <w:rFonts w:hint="eastAsia" w:ascii="仿宋_GB2312" w:eastAsia="仿宋_GB2312"/>
          <w:szCs w:val="36"/>
        </w:rPr>
        <w:t xml:space="preserve">地形总体坡角≥30°的区域： </w:t>
      </w:r>
    </w:p>
    <w:p>
      <w:pPr>
        <w:pStyle w:val="10"/>
        <w:adjustRightInd w:val="0"/>
        <w:snapToGrid w:val="0"/>
        <w:spacing w:line="360" w:lineRule="auto"/>
        <w:ind w:left="993" w:firstLine="0"/>
        <w:rPr>
          <w:rFonts w:ascii="仿宋_GB2312" w:eastAsia="仿宋_GB2312"/>
          <w:szCs w:val="36"/>
        </w:rPr>
      </w:pPr>
      <w:r>
        <w:rPr>
          <w:rFonts w:hint="eastAsia" w:ascii="仿宋_GB2312" w:eastAsia="仿宋_GB2312"/>
          <w:szCs w:val="36"/>
        </w:rPr>
        <w:t>①</w:t>
      </w:r>
      <w:r>
        <w:rPr>
          <w:rFonts w:hint="eastAsia" w:ascii="仿宋_GB2312" w:eastAsia="仿宋_GB2312"/>
          <w:szCs w:val="28"/>
        </w:rPr>
        <w:t>不存在外倾</w:t>
      </w:r>
      <w:r>
        <w:rPr>
          <w:rFonts w:hint="eastAsia" w:ascii="仿宋_GB2312" w:eastAsia="仿宋_GB2312"/>
          <w:b/>
          <w:szCs w:val="36"/>
        </w:rPr>
        <w:t>贯通结构面的分区：</w:t>
      </w:r>
      <w:r>
        <w:rPr>
          <w:rFonts w:hint="eastAsia" w:ascii="仿宋_GB2312" w:eastAsia="仿宋_GB2312"/>
          <w:szCs w:val="36"/>
        </w:rPr>
        <w:t>（无）。</w:t>
      </w:r>
    </w:p>
    <w:p>
      <w:pPr>
        <w:pStyle w:val="10"/>
        <w:adjustRightInd w:val="0"/>
        <w:snapToGrid w:val="0"/>
        <w:spacing w:line="360" w:lineRule="auto"/>
        <w:ind w:firstLine="980" w:firstLineChars="350"/>
        <w:rPr>
          <w:rFonts w:ascii="仿宋_GB2312" w:eastAsia="仿宋_GB2312"/>
          <w:b/>
          <w:szCs w:val="36"/>
        </w:rPr>
      </w:pPr>
      <w:r>
        <w:rPr>
          <w:rFonts w:hint="eastAsia" w:ascii="仿宋_GB2312" w:eastAsia="仿宋_GB2312"/>
          <w:szCs w:val="36"/>
        </w:rPr>
        <w:t>②存在外倾</w:t>
      </w:r>
      <w:r>
        <w:rPr>
          <w:rFonts w:hint="eastAsia" w:ascii="仿宋_GB2312" w:eastAsia="仿宋_GB2312"/>
          <w:b/>
          <w:szCs w:val="36"/>
        </w:rPr>
        <w:t>贯通结构面的分区如下：</w:t>
      </w:r>
    </w:p>
    <w:p>
      <w:pPr>
        <w:pStyle w:val="10"/>
        <w:adjustRightInd w:val="0"/>
        <w:snapToGrid w:val="0"/>
        <w:spacing w:line="360" w:lineRule="auto"/>
        <w:ind w:left="851" w:firstLine="0"/>
        <w:rPr>
          <w:rFonts w:ascii="仿宋_GB2312" w:eastAsia="仿宋_GB2312"/>
          <w:szCs w:val="36"/>
        </w:rPr>
      </w:pPr>
      <w:r>
        <w:rPr>
          <w:rFonts w:hint="eastAsia" w:ascii="仿宋_GB2312" w:eastAsia="仿宋_GB2312"/>
          <w:szCs w:val="36"/>
        </w:rPr>
        <w:t>外倾临空且倾角≥20°的区域（无）。</w:t>
      </w:r>
    </w:p>
    <w:p>
      <w:pPr>
        <w:pStyle w:val="10"/>
        <w:adjustRightInd w:val="0"/>
        <w:snapToGrid w:val="0"/>
        <w:spacing w:line="360" w:lineRule="auto"/>
        <w:ind w:left="851" w:firstLine="0"/>
        <w:rPr>
          <w:rFonts w:ascii="仿宋_GB2312" w:eastAsia="仿宋_GB2312"/>
          <w:szCs w:val="36"/>
        </w:rPr>
      </w:pPr>
      <w:r>
        <w:rPr>
          <w:rFonts w:hint="eastAsia" w:ascii="仿宋_GB2312" w:eastAsia="仿宋_GB2312"/>
          <w:szCs w:val="36"/>
        </w:rPr>
        <w:t>外倾临空且倾角＜20°，≥10°的区域（无）。</w:t>
      </w:r>
    </w:p>
    <w:p>
      <w:pPr>
        <w:pStyle w:val="10"/>
        <w:adjustRightInd w:val="0"/>
        <w:snapToGrid w:val="0"/>
        <w:spacing w:line="360" w:lineRule="auto"/>
        <w:ind w:left="851" w:firstLine="0"/>
        <w:rPr>
          <w:rFonts w:ascii="仿宋_GB2312" w:eastAsia="仿宋_GB2312"/>
          <w:szCs w:val="36"/>
        </w:rPr>
      </w:pPr>
      <w:r>
        <w:rPr>
          <w:rFonts w:hint="eastAsia" w:ascii="仿宋_GB2312" w:eastAsia="仿宋_GB2312"/>
          <w:szCs w:val="36"/>
        </w:rPr>
        <w:t>外倾临空且倾角＜10°的区域（无）。</w:t>
      </w:r>
    </w:p>
    <w:p>
      <w:pPr>
        <w:pStyle w:val="10"/>
        <w:adjustRightInd w:val="0"/>
        <w:snapToGrid w:val="0"/>
        <w:spacing w:line="360" w:lineRule="auto"/>
        <w:ind w:firstLine="280" w:firstLineChars="100"/>
        <w:rPr>
          <w:rFonts w:ascii="仿宋_GB2312" w:eastAsia="仿宋_GB2312"/>
          <w:color w:val="000000"/>
          <w:szCs w:val="36"/>
        </w:rPr>
      </w:pPr>
      <w:r>
        <w:rPr>
          <w:rFonts w:hint="eastAsia" w:ascii="仿宋_GB2312" w:eastAsia="仿宋_GB2312"/>
          <w:color w:val="000000"/>
          <w:szCs w:val="36"/>
        </w:rPr>
        <w:t xml:space="preserve"> (2)按照</w:t>
      </w:r>
      <w:r>
        <w:rPr>
          <w:rFonts w:hint="eastAsia" w:ascii="仿宋_GB2312" w:eastAsia="仿宋_GB2312"/>
          <w:b/>
          <w:color w:val="000000"/>
          <w:szCs w:val="36"/>
        </w:rPr>
        <w:t>破坏地质环境的工程活动的强烈程度</w:t>
      </w:r>
      <w:r>
        <w:rPr>
          <w:rFonts w:hint="eastAsia" w:ascii="仿宋_GB2312" w:eastAsia="仿宋_GB2312"/>
          <w:color w:val="000000"/>
          <w:szCs w:val="36"/>
        </w:rPr>
        <w:t>进行分区：</w:t>
      </w:r>
    </w:p>
    <w:p>
      <w:pPr>
        <w:pStyle w:val="10"/>
        <w:adjustRightInd w:val="0"/>
        <w:snapToGrid w:val="0"/>
        <w:spacing w:line="360" w:lineRule="auto"/>
        <w:ind w:firstLine="562" w:firstLineChars="200"/>
        <w:rPr>
          <w:rFonts w:ascii="仿宋_GB2312" w:eastAsia="仿宋_GB2312"/>
          <w:color w:val="000000"/>
          <w:szCs w:val="36"/>
        </w:rPr>
      </w:pPr>
      <w:r>
        <w:rPr>
          <w:rFonts w:hint="eastAsia" w:ascii="仿宋_GB2312" w:eastAsia="仿宋_GB2312"/>
          <w:b/>
          <w:szCs w:val="36"/>
        </w:rPr>
        <w:t>另外，</w:t>
      </w:r>
      <w:r>
        <w:rPr>
          <w:rFonts w:hint="eastAsia" w:ascii="仿宋_GB2312" w:eastAsia="仿宋_GB2312"/>
          <w:szCs w:val="36"/>
        </w:rPr>
        <w:t>将地形总体坡角</w:t>
      </w:r>
      <w:r>
        <w:rPr>
          <w:rFonts w:hint="eastAsia" w:ascii="仿宋_GB2312" w:eastAsia="仿宋_GB2312"/>
          <w:szCs w:val="28"/>
        </w:rPr>
        <w:t>＜</w:t>
      </w:r>
      <w:r>
        <w:rPr>
          <w:rFonts w:hint="eastAsia" w:ascii="仿宋_GB2312" w:eastAsia="仿宋_GB2312"/>
          <w:szCs w:val="36"/>
        </w:rPr>
        <w:t>15°，岩</w:t>
      </w:r>
      <w:r>
        <w:rPr>
          <w:rFonts w:hint="eastAsia" w:ascii="仿宋_GB2312" w:eastAsia="仿宋_GB2312"/>
          <w:color w:val="000000"/>
          <w:szCs w:val="36"/>
        </w:rPr>
        <w:t>质边坡高度＜15m，土质边坡高度＜8m等，地质环境复杂程度划为简单的区域分为同一种区，（编号为1、2、3、4、5、6、7、8、9、10、11、12、13、14、15、16、18、20、22）。</w:t>
      </w:r>
    </w:p>
    <w:p>
      <w:pPr>
        <w:spacing w:line="360" w:lineRule="auto"/>
        <w:ind w:firstLine="573"/>
        <w:rPr>
          <w:rFonts w:ascii="仿宋_GB2312" w:eastAsia="仿宋_GB2312"/>
          <w:color w:val="000000"/>
          <w:sz w:val="28"/>
          <w:szCs w:val="36"/>
        </w:rPr>
      </w:pPr>
      <w:r>
        <w:rPr>
          <w:rFonts w:hint="eastAsia" w:ascii="仿宋_GB2312" w:eastAsia="仿宋_GB2312"/>
          <w:color w:val="000000"/>
          <w:sz w:val="28"/>
          <w:szCs w:val="36"/>
        </w:rPr>
        <w:t>总共划分为2种宏观小区。再根据具体地质条件的不同将评估区细分为22个小区：</w:t>
      </w:r>
    </w:p>
    <w:p>
      <w:pPr>
        <w:spacing w:line="520" w:lineRule="atLeast"/>
        <w:ind w:firstLine="573"/>
        <w:rPr>
          <w:rFonts w:ascii="仿宋_GB2312" w:eastAsia="仿宋_GB2312"/>
          <w:color w:val="000000"/>
          <w:sz w:val="28"/>
          <w:szCs w:val="36"/>
        </w:rPr>
      </w:pPr>
      <w:r>
        <w:rPr>
          <w:rFonts w:hint="eastAsia" w:ascii="仿宋_GB2312" w:eastAsia="仿宋_GB2312"/>
          <w:color w:val="000000"/>
          <w:sz w:val="28"/>
          <w:szCs w:val="36"/>
        </w:rPr>
        <w:t>各小区位置见规划区分区图(图6.2-1)。对上述的地质环境条件基本一致的小区，分别归并为相同小区，各小区地质环境复杂程度列于表6.2-1。</w:t>
      </w:r>
    </w:p>
    <w:p>
      <w:pPr>
        <w:spacing w:line="520" w:lineRule="atLeast"/>
        <w:ind w:firstLine="573"/>
        <w:rPr>
          <w:rFonts w:ascii="仿宋_GB2312" w:eastAsia="仿宋_GB2312"/>
          <w:color w:val="000000"/>
          <w:sz w:val="28"/>
          <w:szCs w:val="36"/>
        </w:rPr>
      </w:pPr>
    </w:p>
    <w:p>
      <w:pPr>
        <w:widowControl/>
        <w:jc w:val="center"/>
      </w:pPr>
      <w:r>
        <w:drawing>
          <wp:inline distT="0" distB="0" distL="114300" distR="114300">
            <wp:extent cx="4863465" cy="4004945"/>
            <wp:effectExtent l="0" t="0" r="13335" b="317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7"/>
                    <a:stretch>
                      <a:fillRect/>
                    </a:stretch>
                  </pic:blipFill>
                  <pic:spPr>
                    <a:xfrm>
                      <a:off x="0" y="0"/>
                      <a:ext cx="4863465" cy="4004945"/>
                    </a:xfrm>
                    <a:prstGeom prst="rect">
                      <a:avLst/>
                    </a:prstGeom>
                    <a:noFill/>
                    <a:ln>
                      <a:noFill/>
                    </a:ln>
                  </pic:spPr>
                </pic:pic>
              </a:graphicData>
            </a:graphic>
          </wp:inline>
        </w:drawing>
      </w:r>
    </w:p>
    <w:p>
      <w:pPr>
        <w:widowControl/>
        <w:jc w:val="center"/>
        <w:rPr>
          <w:rFonts w:ascii="仿宋_GB2312" w:eastAsia="仿宋_GB2312"/>
          <w:b/>
          <w:color w:val="000000"/>
          <w:sz w:val="24"/>
          <w:szCs w:val="28"/>
        </w:rPr>
      </w:pPr>
      <w:r>
        <w:rPr>
          <w:rFonts w:hint="eastAsia" w:ascii="仿宋_GB2312" w:eastAsia="仿宋_GB2312"/>
          <w:b/>
          <w:color w:val="000000"/>
          <w:sz w:val="24"/>
          <w:szCs w:val="36"/>
        </w:rPr>
        <w:t>图6.2-1宏观</w:t>
      </w:r>
      <w:r>
        <w:rPr>
          <w:rFonts w:hint="eastAsia" w:ascii="仿宋_GB2312" w:eastAsia="仿宋_GB2312"/>
          <w:b/>
          <w:color w:val="000000"/>
          <w:sz w:val="24"/>
          <w:szCs w:val="28"/>
        </w:rPr>
        <w:t>分区图北西侧地块</w:t>
      </w:r>
    </w:p>
    <w:p>
      <w:pPr>
        <w:widowControl/>
        <w:jc w:val="center"/>
        <w:rPr>
          <w:rFonts w:ascii="仿宋_GB2312" w:eastAsia="仿宋_GB2312"/>
          <w:b/>
          <w:color w:val="000000"/>
          <w:sz w:val="24"/>
          <w:szCs w:val="28"/>
        </w:rPr>
      </w:pPr>
    </w:p>
    <w:p>
      <w:pPr>
        <w:widowControl/>
        <w:jc w:val="center"/>
        <w:rPr>
          <w:rFonts w:ascii="仿宋_GB2312" w:eastAsia="仿宋_GB2312"/>
          <w:b/>
          <w:color w:val="000000"/>
          <w:sz w:val="24"/>
          <w:szCs w:val="28"/>
        </w:rPr>
      </w:pPr>
    </w:p>
    <w:p>
      <w:pPr>
        <w:widowControl/>
        <w:jc w:val="center"/>
        <w:rPr>
          <w:rFonts w:ascii="仿宋_GB2312" w:eastAsia="仿宋_GB2312"/>
          <w:b/>
          <w:color w:val="000000"/>
          <w:sz w:val="24"/>
          <w:szCs w:val="28"/>
        </w:rPr>
      </w:pPr>
    </w:p>
    <w:p>
      <w:pPr>
        <w:widowControl/>
        <w:jc w:val="center"/>
        <w:rPr>
          <w:rFonts w:ascii="仿宋_GB2312" w:eastAsia="仿宋_GB2312"/>
          <w:b/>
          <w:color w:val="000000"/>
          <w:sz w:val="24"/>
          <w:szCs w:val="28"/>
        </w:rPr>
      </w:pPr>
    </w:p>
    <w:p>
      <w:pPr>
        <w:widowControl/>
        <w:jc w:val="center"/>
      </w:pPr>
      <w:r>
        <w:drawing>
          <wp:inline distT="0" distB="0" distL="114300" distR="114300">
            <wp:extent cx="6047105" cy="4556125"/>
            <wp:effectExtent l="0" t="0" r="3175"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8"/>
                    <a:stretch>
                      <a:fillRect/>
                    </a:stretch>
                  </pic:blipFill>
                  <pic:spPr>
                    <a:xfrm>
                      <a:off x="0" y="0"/>
                      <a:ext cx="6047105" cy="4556125"/>
                    </a:xfrm>
                    <a:prstGeom prst="rect">
                      <a:avLst/>
                    </a:prstGeom>
                    <a:noFill/>
                    <a:ln>
                      <a:noFill/>
                    </a:ln>
                  </pic:spPr>
                </pic:pic>
              </a:graphicData>
            </a:graphic>
          </wp:inline>
        </w:drawing>
      </w:r>
    </w:p>
    <w:p>
      <w:pPr>
        <w:widowControl/>
        <w:jc w:val="center"/>
        <w:rPr>
          <w:rFonts w:ascii="仿宋_GB2312" w:eastAsia="仿宋_GB2312"/>
          <w:b/>
          <w:color w:val="000000"/>
          <w:sz w:val="24"/>
          <w:szCs w:val="28"/>
        </w:rPr>
      </w:pPr>
      <w:r>
        <w:rPr>
          <w:rFonts w:hint="eastAsia" w:ascii="仿宋_GB2312" w:eastAsia="仿宋_GB2312"/>
          <w:b/>
          <w:color w:val="000000"/>
          <w:sz w:val="24"/>
          <w:szCs w:val="36"/>
        </w:rPr>
        <w:t>图6.2-2宏观</w:t>
      </w:r>
      <w:r>
        <w:rPr>
          <w:rFonts w:hint="eastAsia" w:ascii="仿宋_GB2312" w:eastAsia="仿宋_GB2312"/>
          <w:b/>
          <w:color w:val="000000"/>
          <w:sz w:val="24"/>
          <w:szCs w:val="28"/>
        </w:rPr>
        <w:t>分区图南东侧地块</w:t>
      </w:r>
    </w:p>
    <w:p>
      <w:pPr>
        <w:widowControl/>
        <w:jc w:val="center"/>
        <w:rPr>
          <w:rFonts w:ascii="仿宋_GB2312" w:eastAsia="仿宋_GB2312"/>
          <w:b/>
          <w:color w:val="000000"/>
          <w:sz w:val="24"/>
          <w:szCs w:val="28"/>
        </w:rPr>
      </w:pPr>
    </w:p>
    <w:p>
      <w:pPr>
        <w:widowControl/>
        <w:jc w:val="center"/>
        <w:rPr>
          <w:rFonts w:ascii="仿宋_GB2312" w:eastAsia="仿宋_GB2312"/>
          <w:color w:val="000000"/>
          <w:szCs w:val="36"/>
        </w:rPr>
        <w:sectPr>
          <w:pgSz w:w="23814" w:h="16840" w:orient="landscape"/>
          <w:pgMar w:top="1797" w:right="1701" w:bottom="1797" w:left="1701" w:header="851" w:footer="992" w:gutter="0"/>
          <w:cols w:space="1366" w:num="2"/>
          <w:docGrid w:linePitch="312" w:charSpace="-3686"/>
        </w:sectPr>
      </w:pPr>
    </w:p>
    <w:p>
      <w:pPr>
        <w:spacing w:line="600" w:lineRule="atLeast"/>
        <w:ind w:firstLine="1050" w:firstLineChars="498"/>
        <w:jc w:val="center"/>
        <w:rPr>
          <w:rFonts w:ascii="仿宋_GB2312" w:eastAsia="仿宋_GB2312"/>
          <w:b/>
          <w:color w:val="000000"/>
          <w:sz w:val="24"/>
          <w:szCs w:val="28"/>
        </w:rPr>
      </w:pPr>
      <w:r>
        <w:rPr>
          <w:rFonts w:hint="eastAsia" w:ascii="仿宋_GB2312" w:eastAsia="仿宋_GB2312"/>
          <w:b/>
          <w:color w:val="000000"/>
          <w:szCs w:val="21"/>
        </w:rPr>
        <w:t xml:space="preserve">表6.2-1 </w:t>
      </w:r>
      <w:r>
        <w:rPr>
          <w:rFonts w:hint="eastAsia" w:ascii="仿宋_GB2312" w:eastAsia="仿宋_GB2312"/>
          <w:b/>
          <w:color w:val="000000"/>
          <w:sz w:val="28"/>
          <w:szCs w:val="28"/>
        </w:rPr>
        <w:t xml:space="preserve">        </w:t>
      </w:r>
      <w:r>
        <w:rPr>
          <w:rFonts w:hint="eastAsia" w:ascii="仿宋_GB2312" w:eastAsia="仿宋_GB2312"/>
          <w:b/>
          <w:color w:val="000000"/>
          <w:sz w:val="30"/>
          <w:szCs w:val="30"/>
        </w:rPr>
        <w:t>各 小 区 地 质 环 境 复 杂 程 度 一 览 表</w:t>
      </w:r>
    </w:p>
    <w:tbl>
      <w:tblPr>
        <w:tblStyle w:val="30"/>
        <w:tblpPr w:leftFromText="180" w:rightFromText="180" w:vertAnchor="text" w:horzAnchor="page" w:tblpX="2666" w:tblpY="590"/>
        <w:tblOverlap w:val="never"/>
        <w:tblW w:w="4535" w:type="pct"/>
        <w:tblInd w:w="0" w:type="dxa"/>
        <w:tblLayout w:type="fixed"/>
        <w:tblCellMar>
          <w:top w:w="0" w:type="dxa"/>
          <w:left w:w="0" w:type="dxa"/>
          <w:bottom w:w="0" w:type="dxa"/>
          <w:right w:w="0" w:type="dxa"/>
        </w:tblCellMar>
      </w:tblPr>
      <w:tblGrid>
        <w:gridCol w:w="646"/>
        <w:gridCol w:w="1513"/>
        <w:gridCol w:w="301"/>
        <w:gridCol w:w="1753"/>
        <w:gridCol w:w="382"/>
        <w:gridCol w:w="1683"/>
        <w:gridCol w:w="2401"/>
        <w:gridCol w:w="1594"/>
        <w:gridCol w:w="2479"/>
        <w:gridCol w:w="1579"/>
        <w:gridCol w:w="2383"/>
        <w:gridCol w:w="1816"/>
      </w:tblGrid>
      <w:tr>
        <w:tblPrEx>
          <w:tblCellMar>
            <w:top w:w="0" w:type="dxa"/>
            <w:left w:w="0" w:type="dxa"/>
            <w:bottom w:w="0" w:type="dxa"/>
            <w:right w:w="0" w:type="dxa"/>
          </w:tblCellMar>
        </w:tblPrEx>
        <w:trPr>
          <w:trHeight w:val="1733" w:hRule="atLeast"/>
        </w:trPr>
        <w:tc>
          <w:tcPr>
            <w:tcW w:w="1693" w:type="pct"/>
            <w:gridSpan w:val="6"/>
            <w:tcBorders>
              <w:top w:val="single" w:color="auto" w:sz="12" w:space="0"/>
              <w:left w:val="single" w:color="auto" w:sz="12" w:space="0"/>
              <w:bottom w:val="single" w:color="auto" w:sz="2" w:space="0"/>
              <w:right w:val="single" w:color="auto" w:sz="2"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观分区</w:t>
            </w:r>
          </w:p>
        </w:tc>
        <w:tc>
          <w:tcPr>
            <w:tcW w:w="1078" w:type="pct"/>
            <w:gridSpan w:val="2"/>
            <w:tcBorders>
              <w:top w:val="single" w:color="auto" w:sz="12" w:space="0"/>
              <w:left w:val="single" w:color="auto" w:sz="2" w:space="0"/>
              <w:bottom w:val="single" w:color="auto" w:sz="2" w:space="0"/>
              <w:right w:val="single" w:color="auto" w:sz="2"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eastAsia="仿宋_GB2312"/>
                <w:color w:val="000000"/>
                <w:szCs w:val="36"/>
              </w:rPr>
              <w:t>1、2、3、4、5、6、7、8、9、10、11、12、13、14、15、16、18、20</w:t>
            </w:r>
          </w:p>
        </w:tc>
        <w:tc>
          <w:tcPr>
            <w:tcW w:w="1095" w:type="pct"/>
            <w:gridSpan w:val="2"/>
            <w:tcBorders>
              <w:top w:val="single" w:color="auto" w:sz="12" w:space="0"/>
              <w:left w:val="single" w:color="auto" w:sz="2" w:space="0"/>
              <w:bottom w:val="single" w:color="auto" w:sz="2" w:space="0"/>
              <w:right w:val="single" w:color="auto" w:sz="2"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eastAsia="仿宋_GB2312"/>
                <w:szCs w:val="36"/>
              </w:rPr>
              <w:t>17、21</w:t>
            </w:r>
          </w:p>
        </w:tc>
        <w:tc>
          <w:tcPr>
            <w:tcW w:w="1133" w:type="pct"/>
            <w:gridSpan w:val="2"/>
            <w:tcBorders>
              <w:top w:val="single" w:color="auto" w:sz="12" w:space="0"/>
              <w:left w:val="single" w:color="auto" w:sz="2" w:space="0"/>
              <w:bottom w:val="single" w:color="auto" w:sz="2" w:space="0"/>
              <w:right w:val="single" w:color="auto" w:sz="2"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eastAsia="仿宋_GB2312"/>
                <w:szCs w:val="36"/>
              </w:rPr>
              <w:t>22、19</w:t>
            </w:r>
          </w:p>
        </w:tc>
      </w:tr>
      <w:tr>
        <w:tblPrEx>
          <w:tblCellMar>
            <w:top w:w="0" w:type="dxa"/>
            <w:left w:w="0" w:type="dxa"/>
            <w:bottom w:w="0" w:type="dxa"/>
            <w:right w:w="0" w:type="dxa"/>
          </w:tblCellMar>
        </w:tblPrEx>
        <w:trPr>
          <w:trHeight w:val="646" w:hRule="atLeast"/>
        </w:trPr>
        <w:tc>
          <w:tcPr>
            <w:tcW w:w="174" w:type="pct"/>
            <w:tcBorders>
              <w:top w:val="single" w:color="auto" w:sz="2" w:space="0"/>
              <w:left w:val="single" w:color="auto" w:sz="12" w:space="0"/>
              <w:bottom w:val="double" w:color="auto" w:sz="4"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序号</w:t>
            </w:r>
          </w:p>
        </w:tc>
        <w:tc>
          <w:tcPr>
            <w:tcW w:w="1518" w:type="pct"/>
            <w:gridSpan w:val="5"/>
            <w:tcBorders>
              <w:top w:val="single" w:color="auto" w:sz="2" w:space="0"/>
              <w:left w:val="single" w:color="auto" w:sz="2" w:space="0"/>
              <w:bottom w:val="double" w:color="auto" w:sz="4"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地质环境判定因素</w:t>
            </w:r>
          </w:p>
        </w:tc>
        <w:tc>
          <w:tcPr>
            <w:tcW w:w="648" w:type="pct"/>
            <w:tcBorders>
              <w:top w:val="single" w:color="auto" w:sz="2" w:space="0"/>
              <w:left w:val="single" w:color="auto" w:sz="2" w:space="0"/>
              <w:bottom w:val="double" w:color="auto" w:sz="4"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地质环境特征</w:t>
            </w:r>
          </w:p>
        </w:tc>
        <w:tc>
          <w:tcPr>
            <w:tcW w:w="429" w:type="pct"/>
            <w:tcBorders>
              <w:top w:val="single" w:color="auto" w:sz="2" w:space="0"/>
              <w:left w:val="single" w:color="auto" w:sz="2" w:space="0"/>
              <w:bottom w:val="double" w:color="auto" w:sz="4"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复杂程度</w:t>
            </w:r>
          </w:p>
        </w:tc>
        <w:tc>
          <w:tcPr>
            <w:tcW w:w="669" w:type="pct"/>
            <w:tcBorders>
              <w:top w:val="single" w:color="auto" w:sz="2" w:space="0"/>
              <w:left w:val="single" w:color="auto" w:sz="2" w:space="0"/>
              <w:bottom w:val="double" w:color="auto" w:sz="4"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地质环境特征</w:t>
            </w:r>
          </w:p>
        </w:tc>
        <w:tc>
          <w:tcPr>
            <w:tcW w:w="426" w:type="pct"/>
            <w:tcBorders>
              <w:top w:val="single" w:color="auto" w:sz="2" w:space="0"/>
              <w:left w:val="single" w:color="auto" w:sz="2" w:space="0"/>
              <w:bottom w:val="double" w:color="auto" w:sz="4"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复杂程度</w:t>
            </w:r>
          </w:p>
        </w:tc>
        <w:tc>
          <w:tcPr>
            <w:tcW w:w="643" w:type="pct"/>
            <w:tcBorders>
              <w:top w:val="single" w:color="auto" w:sz="2" w:space="0"/>
              <w:left w:val="single" w:color="auto" w:sz="2" w:space="0"/>
              <w:bottom w:val="double" w:color="auto" w:sz="4"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地质环境特征</w:t>
            </w:r>
          </w:p>
        </w:tc>
        <w:tc>
          <w:tcPr>
            <w:tcW w:w="489" w:type="pct"/>
            <w:tcBorders>
              <w:top w:val="single" w:color="auto" w:sz="2" w:space="0"/>
              <w:left w:val="single" w:color="auto" w:sz="2" w:space="0"/>
              <w:bottom w:val="double" w:color="auto" w:sz="4"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复杂程度</w:t>
            </w:r>
          </w:p>
        </w:tc>
      </w:tr>
      <w:tr>
        <w:tblPrEx>
          <w:tblCellMar>
            <w:top w:w="0" w:type="dxa"/>
            <w:left w:w="0" w:type="dxa"/>
            <w:bottom w:w="0" w:type="dxa"/>
            <w:right w:w="0" w:type="dxa"/>
          </w:tblCellMar>
        </w:tblPrEx>
        <w:trPr>
          <w:trHeight w:val="696" w:hRule="atLeast"/>
        </w:trPr>
        <w:tc>
          <w:tcPr>
            <w:tcW w:w="174" w:type="pct"/>
            <w:tcBorders>
              <w:top w:val="double" w:color="auto" w:sz="4"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w:t>
            </w:r>
          </w:p>
        </w:tc>
        <w:tc>
          <w:tcPr>
            <w:tcW w:w="408" w:type="pct"/>
            <w:vMerge w:val="restart"/>
            <w:tcBorders>
              <w:top w:val="double" w:color="auto" w:sz="4"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地形条件</w:t>
            </w:r>
          </w:p>
        </w:tc>
        <w:tc>
          <w:tcPr>
            <w:tcW w:w="1109" w:type="pct"/>
            <w:gridSpan w:val="4"/>
            <w:tcBorders>
              <w:top w:val="double" w:color="auto" w:sz="4"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地形坡角(°)</w:t>
            </w:r>
          </w:p>
        </w:tc>
        <w:tc>
          <w:tcPr>
            <w:tcW w:w="648" w:type="pct"/>
            <w:tcBorders>
              <w:top w:val="double" w:color="auto" w:sz="4"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＜15°</w:t>
            </w:r>
          </w:p>
        </w:tc>
        <w:tc>
          <w:tcPr>
            <w:tcW w:w="429" w:type="pct"/>
            <w:tcBorders>
              <w:top w:val="double" w:color="auto" w:sz="4"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69" w:type="pct"/>
            <w:tcBorders>
              <w:top w:val="double" w:color="auto" w:sz="4"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≥15°，＜30°</w:t>
            </w:r>
          </w:p>
        </w:tc>
        <w:tc>
          <w:tcPr>
            <w:tcW w:w="426" w:type="pct"/>
            <w:tcBorders>
              <w:top w:val="double" w:color="auto" w:sz="4"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较复杂</w:t>
            </w:r>
          </w:p>
        </w:tc>
        <w:tc>
          <w:tcPr>
            <w:tcW w:w="643" w:type="pct"/>
            <w:tcBorders>
              <w:top w:val="double" w:color="auto" w:sz="4"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≥15°，＜30°</w:t>
            </w:r>
          </w:p>
        </w:tc>
        <w:tc>
          <w:tcPr>
            <w:tcW w:w="489" w:type="pct"/>
            <w:tcBorders>
              <w:top w:val="double" w:color="auto" w:sz="4"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较复杂</w:t>
            </w:r>
          </w:p>
        </w:tc>
      </w:tr>
      <w:tr>
        <w:tblPrEx>
          <w:tblCellMar>
            <w:top w:w="0" w:type="dxa"/>
            <w:left w:w="0" w:type="dxa"/>
            <w:bottom w:w="0" w:type="dxa"/>
            <w:right w:w="0" w:type="dxa"/>
          </w:tblCellMar>
        </w:tblPrEx>
        <w:trPr>
          <w:trHeight w:val="327"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w:t>
            </w:r>
          </w:p>
        </w:tc>
        <w:tc>
          <w:tcPr>
            <w:tcW w:w="408" w:type="pct"/>
            <w:vMerge w:val="continue"/>
            <w:tcBorders>
              <w:top w:val="single" w:color="auto" w:sz="2" w:space="0"/>
              <w:left w:val="single" w:color="auto" w:sz="2" w:space="0"/>
              <w:bottom w:val="single" w:color="auto" w:sz="2" w:space="0"/>
              <w:right w:val="single" w:color="auto" w:sz="2" w:space="0"/>
            </w:tcBorders>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554" w:type="pct"/>
            <w:gridSpan w:val="2"/>
            <w:vMerge w:val="restar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自然陡坡高度(m)</w:t>
            </w:r>
          </w:p>
        </w:tc>
        <w:tc>
          <w:tcPr>
            <w:tcW w:w="555" w:type="pct"/>
            <w:gridSpan w:val="2"/>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岩坡</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r>
      <w:tr>
        <w:tblPrEx>
          <w:tblCellMar>
            <w:top w:w="0" w:type="dxa"/>
            <w:left w:w="0" w:type="dxa"/>
            <w:bottom w:w="0" w:type="dxa"/>
            <w:right w:w="0" w:type="dxa"/>
          </w:tblCellMar>
        </w:tblPrEx>
        <w:trPr>
          <w:trHeight w:val="327"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w:t>
            </w:r>
          </w:p>
        </w:tc>
        <w:tc>
          <w:tcPr>
            <w:tcW w:w="408" w:type="pct"/>
            <w:vMerge w:val="continue"/>
            <w:tcBorders>
              <w:top w:val="single" w:color="auto" w:sz="2" w:space="0"/>
              <w:left w:val="single" w:color="auto" w:sz="2" w:space="0"/>
              <w:bottom w:val="single" w:color="auto" w:sz="2" w:space="0"/>
              <w:right w:val="single" w:color="auto" w:sz="2" w:space="0"/>
            </w:tcBorders>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554" w:type="pct"/>
            <w:gridSpan w:val="2"/>
            <w:vMerge w:val="continue"/>
            <w:tcBorders>
              <w:top w:val="single" w:color="auto" w:sz="2" w:space="0"/>
              <w:left w:val="single" w:color="auto" w:sz="2" w:space="0"/>
              <w:bottom w:val="single" w:color="auto" w:sz="2" w:space="0"/>
              <w:right w:val="single" w:color="auto" w:sz="2" w:space="0"/>
            </w:tcBorders>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555" w:type="pct"/>
            <w:gridSpan w:val="2"/>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土坡</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r>
      <w:tr>
        <w:tblPrEx>
          <w:tblCellMar>
            <w:top w:w="0" w:type="dxa"/>
            <w:left w:w="0" w:type="dxa"/>
            <w:bottom w:w="0" w:type="dxa"/>
            <w:right w:w="0" w:type="dxa"/>
          </w:tblCellMar>
        </w:tblPrEx>
        <w:trPr>
          <w:trHeight w:val="327"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w:t>
            </w:r>
          </w:p>
        </w:tc>
        <w:tc>
          <w:tcPr>
            <w:tcW w:w="408" w:type="pct"/>
            <w:vMerge w:val="restar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岩土性质</w:t>
            </w:r>
          </w:p>
        </w:tc>
        <w:tc>
          <w:tcPr>
            <w:tcW w:w="1109" w:type="pct"/>
            <w:gridSpan w:val="4"/>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土层厚度(m)</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themeColor="text1"/>
                <w:kern w:val="0"/>
                <w:sz w:val="24"/>
              </w:rPr>
            </w:pPr>
            <w:r>
              <w:rPr>
                <w:rFonts w:hint="eastAsia" w:ascii="仿宋_GB2312" w:hAnsi="宋体" w:eastAsia="仿宋_GB2312" w:cs="宋体"/>
                <w:color w:val="000000" w:themeColor="text1"/>
                <w:kern w:val="0"/>
                <w:sz w:val="24"/>
              </w:rPr>
              <w:t>3＜</w:t>
            </w:r>
            <w:r>
              <w:rPr>
                <w:rFonts w:hint="eastAsia" w:ascii="仿宋_GB2312" w:hAnsi="宋体" w:cs="宋体" w:eastAsiaTheme="minorEastAsia"/>
                <w:color w:val="000000" w:themeColor="text1"/>
                <w:kern w:val="0"/>
                <w:sz w:val="24"/>
              </w:rPr>
              <w:t>h</w:t>
            </w:r>
            <w:r>
              <w:rPr>
                <w:rFonts w:hint="eastAsia" w:ascii="仿宋_GB2312" w:hAnsi="宋体" w:eastAsia="仿宋_GB2312" w:cs="宋体"/>
                <w:color w:val="000000" w:themeColor="text1"/>
                <w:kern w:val="0"/>
                <w:sz w:val="24"/>
              </w:rPr>
              <w:t>＜10</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themeColor="text1"/>
                <w:kern w:val="0"/>
                <w:sz w:val="24"/>
              </w:rPr>
            </w:pPr>
            <w:r>
              <w:rPr>
                <w:rFonts w:hint="eastAsia" w:ascii="仿宋_GB2312" w:hAnsi="宋体" w:eastAsia="仿宋_GB2312" w:cs="宋体"/>
                <w:color w:val="000000" w:themeColor="text1"/>
                <w:kern w:val="0"/>
                <w:sz w:val="24"/>
              </w:rPr>
              <w:t>较复杂</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themeColor="text1"/>
                <w:kern w:val="0"/>
                <w:sz w:val="24"/>
              </w:rPr>
            </w:pPr>
            <w:r>
              <w:rPr>
                <w:rFonts w:hint="eastAsia" w:ascii="仿宋_GB2312" w:hAnsi="宋体" w:eastAsia="仿宋_GB2312" w:cs="宋体"/>
                <w:color w:val="000000" w:themeColor="text1"/>
                <w:kern w:val="0"/>
                <w:sz w:val="24"/>
              </w:rPr>
              <w:t>3＜</w:t>
            </w:r>
            <w:r>
              <w:rPr>
                <w:rFonts w:hint="eastAsia" w:ascii="仿宋_GB2312" w:hAnsi="宋体" w:cs="宋体" w:eastAsiaTheme="minorEastAsia"/>
                <w:color w:val="000000" w:themeColor="text1"/>
                <w:kern w:val="0"/>
                <w:sz w:val="24"/>
              </w:rPr>
              <w:t>h</w:t>
            </w:r>
            <w:r>
              <w:rPr>
                <w:rFonts w:hint="eastAsia" w:ascii="仿宋_GB2312" w:hAnsi="宋体" w:eastAsia="仿宋_GB2312" w:cs="宋体"/>
                <w:color w:val="000000" w:themeColor="text1"/>
                <w:kern w:val="0"/>
                <w:sz w:val="24"/>
              </w:rPr>
              <w:t>＜10</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themeColor="text1"/>
                <w:kern w:val="0"/>
                <w:sz w:val="24"/>
              </w:rPr>
            </w:pPr>
            <w:r>
              <w:rPr>
                <w:rFonts w:hint="eastAsia" w:ascii="仿宋_GB2312" w:hAnsi="宋体" w:eastAsia="仿宋_GB2312" w:cs="宋体"/>
                <w:color w:val="000000" w:themeColor="text1"/>
                <w:kern w:val="0"/>
                <w:sz w:val="24"/>
              </w:rPr>
              <w:t>较复杂</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themeColor="text1"/>
                <w:kern w:val="0"/>
                <w:sz w:val="24"/>
              </w:rPr>
            </w:pPr>
            <w:r>
              <w:rPr>
                <w:rFonts w:hint="eastAsia" w:ascii="仿宋_GB2312" w:hAnsi="宋体" w:eastAsia="仿宋_GB2312" w:cs="宋体"/>
                <w:color w:val="000000" w:themeColor="text1"/>
                <w:kern w:val="0"/>
                <w:sz w:val="24"/>
              </w:rPr>
              <w:t>3＜</w:t>
            </w:r>
            <w:r>
              <w:rPr>
                <w:rFonts w:hint="eastAsia" w:ascii="仿宋_GB2312" w:hAnsi="宋体" w:cs="宋体" w:eastAsiaTheme="minorEastAsia"/>
                <w:color w:val="000000" w:themeColor="text1"/>
                <w:kern w:val="0"/>
                <w:sz w:val="24"/>
              </w:rPr>
              <w:t>h</w:t>
            </w:r>
            <w:r>
              <w:rPr>
                <w:rFonts w:hint="eastAsia" w:ascii="仿宋_GB2312" w:hAnsi="宋体" w:eastAsia="仿宋_GB2312" w:cs="宋体"/>
                <w:color w:val="000000" w:themeColor="text1"/>
                <w:kern w:val="0"/>
                <w:sz w:val="24"/>
              </w:rPr>
              <w:t>＜10</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themeColor="text1"/>
                <w:kern w:val="0"/>
                <w:sz w:val="24"/>
              </w:rPr>
            </w:pPr>
            <w:r>
              <w:rPr>
                <w:rFonts w:hint="eastAsia" w:ascii="仿宋_GB2312" w:hAnsi="宋体" w:eastAsia="仿宋_GB2312" w:cs="宋体"/>
                <w:color w:val="000000" w:themeColor="text1"/>
                <w:kern w:val="0"/>
                <w:sz w:val="24"/>
              </w:rPr>
              <w:t>较复杂</w:t>
            </w:r>
          </w:p>
        </w:tc>
      </w:tr>
      <w:tr>
        <w:tblPrEx>
          <w:tblCellMar>
            <w:top w:w="0" w:type="dxa"/>
            <w:left w:w="0" w:type="dxa"/>
            <w:bottom w:w="0" w:type="dxa"/>
            <w:right w:w="0" w:type="dxa"/>
          </w:tblCellMar>
        </w:tblPrEx>
        <w:trPr>
          <w:trHeight w:val="327"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5</w:t>
            </w:r>
          </w:p>
        </w:tc>
        <w:tc>
          <w:tcPr>
            <w:tcW w:w="408" w:type="pct"/>
            <w:vMerge w:val="continue"/>
            <w:tcBorders>
              <w:top w:val="single" w:color="auto" w:sz="2" w:space="0"/>
              <w:left w:val="single" w:color="auto" w:sz="2" w:space="0"/>
              <w:bottom w:val="single" w:color="auto" w:sz="2" w:space="0"/>
              <w:right w:val="single" w:color="auto" w:sz="2" w:space="0"/>
            </w:tcBorders>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1109" w:type="pct"/>
            <w:gridSpan w:val="4"/>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岩层厚度(m)</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中厚-厚层状</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较复杂</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中厚-厚层状</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较复杂</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中厚-厚层状</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较复杂</w:t>
            </w:r>
          </w:p>
        </w:tc>
      </w:tr>
      <w:tr>
        <w:tblPrEx>
          <w:tblCellMar>
            <w:top w:w="0" w:type="dxa"/>
            <w:left w:w="0" w:type="dxa"/>
            <w:bottom w:w="0" w:type="dxa"/>
            <w:right w:w="0" w:type="dxa"/>
          </w:tblCellMar>
        </w:tblPrEx>
        <w:trPr>
          <w:trHeight w:val="327"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6</w:t>
            </w:r>
          </w:p>
        </w:tc>
        <w:tc>
          <w:tcPr>
            <w:tcW w:w="408" w:type="pct"/>
            <w:vMerge w:val="continue"/>
            <w:tcBorders>
              <w:top w:val="single" w:color="auto" w:sz="2" w:space="0"/>
              <w:left w:val="single" w:color="auto" w:sz="2" w:space="0"/>
              <w:bottom w:val="single" w:color="auto" w:sz="2" w:space="0"/>
              <w:right w:val="single" w:color="auto" w:sz="2" w:space="0"/>
            </w:tcBorders>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1109" w:type="pct"/>
            <w:gridSpan w:val="4"/>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岩层或土层组合</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岩土二元组合</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较复杂</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岩土二元组合</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较复杂</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岩土二元组合</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较复杂</w:t>
            </w:r>
          </w:p>
        </w:tc>
      </w:tr>
      <w:tr>
        <w:tblPrEx>
          <w:tblCellMar>
            <w:top w:w="0" w:type="dxa"/>
            <w:left w:w="0" w:type="dxa"/>
            <w:bottom w:w="0" w:type="dxa"/>
            <w:right w:w="0" w:type="dxa"/>
          </w:tblCellMar>
        </w:tblPrEx>
        <w:trPr>
          <w:trHeight w:val="964"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7</w:t>
            </w:r>
          </w:p>
        </w:tc>
        <w:tc>
          <w:tcPr>
            <w:tcW w:w="408" w:type="pct"/>
            <w:vMerge w:val="restar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地质构造</w:t>
            </w:r>
          </w:p>
        </w:tc>
        <w:tc>
          <w:tcPr>
            <w:tcW w:w="1109" w:type="pct"/>
            <w:gridSpan w:val="4"/>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裂隙发育程度</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无断层，有2组裂隙，间距&gt;1m</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无断层，有2组裂隙，间距&gt;1m</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无断层，有2组裂隙，间距&gt;1m</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r>
      <w:tr>
        <w:tblPrEx>
          <w:tblCellMar>
            <w:top w:w="0" w:type="dxa"/>
            <w:left w:w="0" w:type="dxa"/>
            <w:bottom w:w="0" w:type="dxa"/>
            <w:right w:w="0" w:type="dxa"/>
          </w:tblCellMar>
        </w:tblPrEx>
        <w:trPr>
          <w:trHeight w:val="1602"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8</w:t>
            </w:r>
          </w:p>
        </w:tc>
        <w:tc>
          <w:tcPr>
            <w:tcW w:w="408" w:type="pct"/>
            <w:vMerge w:val="continue"/>
            <w:tcBorders>
              <w:top w:val="single" w:color="auto" w:sz="2" w:space="0"/>
              <w:left w:val="single" w:color="auto" w:sz="2" w:space="0"/>
              <w:bottom w:val="single" w:color="auto" w:sz="2" w:space="0"/>
              <w:right w:val="single" w:color="auto" w:sz="2" w:space="0"/>
            </w:tcBorders>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1109" w:type="pct"/>
            <w:gridSpan w:val="4"/>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贯通性结构面与斜(边)坡关系</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不临空</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不临空</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局部外倾临空，倾角＜20°，≥10°</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较复杂</w:t>
            </w:r>
          </w:p>
        </w:tc>
      </w:tr>
      <w:tr>
        <w:tblPrEx>
          <w:tblCellMar>
            <w:top w:w="0" w:type="dxa"/>
            <w:left w:w="0" w:type="dxa"/>
            <w:bottom w:w="0" w:type="dxa"/>
            <w:right w:w="0" w:type="dxa"/>
          </w:tblCellMar>
        </w:tblPrEx>
        <w:trPr>
          <w:trHeight w:val="327"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9</w:t>
            </w:r>
          </w:p>
        </w:tc>
        <w:tc>
          <w:tcPr>
            <w:tcW w:w="408" w:type="pct"/>
            <w:vMerge w:val="continue"/>
            <w:tcBorders>
              <w:top w:val="single" w:color="auto" w:sz="2" w:space="0"/>
              <w:left w:val="single" w:color="auto" w:sz="2" w:space="0"/>
              <w:bottom w:val="single" w:color="auto" w:sz="2" w:space="0"/>
              <w:right w:val="single" w:color="auto" w:sz="2" w:space="0"/>
            </w:tcBorders>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1109" w:type="pct"/>
            <w:gridSpan w:val="4"/>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地震基本烈度</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Ⅵ</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较复杂</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Ⅵ</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较复杂</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Ⅵ</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较复杂</w:t>
            </w:r>
          </w:p>
        </w:tc>
      </w:tr>
      <w:tr>
        <w:tblPrEx>
          <w:tblCellMar>
            <w:top w:w="0" w:type="dxa"/>
            <w:left w:w="0" w:type="dxa"/>
            <w:bottom w:w="0" w:type="dxa"/>
            <w:right w:w="0" w:type="dxa"/>
          </w:tblCellMar>
        </w:tblPrEx>
        <w:trPr>
          <w:trHeight w:val="327"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10</w:t>
            </w:r>
          </w:p>
        </w:tc>
        <w:tc>
          <w:tcPr>
            <w:tcW w:w="408" w:type="pct"/>
            <w:vMerge w:val="restar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水文及水文地质</w:t>
            </w:r>
          </w:p>
        </w:tc>
        <w:tc>
          <w:tcPr>
            <w:tcW w:w="1109" w:type="pct"/>
            <w:gridSpan w:val="4"/>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地表水对岩土体的影响</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小</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小</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小</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r>
      <w:tr>
        <w:tblPrEx>
          <w:tblCellMar>
            <w:top w:w="0" w:type="dxa"/>
            <w:left w:w="0" w:type="dxa"/>
            <w:bottom w:w="0" w:type="dxa"/>
            <w:right w:w="0" w:type="dxa"/>
          </w:tblCellMar>
        </w:tblPrEx>
        <w:trPr>
          <w:trHeight w:val="641"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11</w:t>
            </w:r>
          </w:p>
        </w:tc>
        <w:tc>
          <w:tcPr>
            <w:tcW w:w="408" w:type="pct"/>
            <w:vMerge w:val="continue"/>
            <w:tcBorders>
              <w:top w:val="single" w:color="auto" w:sz="2" w:space="0"/>
              <w:left w:val="single" w:color="auto" w:sz="2" w:space="0"/>
              <w:bottom w:val="single" w:color="auto" w:sz="2" w:space="0"/>
              <w:right w:val="single" w:color="auto" w:sz="2" w:space="0"/>
            </w:tcBorders>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1109" w:type="pct"/>
            <w:gridSpan w:val="4"/>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地下水对岩土体的影响</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小</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小</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小</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r>
      <w:tr>
        <w:tblPrEx>
          <w:tblCellMar>
            <w:top w:w="0" w:type="dxa"/>
            <w:left w:w="0" w:type="dxa"/>
            <w:bottom w:w="0" w:type="dxa"/>
            <w:right w:w="0" w:type="dxa"/>
          </w:tblCellMar>
        </w:tblPrEx>
        <w:trPr>
          <w:trHeight w:val="327"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12</w:t>
            </w:r>
          </w:p>
        </w:tc>
        <w:tc>
          <w:tcPr>
            <w:tcW w:w="1518" w:type="pct"/>
            <w:gridSpan w:val="5"/>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不良地质现象占规划区的比例(%)</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r>
      <w:tr>
        <w:tblPrEx>
          <w:tblCellMar>
            <w:top w:w="0" w:type="dxa"/>
            <w:left w:w="0" w:type="dxa"/>
            <w:bottom w:w="0" w:type="dxa"/>
            <w:right w:w="0" w:type="dxa"/>
          </w:tblCellMar>
        </w:tblPrEx>
        <w:trPr>
          <w:trHeight w:val="327"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13</w:t>
            </w:r>
          </w:p>
        </w:tc>
        <w:tc>
          <w:tcPr>
            <w:tcW w:w="489" w:type="pct"/>
            <w:gridSpan w:val="2"/>
            <w:vMerge w:val="restar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破坏地质环境的人类活动</w:t>
            </w:r>
          </w:p>
        </w:tc>
        <w:tc>
          <w:tcPr>
            <w:tcW w:w="576" w:type="pct"/>
            <w:gridSpan w:val="2"/>
            <w:vMerge w:val="restar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边坡高度(m)</w:t>
            </w:r>
          </w:p>
        </w:tc>
        <w:tc>
          <w:tcPr>
            <w:tcW w:w="452"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土质边坡</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＜8</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r>
      <w:tr>
        <w:tblPrEx>
          <w:tblCellMar>
            <w:top w:w="0" w:type="dxa"/>
            <w:left w:w="0" w:type="dxa"/>
            <w:bottom w:w="0" w:type="dxa"/>
            <w:right w:w="0" w:type="dxa"/>
          </w:tblCellMar>
        </w:tblPrEx>
        <w:trPr>
          <w:trHeight w:val="327"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14</w:t>
            </w:r>
          </w:p>
        </w:tc>
        <w:tc>
          <w:tcPr>
            <w:tcW w:w="489" w:type="pct"/>
            <w:gridSpan w:val="2"/>
            <w:vMerge w:val="continue"/>
            <w:tcBorders>
              <w:top w:val="single" w:color="auto" w:sz="2" w:space="0"/>
              <w:left w:val="single" w:color="auto" w:sz="2" w:space="0"/>
              <w:bottom w:val="single" w:color="auto" w:sz="2" w:space="0"/>
              <w:right w:val="single" w:color="auto" w:sz="2" w:space="0"/>
            </w:tcBorders>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576" w:type="pct"/>
            <w:gridSpan w:val="2"/>
            <w:vMerge w:val="continue"/>
            <w:tcBorders>
              <w:top w:val="single" w:color="auto" w:sz="2" w:space="0"/>
              <w:left w:val="single" w:color="auto" w:sz="2" w:space="0"/>
              <w:bottom w:val="single" w:color="auto" w:sz="2" w:space="0"/>
              <w:right w:val="single" w:color="auto" w:sz="2" w:space="0"/>
            </w:tcBorders>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452"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岩质边坡</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＜15</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r>
      <w:tr>
        <w:tblPrEx>
          <w:tblCellMar>
            <w:top w:w="0" w:type="dxa"/>
            <w:left w:w="0" w:type="dxa"/>
            <w:bottom w:w="0" w:type="dxa"/>
            <w:right w:w="0" w:type="dxa"/>
          </w:tblCellMar>
        </w:tblPrEx>
        <w:trPr>
          <w:trHeight w:val="327"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489" w:type="pct"/>
            <w:gridSpan w:val="2"/>
            <w:vMerge w:val="continue"/>
            <w:tcBorders>
              <w:top w:val="single" w:color="auto" w:sz="2" w:space="0"/>
              <w:left w:val="single" w:color="auto" w:sz="2" w:space="0"/>
              <w:bottom w:val="single" w:color="auto" w:sz="2" w:space="0"/>
              <w:right w:val="single" w:color="auto" w:sz="2" w:space="0"/>
            </w:tcBorders>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576" w:type="pct"/>
            <w:gridSpan w:val="2"/>
            <w:vMerge w:val="restart"/>
            <w:tcBorders>
              <w:top w:val="single" w:color="auto" w:sz="2" w:space="0"/>
              <w:left w:val="single" w:color="auto" w:sz="2" w:space="0"/>
              <w:right w:val="single" w:color="auto" w:sz="2" w:space="0"/>
            </w:tcBorders>
            <w:vAlign w:val="center"/>
          </w:tcPr>
          <w:p>
            <w:pPr>
              <w:widowControl/>
              <w:adjustRightInd w:val="0"/>
              <w:snapToGrid w:val="0"/>
              <w:spacing w:line="0" w:lineRule="atLeast"/>
              <w:jc w:val="center"/>
              <w:rPr>
                <w:rFonts w:ascii="仿宋_GB2312" w:hAnsi="宋体" w:eastAsia="仿宋_GB2312" w:cs="宋体"/>
                <w:color w:val="000000"/>
                <w:spacing w:val="-10"/>
                <w:kern w:val="0"/>
                <w:szCs w:val="21"/>
              </w:rPr>
            </w:pPr>
            <w:r>
              <w:rPr>
                <w:rFonts w:hint="eastAsia" w:ascii="仿宋_GB2312" w:hAnsi="宋体" w:eastAsia="仿宋_GB2312" w:cs="宋体"/>
                <w:color w:val="000000"/>
                <w:spacing w:val="-10"/>
                <w:kern w:val="0"/>
                <w:szCs w:val="21"/>
              </w:rPr>
              <w:t>漏失量占蓄(流)量的比例％</w:t>
            </w:r>
          </w:p>
        </w:tc>
        <w:tc>
          <w:tcPr>
            <w:tcW w:w="452"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地表水</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r>
      <w:tr>
        <w:tblPrEx>
          <w:tblCellMar>
            <w:top w:w="0" w:type="dxa"/>
            <w:left w:w="0" w:type="dxa"/>
            <w:bottom w:w="0" w:type="dxa"/>
            <w:right w:w="0" w:type="dxa"/>
          </w:tblCellMar>
        </w:tblPrEx>
        <w:trPr>
          <w:trHeight w:val="327"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489" w:type="pct"/>
            <w:gridSpan w:val="2"/>
            <w:vMerge w:val="continue"/>
            <w:tcBorders>
              <w:top w:val="single" w:color="auto" w:sz="2" w:space="0"/>
              <w:left w:val="single" w:color="auto" w:sz="2" w:space="0"/>
              <w:bottom w:val="single" w:color="auto" w:sz="2" w:space="0"/>
              <w:right w:val="single" w:color="auto" w:sz="2" w:space="0"/>
            </w:tcBorders>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576" w:type="pct"/>
            <w:gridSpan w:val="2"/>
            <w:vMerge w:val="continue"/>
            <w:tcBorders>
              <w:left w:val="single" w:color="auto" w:sz="2" w:space="0"/>
              <w:bottom w:val="single" w:color="auto" w:sz="2" w:space="0"/>
              <w:right w:val="single" w:color="auto" w:sz="2" w:space="0"/>
            </w:tcBorders>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452"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地下水</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r>
      <w:tr>
        <w:tblPrEx>
          <w:tblCellMar>
            <w:top w:w="0" w:type="dxa"/>
            <w:left w:w="0" w:type="dxa"/>
            <w:bottom w:w="0" w:type="dxa"/>
            <w:right w:w="0" w:type="dxa"/>
          </w:tblCellMar>
        </w:tblPrEx>
        <w:trPr>
          <w:trHeight w:val="327"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15</w:t>
            </w:r>
          </w:p>
        </w:tc>
        <w:tc>
          <w:tcPr>
            <w:tcW w:w="489" w:type="pct"/>
            <w:gridSpan w:val="2"/>
            <w:vMerge w:val="continue"/>
            <w:tcBorders>
              <w:top w:val="single" w:color="auto" w:sz="2" w:space="0"/>
              <w:left w:val="single" w:color="auto" w:sz="2" w:space="0"/>
              <w:bottom w:val="single" w:color="auto" w:sz="2" w:space="0"/>
              <w:right w:val="single" w:color="auto" w:sz="2" w:space="0"/>
            </w:tcBorders>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1028" w:type="pct"/>
            <w:gridSpan w:val="3"/>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洞顶围岩厚度与洞跨之比</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r>
      <w:tr>
        <w:tblPrEx>
          <w:tblCellMar>
            <w:top w:w="0" w:type="dxa"/>
            <w:left w:w="0" w:type="dxa"/>
            <w:bottom w:w="0" w:type="dxa"/>
            <w:right w:w="0" w:type="dxa"/>
          </w:tblCellMar>
        </w:tblPrEx>
        <w:trPr>
          <w:trHeight w:val="646" w:hRule="atLeast"/>
        </w:trPr>
        <w:tc>
          <w:tcPr>
            <w:tcW w:w="174" w:type="pct"/>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16</w:t>
            </w:r>
          </w:p>
        </w:tc>
        <w:tc>
          <w:tcPr>
            <w:tcW w:w="489" w:type="pct"/>
            <w:gridSpan w:val="2"/>
            <w:vMerge w:val="continue"/>
            <w:tcBorders>
              <w:top w:val="single" w:color="auto" w:sz="2" w:space="0"/>
              <w:left w:val="single" w:color="auto" w:sz="2" w:space="0"/>
              <w:bottom w:val="single" w:color="auto" w:sz="2" w:space="0"/>
              <w:right w:val="single" w:color="auto" w:sz="2" w:space="0"/>
            </w:tcBorders>
            <w:vAlign w:val="center"/>
          </w:tcPr>
          <w:p>
            <w:pPr>
              <w:widowControl/>
              <w:adjustRightInd w:val="0"/>
              <w:snapToGrid w:val="0"/>
              <w:spacing w:line="0" w:lineRule="atLeast"/>
              <w:jc w:val="center"/>
              <w:rPr>
                <w:rFonts w:ascii="仿宋_GB2312" w:hAnsi="宋体" w:eastAsia="仿宋_GB2312" w:cs="宋体"/>
                <w:color w:val="000000"/>
                <w:kern w:val="0"/>
                <w:sz w:val="24"/>
              </w:rPr>
            </w:pPr>
          </w:p>
        </w:tc>
        <w:tc>
          <w:tcPr>
            <w:tcW w:w="1028" w:type="pct"/>
            <w:gridSpan w:val="3"/>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采空区占规划区的比例(%)</w:t>
            </w:r>
          </w:p>
        </w:tc>
        <w:tc>
          <w:tcPr>
            <w:tcW w:w="648"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2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6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26"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643"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无</w:t>
            </w:r>
          </w:p>
        </w:tc>
        <w:tc>
          <w:tcPr>
            <w:tcW w:w="489" w:type="pct"/>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r>
      <w:tr>
        <w:tblPrEx>
          <w:tblCellMar>
            <w:top w:w="0" w:type="dxa"/>
            <w:left w:w="0" w:type="dxa"/>
            <w:bottom w:w="0" w:type="dxa"/>
            <w:right w:w="0" w:type="dxa"/>
          </w:tblCellMar>
        </w:tblPrEx>
        <w:trPr>
          <w:trHeight w:val="337" w:hRule="atLeast"/>
        </w:trPr>
        <w:tc>
          <w:tcPr>
            <w:tcW w:w="1693" w:type="pct"/>
            <w:gridSpan w:val="6"/>
            <w:tcBorders>
              <w:top w:val="single" w:color="auto" w:sz="2" w:space="0"/>
              <w:left w:val="single" w:color="auto" w:sz="1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小结</w:t>
            </w:r>
          </w:p>
        </w:tc>
        <w:tc>
          <w:tcPr>
            <w:tcW w:w="1078" w:type="pct"/>
            <w:gridSpan w:val="2"/>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简单</w:t>
            </w:r>
          </w:p>
        </w:tc>
        <w:tc>
          <w:tcPr>
            <w:tcW w:w="1095" w:type="pct"/>
            <w:gridSpan w:val="2"/>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较复杂</w:t>
            </w:r>
          </w:p>
        </w:tc>
        <w:tc>
          <w:tcPr>
            <w:tcW w:w="1133" w:type="pct"/>
            <w:gridSpan w:val="2"/>
            <w:tcBorders>
              <w:top w:val="single" w:color="auto" w:sz="2" w:space="0"/>
              <w:left w:val="single" w:color="auto" w:sz="2" w:space="0"/>
              <w:bottom w:val="single" w:color="auto" w:sz="2" w:space="0"/>
              <w:right w:val="single" w:color="auto" w:sz="2"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较复杂</w:t>
            </w:r>
          </w:p>
        </w:tc>
      </w:tr>
    </w:tbl>
    <w:p>
      <w:pPr>
        <w:rPr>
          <w:rFonts w:ascii="仿宋_GB2312" w:eastAsia="仿宋_GB2312"/>
        </w:rPr>
      </w:pPr>
    </w:p>
    <w:p>
      <w:pPr>
        <w:rPr>
          <w:rFonts w:ascii="仿宋_GB2312" w:eastAsia="仿宋_GB2312"/>
          <w:b/>
          <w:color w:val="000000"/>
          <w:sz w:val="24"/>
        </w:rPr>
        <w:sectPr>
          <w:type w:val="nextColumn"/>
          <w:pgSz w:w="23814" w:h="16840" w:orient="landscape"/>
          <w:pgMar w:top="1797" w:right="1701" w:bottom="1797" w:left="1701" w:header="851" w:footer="992" w:gutter="0"/>
          <w:cols w:space="720" w:num="1"/>
          <w:docGrid w:linePitch="312" w:charSpace="-3686"/>
        </w:sectPr>
      </w:pPr>
      <w:r>
        <w:rPr>
          <w:rFonts w:hint="eastAsia" w:ascii="仿宋_GB2312" w:eastAsia="仿宋_GB2312"/>
          <w:b/>
          <w:color w:val="000000"/>
          <w:sz w:val="24"/>
        </w:rPr>
        <w:t xml:space="preserve">           </w:t>
      </w:r>
    </w:p>
    <w:p>
      <w:pPr>
        <w:pStyle w:val="3"/>
        <w:spacing w:before="240" w:after="240" w:line="360" w:lineRule="auto"/>
        <w:rPr>
          <w:rFonts w:ascii="仿宋_GB2312" w:eastAsia="仿宋_GB2312"/>
          <w:bCs w:val="0"/>
          <w:kern w:val="30"/>
          <w:sz w:val="30"/>
          <w:szCs w:val="24"/>
        </w:rPr>
      </w:pPr>
      <w:r>
        <w:rPr>
          <w:rFonts w:hint="eastAsia" w:ascii="仿宋_GB2312" w:eastAsia="仿宋_GB2312"/>
          <w:bCs w:val="0"/>
          <w:kern w:val="30"/>
          <w:sz w:val="30"/>
          <w:szCs w:val="24"/>
        </w:rPr>
        <w:t xml:space="preserve"> </w:t>
      </w:r>
      <w:bookmarkStart w:id="88" w:name="_Toc28604"/>
      <w:r>
        <w:rPr>
          <w:rFonts w:hint="eastAsia" w:ascii="仿宋_GB2312" w:eastAsia="仿宋_GB2312"/>
          <w:bCs w:val="0"/>
          <w:kern w:val="30"/>
          <w:sz w:val="30"/>
          <w:szCs w:val="24"/>
        </w:rPr>
        <w:t>6.3 地质环境问题发生可能性指数计算</w:t>
      </w:r>
      <w:bookmarkEnd w:id="88"/>
    </w:p>
    <w:p>
      <w:pPr>
        <w:pStyle w:val="10"/>
        <w:adjustRightInd w:val="0"/>
        <w:snapToGrid w:val="0"/>
        <w:spacing w:line="600" w:lineRule="atLeast"/>
        <w:ind w:firstLine="845" w:firstLineChars="302"/>
        <w:rPr>
          <w:rFonts w:ascii="仿宋_GB2312" w:eastAsia="仿宋_GB2312"/>
          <w:color w:val="000000"/>
        </w:rPr>
      </w:pPr>
      <w:r>
        <w:rPr>
          <w:rFonts w:hint="eastAsia" w:ascii="仿宋_GB2312" w:eastAsia="仿宋_GB2312"/>
          <w:color w:val="000000"/>
        </w:rPr>
        <w:t>各区地质灾害发生可能性指数按《地质灾害危险性评估技术规范》（DB50/T139-2016）附录H计算</w:t>
      </w:r>
    </w:p>
    <w:p>
      <w:pPr>
        <w:pStyle w:val="10"/>
        <w:adjustRightInd w:val="0"/>
        <w:snapToGrid w:val="0"/>
        <w:spacing w:line="600" w:lineRule="atLeast"/>
        <w:ind w:firstLine="845" w:firstLineChars="302"/>
        <w:rPr>
          <w:rFonts w:ascii="仿宋_GB2312" w:eastAsia="仿宋_GB2312"/>
          <w:color w:val="000000"/>
        </w:rPr>
      </w:pPr>
      <w:r>
        <w:rPr>
          <w:rFonts w:hint="eastAsia" w:ascii="仿宋_GB2312" w:eastAsia="仿宋_GB2312"/>
          <w:color w:val="000000"/>
        </w:rPr>
        <w:t>地质灾害发生可能性指数计算公式如下：</w:t>
      </w:r>
    </w:p>
    <w:p>
      <w:pPr>
        <w:pStyle w:val="10"/>
        <w:adjustRightInd w:val="0"/>
        <w:snapToGrid w:val="0"/>
        <w:spacing w:line="600" w:lineRule="atLeast"/>
        <w:ind w:firstLine="845" w:firstLineChars="302"/>
        <w:rPr>
          <w:rFonts w:ascii="仿宋_GB2312" w:eastAsia="仿宋_GB2312"/>
          <w:color w:val="000000"/>
        </w:rPr>
      </w:pPr>
      <w:r>
        <w:rPr>
          <w:rFonts w:hint="eastAsia" w:ascii="仿宋_GB2312" w:eastAsia="仿宋_GB2312"/>
          <w:color w:val="000000"/>
        </w:rPr>
        <w:t>Y=0.62D+0.38R</w:t>
      </w:r>
    </w:p>
    <w:p>
      <w:pPr>
        <w:pStyle w:val="10"/>
        <w:adjustRightInd w:val="0"/>
        <w:snapToGrid w:val="0"/>
        <w:spacing w:line="600" w:lineRule="atLeast"/>
        <w:ind w:firstLine="845" w:firstLineChars="302"/>
        <w:rPr>
          <w:rFonts w:ascii="仿宋_GB2312" w:eastAsia="仿宋_GB2312"/>
          <w:color w:val="000000"/>
        </w:rPr>
      </w:pPr>
      <w:r>
        <w:rPr>
          <w:rFonts w:hint="eastAsia" w:ascii="仿宋_GB2312" w:eastAsia="仿宋_GB2312"/>
          <w:color w:val="000000"/>
        </w:rPr>
        <w:t>式中：Y——地质灾害发生可能性指数</w:t>
      </w:r>
    </w:p>
    <w:p>
      <w:pPr>
        <w:pStyle w:val="10"/>
        <w:adjustRightInd w:val="0"/>
        <w:snapToGrid w:val="0"/>
        <w:spacing w:line="600" w:lineRule="atLeast"/>
        <w:ind w:firstLine="845" w:firstLineChars="302"/>
        <w:rPr>
          <w:rFonts w:ascii="仿宋_GB2312" w:eastAsia="仿宋_GB2312"/>
          <w:color w:val="000000"/>
        </w:rPr>
      </w:pPr>
      <w:r>
        <w:rPr>
          <w:rFonts w:hint="eastAsia" w:ascii="仿宋_GB2312" w:eastAsia="仿宋_GB2312"/>
          <w:color w:val="000000"/>
        </w:rPr>
        <w:t xml:space="preserve">      D——地质环境复杂程度指数，取值由基本分值和附加分值两部分构成。基本分值在地质环境复杂时取0.75，在地质环境较复杂时取0.50，在地质环境简单时取0.25；附加分值由《地质灾害危险性评估技术规范》（DB50/T139-2016）的“表H.1”确定。</w:t>
      </w:r>
    </w:p>
    <w:p>
      <w:pPr>
        <w:pStyle w:val="10"/>
        <w:adjustRightInd w:val="0"/>
        <w:snapToGrid w:val="0"/>
        <w:spacing w:line="600" w:lineRule="atLeast"/>
        <w:ind w:firstLine="845" w:firstLineChars="302"/>
        <w:rPr>
          <w:rFonts w:ascii="仿宋_GB2312" w:eastAsia="仿宋_GB2312"/>
          <w:color w:val="000000"/>
        </w:rPr>
      </w:pPr>
      <w:r>
        <w:rPr>
          <w:rFonts w:hint="eastAsia" w:ascii="仿宋_GB2312" w:eastAsia="仿宋_GB2312"/>
          <w:color w:val="000000"/>
        </w:rPr>
        <w:t>R——降水量指数，区内多年年平均降水量为1163.3mm，介于1000～1500mm之间；多年平均最大日降水量约93.9mm，介于70～95mm之间。查表得R=0.864。</w:t>
      </w:r>
    </w:p>
    <w:p>
      <w:pPr>
        <w:pStyle w:val="10"/>
        <w:adjustRightInd w:val="0"/>
        <w:snapToGrid w:val="0"/>
        <w:spacing w:line="600" w:lineRule="atLeast"/>
        <w:ind w:firstLine="845" w:firstLineChars="302"/>
        <w:rPr>
          <w:rFonts w:ascii="仿宋_GB2312" w:eastAsia="仿宋_GB2312"/>
          <w:color w:val="000000"/>
        </w:rPr>
      </w:pPr>
      <w:r>
        <w:rPr>
          <w:rFonts w:hint="eastAsia" w:ascii="仿宋_GB2312" w:eastAsia="仿宋_GB2312"/>
          <w:color w:val="000000"/>
        </w:rPr>
        <w:t>当Y</w:t>
      </w:r>
      <w:r>
        <w:rPr>
          <w:rFonts w:hint="eastAsia" w:ascii="仿宋_GB2312" w:hAnsi="宋体" w:eastAsia="仿宋_GB2312"/>
          <w:color w:val="000000"/>
        </w:rPr>
        <w:t>≥</w:t>
      </w:r>
      <w:r>
        <w:rPr>
          <w:rFonts w:hint="eastAsia" w:ascii="仿宋_GB2312" w:eastAsia="仿宋_GB2312"/>
          <w:color w:val="000000"/>
        </w:rPr>
        <w:t>0.80时小区地质灾害发生的可能性大；</w:t>
      </w:r>
    </w:p>
    <w:p>
      <w:pPr>
        <w:pStyle w:val="10"/>
        <w:adjustRightInd w:val="0"/>
        <w:snapToGrid w:val="0"/>
        <w:spacing w:line="600" w:lineRule="atLeast"/>
        <w:ind w:firstLine="845" w:firstLineChars="302"/>
        <w:rPr>
          <w:rFonts w:ascii="仿宋_GB2312" w:eastAsia="仿宋_GB2312"/>
          <w:color w:val="000000"/>
        </w:rPr>
      </w:pPr>
      <w:r>
        <w:rPr>
          <w:rFonts w:hint="eastAsia" w:ascii="仿宋_GB2312" w:eastAsia="仿宋_GB2312"/>
          <w:color w:val="000000"/>
        </w:rPr>
        <w:t>0.80＞Y</w:t>
      </w:r>
      <w:r>
        <w:rPr>
          <w:rFonts w:hint="eastAsia" w:ascii="仿宋_GB2312" w:hAnsi="宋体" w:eastAsia="仿宋_GB2312"/>
          <w:color w:val="000000"/>
        </w:rPr>
        <w:t>≥</w:t>
      </w:r>
      <w:r>
        <w:rPr>
          <w:rFonts w:hint="eastAsia" w:ascii="仿宋_GB2312" w:eastAsia="仿宋_GB2312"/>
          <w:color w:val="000000"/>
        </w:rPr>
        <w:t>0.60时小区地质环境问题发生的可能性中等；</w:t>
      </w:r>
    </w:p>
    <w:p>
      <w:pPr>
        <w:pStyle w:val="10"/>
        <w:adjustRightInd w:val="0"/>
        <w:snapToGrid w:val="0"/>
        <w:spacing w:line="600" w:lineRule="atLeast"/>
        <w:ind w:firstLine="845" w:firstLineChars="302"/>
        <w:rPr>
          <w:rFonts w:ascii="仿宋_GB2312" w:eastAsia="仿宋_GB2312"/>
          <w:color w:val="000000"/>
        </w:rPr>
      </w:pPr>
      <w:r>
        <w:rPr>
          <w:rFonts w:hint="eastAsia" w:ascii="仿宋_GB2312" w:eastAsia="仿宋_GB2312"/>
          <w:color w:val="000000"/>
        </w:rPr>
        <w:t>Y＜0.60时小区地质环境问题发生的可能性小。</w:t>
      </w:r>
    </w:p>
    <w:p>
      <w:pPr>
        <w:spacing w:line="600" w:lineRule="atLeast"/>
        <w:ind w:firstLine="573"/>
        <w:rPr>
          <w:rFonts w:ascii="仿宋_GB2312" w:eastAsia="仿宋_GB2312"/>
          <w:color w:val="000000"/>
          <w:sz w:val="28"/>
        </w:rPr>
      </w:pPr>
      <w:r>
        <w:rPr>
          <w:rFonts w:hint="eastAsia" w:ascii="仿宋_GB2312" w:hAnsi="宋体" w:eastAsia="仿宋_GB2312" w:cs="宋体"/>
          <w:color w:val="000000"/>
          <w:kern w:val="0"/>
          <w:sz w:val="28"/>
          <w:szCs w:val="28"/>
        </w:rPr>
        <w:t>各</w:t>
      </w:r>
      <w:r>
        <w:rPr>
          <w:rFonts w:hint="eastAsia" w:ascii="仿宋_GB2312" w:eastAsia="仿宋_GB2312"/>
          <w:color w:val="000000"/>
          <w:sz w:val="28"/>
        </w:rPr>
        <w:t>小区地质环境问题发生可能性指数计算见各小区地质灾害发生可能性指数计算表(表6.3-1、表6.3-2、表6.3-3)。</w:t>
      </w:r>
    </w:p>
    <w:p>
      <w:pPr>
        <w:spacing w:line="600" w:lineRule="atLeast"/>
        <w:ind w:firstLine="573"/>
        <w:rPr>
          <w:rFonts w:ascii="仿宋_GB2312" w:eastAsia="仿宋_GB2312"/>
          <w:color w:val="000000"/>
          <w:sz w:val="28"/>
        </w:rPr>
      </w:pPr>
    </w:p>
    <w:p>
      <w:pPr>
        <w:spacing w:line="600" w:lineRule="atLeast"/>
        <w:ind w:firstLine="573"/>
        <w:rPr>
          <w:rFonts w:ascii="仿宋_GB2312" w:eastAsia="仿宋_GB2312"/>
          <w:color w:val="000000"/>
          <w:sz w:val="28"/>
        </w:rPr>
      </w:pPr>
    </w:p>
    <w:p>
      <w:pPr>
        <w:spacing w:line="600" w:lineRule="atLeast"/>
        <w:ind w:firstLine="573"/>
        <w:rPr>
          <w:rFonts w:ascii="仿宋_GB2312" w:eastAsia="仿宋_GB2312"/>
          <w:color w:val="000000"/>
          <w:sz w:val="28"/>
        </w:rPr>
      </w:pPr>
    </w:p>
    <w:p>
      <w:pPr>
        <w:spacing w:line="600" w:lineRule="atLeast"/>
        <w:ind w:firstLine="573"/>
        <w:rPr>
          <w:rFonts w:ascii="仿宋_GB2312" w:eastAsia="仿宋_GB2312"/>
          <w:color w:val="000000"/>
          <w:sz w:val="28"/>
        </w:rPr>
      </w:pPr>
    </w:p>
    <w:p>
      <w:pPr>
        <w:spacing w:line="600" w:lineRule="atLeast"/>
        <w:ind w:firstLine="573"/>
        <w:rPr>
          <w:rFonts w:ascii="仿宋_GB2312" w:eastAsia="仿宋_GB2312"/>
          <w:b/>
          <w:i/>
          <w:color w:val="000000"/>
          <w:sz w:val="24"/>
        </w:rPr>
      </w:pPr>
      <w:r>
        <w:rPr>
          <w:rFonts w:hint="eastAsia" w:ascii="仿宋_GB2312" w:eastAsia="仿宋_GB2312"/>
          <w:b/>
          <w:color w:val="000000"/>
          <w:sz w:val="24"/>
        </w:rPr>
        <w:t>表6.3-1</w:t>
      </w:r>
      <w:r>
        <w:rPr>
          <w:rFonts w:hint="eastAsia" w:ascii="仿宋_GB2312" w:eastAsia="仿宋_GB2312"/>
          <w:b/>
          <w:i/>
          <w:color w:val="000000"/>
          <w:sz w:val="24"/>
        </w:rPr>
        <w:t xml:space="preserve">             </w:t>
      </w:r>
      <w:r>
        <w:rPr>
          <w:rFonts w:hint="eastAsia" w:ascii="仿宋_GB2312" w:eastAsia="仿宋_GB2312"/>
          <w:b/>
          <w:color w:val="000000"/>
          <w:sz w:val="24"/>
        </w:rPr>
        <w:t>各小区地质灾害发生可能性指数计算表</w:t>
      </w:r>
    </w:p>
    <w:tbl>
      <w:tblPr>
        <w:tblStyle w:val="30"/>
        <w:tblW w:w="4766" w:type="pct"/>
        <w:jc w:val="center"/>
        <w:tblLayout w:type="fixed"/>
        <w:tblCellMar>
          <w:top w:w="0" w:type="dxa"/>
          <w:left w:w="0" w:type="dxa"/>
          <w:bottom w:w="0" w:type="dxa"/>
          <w:right w:w="0" w:type="dxa"/>
        </w:tblCellMar>
      </w:tblPr>
      <w:tblGrid>
        <w:gridCol w:w="1615"/>
        <w:gridCol w:w="953"/>
        <w:gridCol w:w="3220"/>
        <w:gridCol w:w="2132"/>
        <w:gridCol w:w="1167"/>
      </w:tblGrid>
      <w:tr>
        <w:tblPrEx>
          <w:tblCellMar>
            <w:top w:w="0" w:type="dxa"/>
            <w:left w:w="0" w:type="dxa"/>
            <w:bottom w:w="0" w:type="dxa"/>
            <w:right w:w="0" w:type="dxa"/>
          </w:tblCellMar>
        </w:tblPrEx>
        <w:trPr>
          <w:trHeight w:val="791" w:hRule="atLeast"/>
          <w:jc w:val="center"/>
        </w:trPr>
        <w:tc>
          <w:tcPr>
            <w:tcW w:w="1412" w:type="pct"/>
            <w:gridSpan w:val="2"/>
            <w:tcBorders>
              <w:top w:val="single" w:color="auto" w:sz="4" w:space="0"/>
              <w:left w:val="single" w:color="auto" w:sz="4" w:space="0"/>
              <w:bottom w:val="single" w:color="auto" w:sz="6" w:space="0"/>
              <w:right w:val="single" w:color="auto" w:sz="6"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宏  观  小  区</w:t>
            </w:r>
          </w:p>
        </w:tc>
        <w:tc>
          <w:tcPr>
            <w:tcW w:w="1771" w:type="pct"/>
            <w:tcBorders>
              <w:top w:val="single" w:color="auto" w:sz="4" w:space="0"/>
              <w:left w:val="single" w:color="auto" w:sz="6" w:space="0"/>
              <w:bottom w:val="single" w:color="auto" w:sz="6" w:space="0"/>
              <w:right w:val="single" w:color="auto" w:sz="6" w:space="0"/>
            </w:tcBorders>
            <w:shd w:val="clear" w:color="auto" w:fill="auto"/>
            <w:noWrap/>
            <w:vAlign w:val="center"/>
          </w:tcPr>
          <w:p>
            <w:pPr>
              <w:widowControl/>
              <w:adjustRightInd w:val="0"/>
              <w:snapToGrid w:val="0"/>
              <w:spacing w:line="240" w:lineRule="exact"/>
              <w:jc w:val="center"/>
              <w:rPr>
                <w:rFonts w:ascii="仿宋_GB2312" w:hAnsi="宋体" w:eastAsia="仿宋_GB2312" w:cs="宋体"/>
                <w:color w:val="000000"/>
                <w:kern w:val="0"/>
                <w:sz w:val="18"/>
                <w:szCs w:val="18"/>
              </w:rPr>
            </w:pPr>
            <w:r>
              <w:rPr>
                <w:rFonts w:hint="eastAsia" w:ascii="仿宋_GB2312" w:eastAsia="仿宋_GB2312"/>
                <w:color w:val="000000"/>
                <w:szCs w:val="36"/>
              </w:rPr>
              <w:t>1、2、3、4、5、6、7、8、9、10、11、12、13、14、15、16、18、20</w:t>
            </w:r>
          </w:p>
        </w:tc>
        <w:tc>
          <w:tcPr>
            <w:tcW w:w="1173" w:type="pct"/>
            <w:tcBorders>
              <w:top w:val="single" w:color="auto" w:sz="4" w:space="0"/>
              <w:left w:val="single" w:color="auto" w:sz="6" w:space="0"/>
              <w:bottom w:val="single" w:color="auto" w:sz="6" w:space="0"/>
              <w:right w:val="single" w:color="auto" w:sz="6"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FF0000"/>
                <w:kern w:val="0"/>
                <w:sz w:val="18"/>
                <w:szCs w:val="18"/>
              </w:rPr>
            </w:pPr>
            <w:r>
              <w:rPr>
                <w:rFonts w:hint="eastAsia" w:ascii="仿宋_GB2312" w:eastAsia="仿宋_GB2312"/>
                <w:color w:val="000000" w:themeColor="text1"/>
                <w:szCs w:val="36"/>
              </w:rPr>
              <w:t>17、21</w:t>
            </w:r>
          </w:p>
        </w:tc>
        <w:tc>
          <w:tcPr>
            <w:tcW w:w="642" w:type="pct"/>
            <w:tcBorders>
              <w:top w:val="single" w:color="auto" w:sz="4" w:space="0"/>
              <w:left w:val="single" w:color="auto" w:sz="6" w:space="0"/>
              <w:bottom w:val="single" w:color="auto" w:sz="6"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eastAsia="仿宋_GB2312"/>
                <w:szCs w:val="36"/>
              </w:rPr>
              <w:t>22、19</w:t>
            </w:r>
          </w:p>
        </w:tc>
      </w:tr>
      <w:tr>
        <w:tblPrEx>
          <w:tblCellMar>
            <w:top w:w="0" w:type="dxa"/>
            <w:left w:w="0" w:type="dxa"/>
            <w:bottom w:w="0" w:type="dxa"/>
            <w:right w:w="0" w:type="dxa"/>
          </w:tblCellMar>
        </w:tblPrEx>
        <w:trPr>
          <w:trHeight w:val="268" w:hRule="atLeast"/>
          <w:jc w:val="center"/>
        </w:trPr>
        <w:tc>
          <w:tcPr>
            <w:tcW w:w="888" w:type="pct"/>
            <w:vMerge w:val="restart"/>
            <w:tcBorders>
              <w:top w:val="single" w:color="auto" w:sz="6" w:space="0"/>
              <w:left w:val="single" w:color="auto" w:sz="4" w:space="0"/>
              <w:bottom w:val="single" w:color="auto" w:sz="4" w:space="0"/>
              <w:right w:val="single" w:color="auto" w:sz="6"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地质环境</w:t>
            </w:r>
          </w:p>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复杂程度</w:t>
            </w:r>
          </w:p>
        </w:tc>
        <w:tc>
          <w:tcPr>
            <w:tcW w:w="523" w:type="pct"/>
            <w:tcBorders>
              <w:top w:val="single" w:color="auto" w:sz="6" w:space="0"/>
              <w:left w:val="single" w:color="auto" w:sz="6" w:space="0"/>
              <w:bottom w:val="single" w:color="auto" w:sz="4" w:space="0"/>
              <w:right w:val="single" w:color="auto" w:sz="6"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总体特征</w:t>
            </w:r>
          </w:p>
        </w:tc>
        <w:tc>
          <w:tcPr>
            <w:tcW w:w="1771" w:type="pct"/>
            <w:tcBorders>
              <w:top w:val="single" w:color="auto" w:sz="6" w:space="0"/>
              <w:left w:val="single" w:color="auto" w:sz="6" w:space="0"/>
              <w:bottom w:val="single" w:color="auto" w:sz="4" w:space="0"/>
              <w:right w:val="single" w:color="auto" w:sz="6"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简单</w:t>
            </w:r>
          </w:p>
        </w:tc>
        <w:tc>
          <w:tcPr>
            <w:tcW w:w="1173" w:type="pct"/>
            <w:tcBorders>
              <w:top w:val="single" w:color="auto" w:sz="6" w:space="0"/>
              <w:left w:val="single" w:color="auto" w:sz="6" w:space="0"/>
              <w:bottom w:val="single" w:color="auto" w:sz="4" w:space="0"/>
              <w:right w:val="single" w:color="auto" w:sz="6"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较复杂</w:t>
            </w:r>
          </w:p>
        </w:tc>
        <w:tc>
          <w:tcPr>
            <w:tcW w:w="642" w:type="pct"/>
            <w:tcBorders>
              <w:top w:val="single" w:color="auto" w:sz="6" w:space="0"/>
              <w:left w:val="single" w:color="auto" w:sz="6" w:space="0"/>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较复杂</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基本分值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0.25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0.50</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0.50</w:t>
            </w:r>
          </w:p>
        </w:tc>
      </w:tr>
      <w:tr>
        <w:tblPrEx>
          <w:tblCellMar>
            <w:top w:w="0" w:type="dxa"/>
            <w:left w:w="0" w:type="dxa"/>
            <w:bottom w:w="0" w:type="dxa"/>
            <w:right w:w="0" w:type="dxa"/>
          </w:tblCellMar>
        </w:tblPrEx>
        <w:trPr>
          <w:trHeight w:val="516" w:hRule="atLeast"/>
          <w:jc w:val="center"/>
        </w:trPr>
        <w:tc>
          <w:tcPr>
            <w:tcW w:w="888" w:type="pct"/>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地形坡角(°)</w:t>
            </w: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特征</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＜15°</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≥15°，＜30°</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≥15°，＜30°</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0.010</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0.010</w:t>
            </w:r>
          </w:p>
        </w:tc>
      </w:tr>
      <w:tr>
        <w:tblPrEx>
          <w:tblCellMar>
            <w:top w:w="0" w:type="dxa"/>
            <w:left w:w="0" w:type="dxa"/>
            <w:bottom w:w="0" w:type="dxa"/>
            <w:right w:w="0" w:type="dxa"/>
          </w:tblCellMar>
        </w:tblPrEx>
        <w:trPr>
          <w:trHeight w:val="263" w:hRule="atLeast"/>
          <w:jc w:val="center"/>
        </w:trPr>
        <w:tc>
          <w:tcPr>
            <w:tcW w:w="888" w:type="pct"/>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自然岩坡</w:t>
            </w:r>
          </w:p>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高度(m)</w:t>
            </w: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特征</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blPrEx>
          <w:tblCellMar>
            <w:top w:w="0" w:type="dxa"/>
            <w:left w:w="0" w:type="dxa"/>
            <w:bottom w:w="0" w:type="dxa"/>
            <w:right w:w="0" w:type="dxa"/>
          </w:tblCellMar>
        </w:tblPrEx>
        <w:trPr>
          <w:trHeight w:val="263" w:hRule="atLeast"/>
          <w:jc w:val="center"/>
        </w:trPr>
        <w:tc>
          <w:tcPr>
            <w:tcW w:w="888" w:type="pct"/>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自然土坡</w:t>
            </w:r>
          </w:p>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高度(m)</w:t>
            </w: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特征</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blPrEx>
          <w:tblCellMar>
            <w:top w:w="0" w:type="dxa"/>
            <w:left w:w="0" w:type="dxa"/>
            <w:bottom w:w="0" w:type="dxa"/>
            <w:right w:w="0" w:type="dxa"/>
          </w:tblCellMar>
        </w:tblPrEx>
        <w:trPr>
          <w:trHeight w:val="210" w:hRule="atLeast"/>
          <w:jc w:val="center"/>
        </w:trPr>
        <w:tc>
          <w:tcPr>
            <w:tcW w:w="888" w:type="pct"/>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土层厚度(m)</w:t>
            </w: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特征</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themeColor="text1"/>
                <w:kern w:val="0"/>
                <w:sz w:val="18"/>
                <w:szCs w:val="18"/>
              </w:rPr>
            </w:pPr>
            <w:r>
              <w:rPr>
                <w:rFonts w:hint="eastAsia" w:ascii="仿宋_GB2312" w:hAnsi="宋体" w:eastAsia="仿宋_GB2312" w:cs="宋体"/>
                <w:color w:val="000000" w:themeColor="text1"/>
                <w:kern w:val="0"/>
                <w:sz w:val="18"/>
                <w:szCs w:val="18"/>
              </w:rPr>
              <w:t>3＜h＜10</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themeColor="text1"/>
                <w:kern w:val="0"/>
                <w:sz w:val="18"/>
                <w:szCs w:val="18"/>
              </w:rPr>
            </w:pPr>
            <w:r>
              <w:rPr>
                <w:rFonts w:hint="eastAsia" w:ascii="仿宋_GB2312" w:hAnsi="宋体" w:eastAsia="仿宋_GB2312" w:cs="宋体"/>
                <w:color w:val="000000" w:themeColor="text1"/>
                <w:kern w:val="0"/>
                <w:sz w:val="18"/>
                <w:szCs w:val="18"/>
              </w:rPr>
              <w:t>3＜h＜10</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themeColor="text1"/>
                <w:kern w:val="0"/>
                <w:sz w:val="18"/>
                <w:szCs w:val="18"/>
              </w:rPr>
            </w:pPr>
            <w:r>
              <w:rPr>
                <w:rFonts w:hint="eastAsia" w:ascii="仿宋_GB2312" w:hAnsi="宋体" w:eastAsia="仿宋_GB2312" w:cs="宋体"/>
                <w:color w:val="000000" w:themeColor="text1"/>
                <w:kern w:val="0"/>
                <w:sz w:val="18"/>
                <w:szCs w:val="18"/>
              </w:rPr>
              <w:t>3＜h＜10</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0.010</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0.010</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FF0000"/>
                <w:kern w:val="0"/>
                <w:sz w:val="18"/>
                <w:szCs w:val="18"/>
              </w:rPr>
            </w:pPr>
            <w:r>
              <w:rPr>
                <w:rFonts w:hint="eastAsia" w:ascii="仿宋_GB2312" w:hAnsi="宋体" w:eastAsia="仿宋_GB2312" w:cs="宋体"/>
                <w:color w:val="000000" w:themeColor="text1"/>
                <w:kern w:val="0"/>
                <w:sz w:val="18"/>
                <w:szCs w:val="18"/>
              </w:rPr>
              <w:t>0.010</w:t>
            </w:r>
            <w:r>
              <w:rPr>
                <w:rFonts w:hint="eastAsia" w:ascii="仿宋_GB2312" w:hAnsi="宋体" w:eastAsia="仿宋_GB2312" w:cs="宋体"/>
                <w:color w:val="FF0000"/>
                <w:kern w:val="0"/>
                <w:sz w:val="18"/>
                <w:szCs w:val="18"/>
              </w:rPr>
              <w:t>　</w:t>
            </w:r>
          </w:p>
        </w:tc>
      </w:tr>
      <w:tr>
        <w:tblPrEx>
          <w:tblCellMar>
            <w:top w:w="0" w:type="dxa"/>
            <w:left w:w="0" w:type="dxa"/>
            <w:bottom w:w="0" w:type="dxa"/>
            <w:right w:w="0" w:type="dxa"/>
          </w:tblCellMar>
        </w:tblPrEx>
        <w:trPr>
          <w:trHeight w:val="263" w:hRule="atLeast"/>
          <w:jc w:val="center"/>
        </w:trPr>
        <w:tc>
          <w:tcPr>
            <w:tcW w:w="888" w:type="pct"/>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岩层厚度(m)</w:t>
            </w: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特征</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中厚-厚层状</w:t>
            </w:r>
          </w:p>
        </w:tc>
        <w:tc>
          <w:tcPr>
            <w:tcW w:w="1173" w:type="pct"/>
            <w:tcBorders>
              <w:top w:val="single" w:color="auto" w:sz="4" w:space="0"/>
              <w:left w:val="nil"/>
              <w:bottom w:val="single" w:color="auto" w:sz="4" w:space="0"/>
              <w:right w:val="single" w:color="auto" w:sz="4" w:space="0"/>
            </w:tcBorders>
            <w:shd w:val="clear" w:color="auto" w:fill="auto"/>
            <w:noWrap/>
          </w:tcPr>
          <w:p>
            <w:pPr>
              <w:jc w:val="center"/>
              <w:rPr>
                <w:sz w:val="18"/>
                <w:szCs w:val="18"/>
              </w:rPr>
            </w:pPr>
            <w:r>
              <w:rPr>
                <w:rFonts w:hint="eastAsia" w:ascii="仿宋_GB2312" w:hAnsi="宋体" w:eastAsia="仿宋_GB2312" w:cs="宋体"/>
                <w:color w:val="000000"/>
                <w:kern w:val="0"/>
                <w:sz w:val="18"/>
                <w:szCs w:val="18"/>
              </w:rPr>
              <w:t>中厚-厚层状</w:t>
            </w:r>
          </w:p>
        </w:tc>
        <w:tc>
          <w:tcPr>
            <w:tcW w:w="642" w:type="pct"/>
            <w:tcBorders>
              <w:top w:val="single" w:color="auto" w:sz="4" w:space="0"/>
              <w:left w:val="nil"/>
              <w:bottom w:val="single" w:color="auto" w:sz="4" w:space="0"/>
              <w:right w:val="single" w:color="auto" w:sz="4" w:space="0"/>
            </w:tcBorders>
            <w:shd w:val="clear" w:color="auto" w:fill="auto"/>
            <w:noWrap/>
          </w:tcPr>
          <w:p>
            <w:pPr>
              <w:jc w:val="center"/>
              <w:rPr>
                <w:sz w:val="18"/>
                <w:szCs w:val="18"/>
              </w:rPr>
            </w:pPr>
            <w:r>
              <w:rPr>
                <w:rFonts w:hint="eastAsia" w:ascii="仿宋_GB2312" w:hAnsi="宋体" w:eastAsia="仿宋_GB2312" w:cs="宋体"/>
                <w:color w:val="000000"/>
                <w:kern w:val="0"/>
                <w:sz w:val="18"/>
                <w:szCs w:val="18"/>
              </w:rPr>
              <w:t>中厚-厚层状</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0.010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0.010</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0.010</w:t>
            </w:r>
          </w:p>
        </w:tc>
      </w:tr>
      <w:tr>
        <w:tblPrEx>
          <w:tblCellMar>
            <w:top w:w="0" w:type="dxa"/>
            <w:left w:w="0" w:type="dxa"/>
            <w:bottom w:w="0" w:type="dxa"/>
            <w:right w:w="0" w:type="dxa"/>
          </w:tblCellMar>
        </w:tblPrEx>
        <w:trPr>
          <w:trHeight w:val="90" w:hRule="atLeast"/>
          <w:jc w:val="center"/>
        </w:trPr>
        <w:tc>
          <w:tcPr>
            <w:tcW w:w="888" w:type="pct"/>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岩层或土</w:t>
            </w:r>
          </w:p>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层组合</w:t>
            </w: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特征</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二元组合</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二元组合</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二元组合</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0.010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 0.010 </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0.010 </w:t>
            </w:r>
          </w:p>
        </w:tc>
      </w:tr>
      <w:tr>
        <w:tblPrEx>
          <w:tblCellMar>
            <w:top w:w="0" w:type="dxa"/>
            <w:left w:w="0" w:type="dxa"/>
            <w:bottom w:w="0" w:type="dxa"/>
            <w:right w:w="0" w:type="dxa"/>
          </w:tblCellMar>
        </w:tblPrEx>
        <w:trPr>
          <w:trHeight w:val="263" w:hRule="atLeast"/>
          <w:jc w:val="center"/>
        </w:trPr>
        <w:tc>
          <w:tcPr>
            <w:tcW w:w="888" w:type="pct"/>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裂隙发</w:t>
            </w:r>
          </w:p>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育程度</w:t>
            </w: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特征</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简单</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简单</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简单</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blPrEx>
          <w:tblCellMar>
            <w:top w:w="0" w:type="dxa"/>
            <w:left w:w="0" w:type="dxa"/>
            <w:bottom w:w="0" w:type="dxa"/>
            <w:right w:w="0" w:type="dxa"/>
          </w:tblCellMar>
        </w:tblPrEx>
        <w:trPr>
          <w:trHeight w:val="263" w:hRule="atLeast"/>
          <w:jc w:val="center"/>
        </w:trPr>
        <w:tc>
          <w:tcPr>
            <w:tcW w:w="888" w:type="pct"/>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贯通性结构面与斜(边)坡关系</w:t>
            </w: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特征</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简单</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简单</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较复杂</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0.010</w:t>
            </w:r>
          </w:p>
        </w:tc>
      </w:tr>
      <w:tr>
        <w:tblPrEx>
          <w:tblCellMar>
            <w:top w:w="0" w:type="dxa"/>
            <w:left w:w="0" w:type="dxa"/>
            <w:bottom w:w="0" w:type="dxa"/>
            <w:right w:w="0" w:type="dxa"/>
          </w:tblCellMar>
        </w:tblPrEx>
        <w:trPr>
          <w:trHeight w:val="263" w:hRule="atLeast"/>
          <w:jc w:val="center"/>
        </w:trPr>
        <w:tc>
          <w:tcPr>
            <w:tcW w:w="888" w:type="pct"/>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地震基本烈度</w:t>
            </w: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特征</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Ⅵ</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Ⅵ</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Ⅵ</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0.010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0.010</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0.010</w:t>
            </w:r>
          </w:p>
        </w:tc>
      </w:tr>
      <w:tr>
        <w:tblPrEx>
          <w:tblCellMar>
            <w:top w:w="0" w:type="dxa"/>
            <w:left w:w="0" w:type="dxa"/>
            <w:bottom w:w="0" w:type="dxa"/>
            <w:right w:w="0" w:type="dxa"/>
          </w:tblCellMar>
        </w:tblPrEx>
        <w:trPr>
          <w:trHeight w:val="263" w:hRule="atLeast"/>
          <w:jc w:val="center"/>
        </w:trPr>
        <w:tc>
          <w:tcPr>
            <w:tcW w:w="888" w:type="pct"/>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地表水对岩</w:t>
            </w:r>
          </w:p>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土体的影响</w:t>
            </w: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特征</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小</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小</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小</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blPrEx>
          <w:tblCellMar>
            <w:top w:w="0" w:type="dxa"/>
            <w:left w:w="0" w:type="dxa"/>
            <w:bottom w:w="0" w:type="dxa"/>
            <w:right w:w="0" w:type="dxa"/>
          </w:tblCellMar>
        </w:tblPrEx>
        <w:trPr>
          <w:trHeight w:val="263" w:hRule="atLeast"/>
          <w:jc w:val="center"/>
        </w:trPr>
        <w:tc>
          <w:tcPr>
            <w:tcW w:w="888" w:type="pct"/>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地下水对岩</w:t>
            </w:r>
          </w:p>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土体的影响</w:t>
            </w: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特征</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小</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小</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小</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blPrEx>
          <w:tblCellMar>
            <w:top w:w="0" w:type="dxa"/>
            <w:left w:w="0" w:type="dxa"/>
            <w:bottom w:w="0" w:type="dxa"/>
            <w:right w:w="0" w:type="dxa"/>
          </w:tblCellMar>
        </w:tblPrEx>
        <w:trPr>
          <w:trHeight w:val="263" w:hRule="atLeast"/>
          <w:jc w:val="center"/>
        </w:trPr>
        <w:tc>
          <w:tcPr>
            <w:tcW w:w="888" w:type="pct"/>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不良地质现象占规划区的比例(%)</w:t>
            </w: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特征</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blPrEx>
          <w:tblCellMar>
            <w:top w:w="0" w:type="dxa"/>
            <w:left w:w="0" w:type="dxa"/>
            <w:bottom w:w="0" w:type="dxa"/>
            <w:right w:w="0" w:type="dxa"/>
          </w:tblCellMar>
        </w:tblPrEx>
        <w:trPr>
          <w:trHeight w:val="263" w:hRule="atLeast"/>
          <w:jc w:val="center"/>
        </w:trPr>
        <w:tc>
          <w:tcPr>
            <w:tcW w:w="888" w:type="pct"/>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土质边坡</w:t>
            </w: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特征</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blPrEx>
          <w:tblCellMar>
            <w:top w:w="0" w:type="dxa"/>
            <w:left w:w="0" w:type="dxa"/>
            <w:bottom w:w="0" w:type="dxa"/>
            <w:right w:w="0" w:type="dxa"/>
          </w:tblCellMar>
        </w:tblPrEx>
        <w:trPr>
          <w:trHeight w:val="263" w:hRule="atLeast"/>
          <w:jc w:val="center"/>
        </w:trPr>
        <w:tc>
          <w:tcPr>
            <w:tcW w:w="888" w:type="pct"/>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岩质边坡</w:t>
            </w: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特征</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blPrEx>
          <w:tblCellMar>
            <w:top w:w="0" w:type="dxa"/>
            <w:left w:w="0" w:type="dxa"/>
            <w:bottom w:w="0" w:type="dxa"/>
            <w:right w:w="0" w:type="dxa"/>
          </w:tblCellMar>
        </w:tblPrEx>
        <w:trPr>
          <w:trHeight w:val="263" w:hRule="atLeast"/>
          <w:jc w:val="center"/>
        </w:trPr>
        <w:tc>
          <w:tcPr>
            <w:tcW w:w="888" w:type="pct"/>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洞顶围岩厚度</w:t>
            </w:r>
          </w:p>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与洞跨之比</w:t>
            </w: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特征</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blPrEx>
          <w:tblCellMar>
            <w:top w:w="0" w:type="dxa"/>
            <w:left w:w="0" w:type="dxa"/>
            <w:bottom w:w="0" w:type="dxa"/>
            <w:right w:w="0" w:type="dxa"/>
          </w:tblCellMar>
        </w:tblPrEx>
        <w:trPr>
          <w:trHeight w:val="263" w:hRule="atLeast"/>
          <w:jc w:val="center"/>
        </w:trPr>
        <w:tc>
          <w:tcPr>
            <w:tcW w:w="888" w:type="pct"/>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采空区占规划区的比例(%)</w:t>
            </w: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特征</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无</w:t>
            </w:r>
          </w:p>
        </w:tc>
      </w:tr>
      <w:tr>
        <w:tblPrEx>
          <w:tblCellMar>
            <w:top w:w="0" w:type="dxa"/>
            <w:left w:w="0" w:type="dxa"/>
            <w:bottom w:w="0" w:type="dxa"/>
            <w:right w:w="0" w:type="dxa"/>
          </w:tblCellMar>
        </w:tblPrEx>
        <w:trPr>
          <w:trHeight w:val="263" w:hRule="atLeast"/>
          <w:jc w:val="center"/>
        </w:trPr>
        <w:tc>
          <w:tcPr>
            <w:tcW w:w="888" w:type="pct"/>
            <w:vMerge w:val="continue"/>
            <w:tcBorders>
              <w:top w:val="single" w:color="auto" w:sz="4" w:space="0"/>
              <w:left w:val="single" w:color="auto" w:sz="12" w:space="0"/>
              <w:bottom w:val="single" w:color="auto" w:sz="4" w:space="0"/>
              <w:right w:val="single" w:color="auto" w:sz="4" w:space="0"/>
            </w:tcBorders>
            <w:vAlign w:val="center"/>
          </w:tcPr>
          <w:p>
            <w:pPr>
              <w:widowControl/>
              <w:adjustRightInd w:val="0"/>
              <w:snapToGrid w:val="0"/>
              <w:spacing w:line="0" w:lineRule="atLeast"/>
              <w:jc w:val="left"/>
              <w:rPr>
                <w:rFonts w:ascii="仿宋_GB2312" w:hAnsi="宋体" w:eastAsia="仿宋_GB2312" w:cs="宋体"/>
                <w:color w:val="000000"/>
                <w:kern w:val="0"/>
                <w:sz w:val="18"/>
                <w:szCs w:val="18"/>
              </w:rPr>
            </w:pPr>
          </w:p>
        </w:tc>
        <w:tc>
          <w:tcPr>
            <w:tcW w:w="52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w:t>
            </w:r>
          </w:p>
        </w:tc>
      </w:tr>
      <w:tr>
        <w:tblPrEx>
          <w:tblCellMar>
            <w:top w:w="0" w:type="dxa"/>
            <w:left w:w="0" w:type="dxa"/>
            <w:bottom w:w="0" w:type="dxa"/>
            <w:right w:w="0" w:type="dxa"/>
          </w:tblCellMar>
        </w:tblPrEx>
        <w:trPr>
          <w:trHeight w:val="263" w:hRule="atLeast"/>
          <w:jc w:val="center"/>
        </w:trPr>
        <w:tc>
          <w:tcPr>
            <w:tcW w:w="1412"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附加分值总和</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0.040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0.060</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0.060</w:t>
            </w:r>
          </w:p>
        </w:tc>
      </w:tr>
      <w:tr>
        <w:tblPrEx>
          <w:tblCellMar>
            <w:top w:w="0" w:type="dxa"/>
            <w:left w:w="0" w:type="dxa"/>
            <w:bottom w:w="0" w:type="dxa"/>
            <w:right w:w="0" w:type="dxa"/>
          </w:tblCellMar>
        </w:tblPrEx>
        <w:trPr>
          <w:trHeight w:val="263" w:hRule="atLeast"/>
          <w:jc w:val="center"/>
        </w:trPr>
        <w:tc>
          <w:tcPr>
            <w:tcW w:w="1412"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地质环境复杂程度指数(D)</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0.290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0.560</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0.560</w:t>
            </w:r>
          </w:p>
        </w:tc>
      </w:tr>
      <w:tr>
        <w:tblPrEx>
          <w:tblCellMar>
            <w:top w:w="0" w:type="dxa"/>
            <w:left w:w="0" w:type="dxa"/>
            <w:bottom w:w="0" w:type="dxa"/>
            <w:right w:w="0" w:type="dxa"/>
          </w:tblCellMar>
        </w:tblPrEx>
        <w:trPr>
          <w:trHeight w:val="263" w:hRule="atLeast"/>
          <w:jc w:val="center"/>
        </w:trPr>
        <w:tc>
          <w:tcPr>
            <w:tcW w:w="1412"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降水量指数(R)</w:t>
            </w:r>
          </w:p>
        </w:tc>
        <w:tc>
          <w:tcPr>
            <w:tcW w:w="17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0.864 </w:t>
            </w:r>
          </w:p>
        </w:tc>
        <w:tc>
          <w:tcPr>
            <w:tcW w:w="1173"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0.864 </w:t>
            </w:r>
          </w:p>
        </w:tc>
        <w:tc>
          <w:tcPr>
            <w:tcW w:w="64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0.864 </w:t>
            </w:r>
          </w:p>
        </w:tc>
      </w:tr>
      <w:tr>
        <w:tblPrEx>
          <w:tblCellMar>
            <w:top w:w="0" w:type="dxa"/>
            <w:left w:w="0" w:type="dxa"/>
            <w:bottom w:w="0" w:type="dxa"/>
            <w:right w:w="0" w:type="dxa"/>
          </w:tblCellMar>
        </w:tblPrEx>
        <w:trPr>
          <w:trHeight w:val="295" w:hRule="atLeast"/>
          <w:jc w:val="center"/>
        </w:trPr>
        <w:tc>
          <w:tcPr>
            <w:tcW w:w="1412" w:type="pct"/>
            <w:gridSpan w:val="2"/>
            <w:tcBorders>
              <w:top w:val="single" w:color="auto" w:sz="4" w:space="0"/>
              <w:left w:val="single" w:color="auto" w:sz="12" w:space="0"/>
              <w:bottom w:val="single" w:color="auto" w:sz="12"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地质灾害发生可能性指数(Y)</w:t>
            </w:r>
          </w:p>
        </w:tc>
        <w:tc>
          <w:tcPr>
            <w:tcW w:w="1771" w:type="pct"/>
            <w:tcBorders>
              <w:top w:val="single" w:color="auto" w:sz="4" w:space="0"/>
              <w:left w:val="nil"/>
              <w:bottom w:val="single" w:color="auto" w:sz="12"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0.508</w:t>
            </w:r>
          </w:p>
        </w:tc>
        <w:tc>
          <w:tcPr>
            <w:tcW w:w="1173" w:type="pct"/>
            <w:tcBorders>
              <w:top w:val="single" w:color="auto" w:sz="4" w:space="0"/>
              <w:left w:val="nil"/>
              <w:bottom w:val="single" w:color="auto" w:sz="12"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0.676 </w:t>
            </w:r>
          </w:p>
        </w:tc>
        <w:tc>
          <w:tcPr>
            <w:tcW w:w="642" w:type="pct"/>
            <w:tcBorders>
              <w:top w:val="single" w:color="auto" w:sz="4" w:space="0"/>
              <w:left w:val="nil"/>
              <w:bottom w:val="single" w:color="auto" w:sz="12" w:space="0"/>
              <w:right w:val="single" w:color="auto" w:sz="4" w:space="0"/>
            </w:tcBorders>
            <w:shd w:val="clear" w:color="auto" w:fill="auto"/>
            <w:noWrap/>
            <w:vAlign w:val="center"/>
          </w:tcPr>
          <w:p>
            <w:pPr>
              <w:widowControl/>
              <w:adjustRightInd w:val="0"/>
              <w:snapToGrid w:val="0"/>
              <w:spacing w:line="0" w:lineRule="atLeast"/>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 xml:space="preserve">0.676 </w:t>
            </w:r>
          </w:p>
        </w:tc>
      </w:tr>
    </w:tbl>
    <w:p>
      <w:pPr>
        <w:adjustRightInd w:val="0"/>
        <w:snapToGrid w:val="0"/>
        <w:spacing w:line="0" w:lineRule="atLeast"/>
        <w:ind w:firstLine="241" w:firstLineChars="100"/>
        <w:rPr>
          <w:rFonts w:ascii="仿宋_GB2312" w:eastAsia="仿宋_GB2312"/>
          <w:b/>
          <w:color w:val="000000"/>
          <w:sz w:val="24"/>
        </w:rPr>
      </w:pPr>
    </w:p>
    <w:p>
      <w:pPr>
        <w:pStyle w:val="3"/>
        <w:adjustRightInd w:val="0"/>
        <w:snapToGrid w:val="0"/>
        <w:spacing w:before="0" w:after="0" w:line="360" w:lineRule="auto"/>
        <w:rPr>
          <w:rFonts w:ascii="仿宋_GB2312" w:hAnsi="宋体" w:eastAsia="仿宋_GB2312"/>
          <w:b w:val="0"/>
          <w:bCs w:val="0"/>
          <w:color w:val="000000"/>
          <w:kern w:val="0"/>
        </w:rPr>
      </w:pPr>
      <w:bookmarkStart w:id="89" w:name="_Toc10110"/>
      <w:r>
        <w:rPr>
          <w:rFonts w:hint="eastAsia" w:ascii="仿宋_GB2312" w:hAnsi="宋体" w:eastAsia="仿宋_GB2312"/>
          <w:b w:val="0"/>
          <w:bCs w:val="0"/>
          <w:color w:val="000000"/>
          <w:kern w:val="0"/>
        </w:rPr>
        <w:t>6.4 地质灾害危险性分级</w:t>
      </w:r>
      <w:bookmarkEnd w:id="89"/>
    </w:p>
    <w:p>
      <w:pPr>
        <w:spacing w:line="360" w:lineRule="auto"/>
        <w:ind w:firstLine="560" w:firstLineChars="200"/>
        <w:rPr>
          <w:rFonts w:ascii="仿宋_GB2312" w:eastAsia="仿宋_GB2312"/>
          <w:sz w:val="28"/>
          <w:szCs w:val="28"/>
        </w:rPr>
      </w:pPr>
      <w:r>
        <w:rPr>
          <w:rFonts w:hint="eastAsia" w:ascii="仿宋_GB2312" w:eastAsia="仿宋_GB2312"/>
          <w:sz w:val="28"/>
          <w:szCs w:val="28"/>
        </w:rPr>
        <w:t>评估区地质环境问题发生的可能性根据表6.3-1中地质灾害发生可能性指数确定。区域用地地质灾害危险性分级根据地质灾害发生的可能性大小原则上结合致灾体对工程活动敏感性确定：可能性指数小区产生地质灾害的可能性小，</w:t>
      </w:r>
      <w:r>
        <w:rPr>
          <w:rFonts w:hint="eastAsia" w:ascii="仿宋_GB2312" w:eastAsia="仿宋_GB2312"/>
          <w:bCs/>
          <w:kern w:val="0"/>
          <w:sz w:val="28"/>
          <w:szCs w:val="28"/>
        </w:rPr>
        <w:t>对未来人类工程活动不敏感，地质灾害危险性小</w:t>
      </w:r>
      <w:r>
        <w:rPr>
          <w:rFonts w:hint="eastAsia" w:ascii="仿宋_GB2312" w:eastAsia="仿宋_GB2312"/>
          <w:sz w:val="28"/>
          <w:szCs w:val="28"/>
        </w:rPr>
        <w:t>；可能性指数中等区产生地质灾害的可能性中等，其可能危害范围占分区面积的100%，</w:t>
      </w:r>
      <w:r>
        <w:rPr>
          <w:rFonts w:hint="eastAsia" w:ascii="仿宋_GB2312" w:eastAsia="仿宋_GB2312"/>
          <w:bCs/>
          <w:kern w:val="0"/>
          <w:sz w:val="28"/>
          <w:szCs w:val="28"/>
        </w:rPr>
        <w:t>对未来人类工程活动较敏感，地质灾害危险性</w:t>
      </w:r>
      <w:r>
        <w:rPr>
          <w:rFonts w:hint="eastAsia" w:ascii="仿宋_GB2312" w:eastAsia="仿宋_GB2312"/>
          <w:sz w:val="28"/>
          <w:szCs w:val="28"/>
        </w:rPr>
        <w:t>中等；</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根据《规范》7.3.2  规划用地质灾害危险性评估应进行地质灾害对工程活动敏感性分析。下列斜(边)坡</w:t>
      </w:r>
      <w:r>
        <w:rPr>
          <w:rFonts w:hint="eastAsia" w:ascii="仿宋_GB2312" w:eastAsia="仿宋_GB2312"/>
          <w:b/>
          <w:sz w:val="28"/>
          <w:szCs w:val="28"/>
        </w:rPr>
        <w:t>应视为对工程活动敏感</w:t>
      </w:r>
      <w:r>
        <w:rPr>
          <w:rFonts w:hint="eastAsia" w:ascii="仿宋_GB2312" w:eastAsia="仿宋_GB2312"/>
          <w:sz w:val="28"/>
          <w:szCs w:val="28"/>
        </w:rPr>
        <w:t xml:space="preserve">： </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——高度大于或等于30m、层面倾角大于或等于20°且地形坡角接近层面倾角的顺向不临空斜(边)坡；</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——易滑地层、 高度大于或等于30m、层面倾角大于或等于15°且地形坡 角接近层面倾角的顺向不临空斜(边)坡；</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——高度大于或等于30m、坡角大于或等于35°的巴东组碎裂岩斜(边)坡。</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本评估区XP3、XP5高度大于30m、层面倾角大于或等于15°且地形坡 角接近层面倾角的顺向不临空斜(边)坡视为对工程活动敏感,则评估区地质灾害危险性分级与地质灾害发生可能性中等。同时结合规划用地情况确定地质灾害发生可能性分级。</w:t>
      </w:r>
    </w:p>
    <w:p>
      <w:pPr>
        <w:pStyle w:val="3"/>
        <w:adjustRightInd w:val="0"/>
        <w:snapToGrid w:val="0"/>
        <w:spacing w:before="0" w:after="0" w:line="360" w:lineRule="auto"/>
        <w:rPr>
          <w:rFonts w:ascii="仿宋_GB2312" w:hAnsi="宋体" w:eastAsia="仿宋_GB2312"/>
          <w:b w:val="0"/>
          <w:bCs w:val="0"/>
          <w:color w:val="000000"/>
          <w:kern w:val="0"/>
        </w:rPr>
      </w:pPr>
      <w:bookmarkStart w:id="90" w:name="_Toc9797"/>
      <w:r>
        <w:rPr>
          <w:rFonts w:hint="eastAsia" w:ascii="仿宋_GB2312" w:hAnsi="宋体" w:eastAsia="仿宋_GB2312"/>
          <w:b w:val="0"/>
          <w:bCs w:val="0"/>
          <w:color w:val="000000"/>
          <w:kern w:val="0"/>
        </w:rPr>
        <w:t>6.5未来人类工程活动对相邻建构筑物影响分析</w:t>
      </w:r>
      <w:bookmarkEnd w:id="90"/>
    </w:p>
    <w:p>
      <w:pPr>
        <w:spacing w:line="360" w:lineRule="auto"/>
        <w:rPr>
          <w:rFonts w:ascii="仿宋_GB2312" w:eastAsia="仿宋_GB2312"/>
          <w:color w:val="000000"/>
          <w:sz w:val="28"/>
          <w:szCs w:val="28"/>
        </w:rPr>
      </w:pPr>
      <w:r>
        <w:rPr>
          <w:rFonts w:hint="eastAsia"/>
        </w:rPr>
        <w:t xml:space="preserve">     </w:t>
      </w:r>
      <w:r>
        <w:rPr>
          <w:rFonts w:hint="eastAsia" w:ascii="仿宋_GB2312" w:eastAsia="仿宋_GB2312"/>
          <w:color w:val="000000"/>
          <w:sz w:val="28"/>
          <w:szCs w:val="28"/>
        </w:rPr>
        <w:t>未来在区域用地红线周边的人类工程活动，应当严格控制施工场地范围，避免对区域用地红线周边村落、公路交通、电力设施、地下管线设施及居民建筑等造成影响；施工应当控制噪音污染，避免对周边居民生产生活造成影响。加强对地表水及地下水的保护，避免污染。</w:t>
      </w:r>
    </w:p>
    <w:p>
      <w:pPr>
        <w:spacing w:line="360" w:lineRule="auto"/>
        <w:ind w:firstLine="555"/>
        <w:rPr>
          <w:rFonts w:ascii="仿宋_GB2312" w:hAnsi="宋体" w:eastAsia="仿宋_GB2312"/>
          <w:color w:val="000000"/>
          <w:sz w:val="28"/>
        </w:rPr>
      </w:pPr>
      <w:r>
        <w:rPr>
          <w:rFonts w:hint="eastAsia" w:ascii="仿宋_GB2312" w:eastAsia="仿宋_GB2312"/>
          <w:color w:val="000000"/>
          <w:sz w:val="28"/>
          <w:szCs w:val="28"/>
        </w:rPr>
        <w:t>未来在区域用地范围内的人类工程活动，应当加强对区域用地范围内已建公路交通、电力设施、地下管线设施及居民建筑等的保护，施工应严格控制与架空架空线路的安全距离</w:t>
      </w:r>
      <w:r>
        <w:rPr>
          <w:rFonts w:hint="eastAsia" w:ascii="仿宋_GB2312" w:hAnsi="宋体" w:eastAsia="仿宋_GB2312"/>
          <w:color w:val="000000"/>
          <w:sz w:val="28"/>
        </w:rPr>
        <w:t>。</w:t>
      </w:r>
    </w:p>
    <w:p>
      <w:pPr>
        <w:spacing w:line="360" w:lineRule="auto"/>
        <w:ind w:firstLine="555"/>
      </w:pPr>
      <w:r>
        <w:rPr>
          <w:rFonts w:hint="eastAsia" w:ascii="仿宋_GB2312" w:hAnsi="宋体" w:eastAsia="仿宋_GB2312"/>
          <w:color w:val="000000"/>
          <w:sz w:val="28"/>
        </w:rPr>
        <w:t>各地块内施工按照施工先后，加强对周边已建建构筑物的保护。</w:t>
      </w:r>
    </w:p>
    <w:p>
      <w:pPr>
        <w:pStyle w:val="2"/>
        <w:adjustRightInd w:val="0"/>
        <w:snapToGrid w:val="0"/>
        <w:spacing w:before="360" w:beforeLines="150" w:line="360" w:lineRule="auto"/>
        <w:ind w:firstLine="0"/>
        <w:rPr>
          <w:rFonts w:ascii="仿宋_GB2312" w:hAnsi="宋体" w:eastAsia="仿宋_GB2312"/>
          <w:b/>
          <w:bCs/>
          <w:i w:val="0"/>
          <w:iCs w:val="0"/>
          <w:sz w:val="36"/>
          <w:szCs w:val="36"/>
        </w:rPr>
      </w:pPr>
      <w:bookmarkStart w:id="91" w:name="_Toc23228"/>
      <w:r>
        <w:rPr>
          <w:rFonts w:hint="eastAsia" w:ascii="仿宋_GB2312" w:hAnsi="宋体" w:eastAsia="仿宋_GB2312"/>
          <w:b/>
          <w:bCs/>
          <w:i w:val="0"/>
          <w:iCs w:val="0"/>
          <w:sz w:val="36"/>
          <w:szCs w:val="36"/>
        </w:rPr>
        <w:t>7 地质灾害危险性分区评价</w:t>
      </w:r>
      <w:bookmarkEnd w:id="91"/>
    </w:p>
    <w:p>
      <w:pPr>
        <w:pStyle w:val="13"/>
        <w:adjustRightInd w:val="0"/>
        <w:snapToGrid w:val="0"/>
        <w:spacing w:line="360" w:lineRule="auto"/>
        <w:ind w:right="0" w:rightChars="0"/>
        <w:rPr>
          <w:rFonts w:ascii="仿宋_GB2312" w:eastAsia="仿宋_GB2312"/>
          <w:color w:val="000000"/>
        </w:rPr>
      </w:pPr>
      <w:r>
        <w:rPr>
          <w:rFonts w:hint="eastAsia" w:ascii="仿宋_GB2312" w:eastAsia="仿宋_GB2312"/>
          <w:color w:val="000000"/>
        </w:rPr>
        <w:t>由于本次评估为产业园区未评估部分，本次评估结论与前期煤电园部分评估对比分析，在与前期煤电园接触线附近、地质条件类似地段两次危险性分区分</w:t>
      </w:r>
      <w:r>
        <w:rPr>
          <w:rFonts w:hint="eastAsia" w:ascii="仿宋_GB2312" w:eastAsia="仿宋_GB2312"/>
          <w:color w:val="000000" w:themeColor="text1"/>
        </w:rPr>
        <w:t>级均能对应</w:t>
      </w:r>
      <w:r>
        <w:rPr>
          <w:rFonts w:hint="eastAsia" w:ascii="仿宋_GB2312" w:eastAsia="仿宋_GB2312"/>
          <w:color w:val="000000"/>
        </w:rPr>
        <w:t>（见图7-1）。</w:t>
      </w:r>
    </w:p>
    <w:p>
      <w:pPr>
        <w:pStyle w:val="13"/>
        <w:adjustRightInd w:val="0"/>
        <w:snapToGrid w:val="0"/>
        <w:spacing w:line="360" w:lineRule="auto"/>
        <w:ind w:right="0" w:rightChars="0"/>
        <w:rPr>
          <w:rFonts w:ascii="仿宋_GB2312" w:eastAsia="仿宋_GB2312"/>
          <w:color w:val="000000"/>
        </w:rPr>
      </w:pPr>
    </w:p>
    <w:p>
      <w:pPr>
        <w:pStyle w:val="13"/>
        <w:adjustRightInd w:val="0"/>
        <w:snapToGrid w:val="0"/>
        <w:spacing w:line="360" w:lineRule="auto"/>
        <w:ind w:right="0" w:rightChars="0"/>
        <w:rPr>
          <w:rFonts w:ascii="仿宋_GB2312" w:eastAsia="仿宋_GB2312"/>
          <w:color w:val="000000"/>
        </w:rPr>
      </w:pPr>
    </w:p>
    <w:p>
      <w:pPr>
        <w:pStyle w:val="13"/>
        <w:adjustRightInd w:val="0"/>
        <w:snapToGrid w:val="0"/>
        <w:spacing w:line="360" w:lineRule="auto"/>
        <w:ind w:right="0" w:rightChars="0"/>
        <w:rPr>
          <w:rFonts w:ascii="仿宋_GB2312" w:eastAsia="仿宋_GB2312"/>
          <w:color w:val="000000"/>
        </w:rPr>
      </w:pPr>
    </w:p>
    <w:p>
      <w:pPr>
        <w:pStyle w:val="13"/>
        <w:adjustRightInd w:val="0"/>
        <w:snapToGrid w:val="0"/>
        <w:spacing w:line="360" w:lineRule="auto"/>
        <w:ind w:right="0" w:rightChars="0"/>
        <w:rPr>
          <w:rFonts w:ascii="仿宋_GB2312" w:eastAsia="仿宋_GB2312"/>
          <w:color w:val="000000"/>
        </w:rPr>
      </w:pPr>
      <w:r>
        <w:drawing>
          <wp:inline distT="0" distB="0" distL="114300" distR="114300">
            <wp:extent cx="6085205" cy="6914515"/>
            <wp:effectExtent l="0" t="0" r="10795" b="6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9"/>
                    <a:stretch>
                      <a:fillRect/>
                    </a:stretch>
                  </pic:blipFill>
                  <pic:spPr>
                    <a:xfrm>
                      <a:off x="0" y="0"/>
                      <a:ext cx="6085205" cy="6914515"/>
                    </a:xfrm>
                    <a:prstGeom prst="rect">
                      <a:avLst/>
                    </a:prstGeom>
                    <a:noFill/>
                    <a:ln>
                      <a:noFill/>
                    </a:ln>
                  </pic:spPr>
                </pic:pic>
              </a:graphicData>
            </a:graphic>
          </wp:inline>
        </w:drawing>
      </w:r>
    </w:p>
    <w:p>
      <w:pPr>
        <w:pStyle w:val="13"/>
        <w:adjustRightInd w:val="0"/>
        <w:snapToGrid w:val="0"/>
        <w:spacing w:line="360" w:lineRule="auto"/>
        <w:ind w:right="0" w:rightChars="0"/>
        <w:rPr>
          <w:rFonts w:ascii="仿宋_GB2312" w:eastAsia="仿宋_GB2312"/>
          <w:color w:val="000000"/>
        </w:rPr>
      </w:pPr>
    </w:p>
    <w:p>
      <w:pPr>
        <w:pStyle w:val="13"/>
        <w:adjustRightInd w:val="0"/>
        <w:snapToGrid w:val="0"/>
        <w:spacing w:line="360" w:lineRule="auto"/>
        <w:ind w:right="0" w:rightChars="0"/>
        <w:rPr>
          <w:rFonts w:ascii="仿宋_GB2312" w:eastAsia="仿宋_GB2312"/>
          <w:color w:val="000000"/>
        </w:rPr>
      </w:pPr>
    </w:p>
    <w:p>
      <w:pPr>
        <w:spacing w:line="360" w:lineRule="auto"/>
        <w:ind w:firstLine="560" w:firstLineChars="200"/>
        <w:jc w:val="center"/>
        <w:rPr>
          <w:rFonts w:ascii="仿宋_GB2312" w:eastAsia="仿宋_GB2312"/>
          <w:sz w:val="28"/>
          <w:szCs w:val="28"/>
        </w:rPr>
      </w:pPr>
      <w:r>
        <w:rPr>
          <w:rFonts w:hint="eastAsia" w:ascii="仿宋_GB2312" w:eastAsia="仿宋_GB2312"/>
          <w:sz w:val="28"/>
          <w:szCs w:val="28"/>
        </w:rPr>
        <w:t>图7-1煤电园评估与本次为评估区危险性分区分级对照示意图</w:t>
      </w:r>
    </w:p>
    <w:p>
      <w:pPr>
        <w:spacing w:line="360" w:lineRule="auto"/>
        <w:ind w:firstLine="560" w:firstLineChars="200"/>
        <w:rPr>
          <w:rFonts w:ascii="仿宋_GB2312" w:eastAsia="仿宋_GB2312"/>
          <w:sz w:val="28"/>
          <w:szCs w:val="28"/>
        </w:rPr>
      </w:pPr>
    </w:p>
    <w:p>
      <w:pPr>
        <w:pStyle w:val="13"/>
        <w:adjustRightInd w:val="0"/>
        <w:snapToGrid w:val="0"/>
        <w:spacing w:line="360" w:lineRule="auto"/>
        <w:ind w:right="0" w:rightChars="0"/>
        <w:rPr>
          <w:rFonts w:ascii="仿宋_GB2312" w:eastAsia="仿宋_GB2312"/>
          <w:color w:val="000000"/>
        </w:rPr>
      </w:pPr>
      <w:r>
        <w:rPr>
          <w:rFonts w:hint="eastAsia" w:ascii="仿宋_GB2312" w:eastAsia="仿宋_GB2312"/>
          <w:color w:val="000000"/>
        </w:rPr>
        <w:t>根据现场调查访问，本次评估区地质环境影响分区评估如下：</w:t>
      </w:r>
    </w:p>
    <w:p>
      <w:pPr>
        <w:pStyle w:val="13"/>
        <w:adjustRightInd w:val="0"/>
        <w:snapToGrid w:val="0"/>
        <w:spacing w:line="360" w:lineRule="auto"/>
        <w:ind w:right="0" w:rightChars="0"/>
        <w:rPr>
          <w:rFonts w:ascii="仿宋_GB2312" w:eastAsia="仿宋_GB2312"/>
          <w:color w:val="000000"/>
        </w:rPr>
      </w:pPr>
      <w:r>
        <w:rPr>
          <w:rFonts w:hint="eastAsia" w:ascii="仿宋_GB2312" w:eastAsia="仿宋_GB2312"/>
          <w:color w:val="000000"/>
        </w:rPr>
        <w:t>1）</w:t>
      </w:r>
      <w:r>
        <w:rPr>
          <w:rFonts w:hint="eastAsia" w:ascii="仿宋_GB2312" w:eastAsia="仿宋_GB2312"/>
          <w:b/>
        </w:rPr>
        <w:t>地质灾害危险性小区(A</w:t>
      </w:r>
      <w:r>
        <w:rPr>
          <w:rFonts w:hint="eastAsia" w:ascii="仿宋_GB2312" w:eastAsia="仿宋_GB2312" w:cs="宋体"/>
          <w:color w:val="000000"/>
          <w:sz w:val="44"/>
          <w:vertAlign w:val="subscript"/>
        </w:rPr>
        <w:t>1</w:t>
      </w:r>
      <w:r>
        <w:rPr>
          <w:rFonts w:hint="eastAsia" w:ascii="仿宋_GB2312" w:eastAsia="仿宋_GB2312"/>
          <w:b/>
        </w:rPr>
        <w:t>) :</w:t>
      </w:r>
      <w:r>
        <w:rPr>
          <w:rFonts w:hint="eastAsia" w:ascii="仿宋_GB2312" w:eastAsia="仿宋_GB2312"/>
          <w:color w:val="000000"/>
          <w:szCs w:val="36"/>
        </w:rPr>
        <w:t>1、2、3、4、5、6、7、8、9、10、11、12、13、14、15、16、18、20</w:t>
      </w:r>
      <w:r>
        <w:rPr>
          <w:rFonts w:hint="eastAsia" w:ascii="仿宋_GB2312" w:eastAsia="仿宋_GB2312"/>
          <w:color w:val="000000"/>
        </w:rPr>
        <w:t>区</w:t>
      </w:r>
    </w:p>
    <w:p>
      <w:pPr>
        <w:pStyle w:val="13"/>
        <w:adjustRightInd w:val="0"/>
        <w:snapToGrid w:val="0"/>
        <w:spacing w:line="360" w:lineRule="auto"/>
        <w:rPr>
          <w:rFonts w:ascii="仿宋_GB2312" w:eastAsia="仿宋_GB2312"/>
          <w:color w:val="000000"/>
        </w:rPr>
      </w:pPr>
      <w:r>
        <w:rPr>
          <w:rFonts w:hint="eastAsia" w:ascii="仿宋_GB2312" w:eastAsia="仿宋_GB2312"/>
          <w:color w:val="000000"/>
        </w:rPr>
        <w:t>根据调查，上述各区多为已建房屋区域，</w:t>
      </w:r>
      <w:r>
        <w:rPr>
          <w:rFonts w:hint="eastAsia" w:ascii="仿宋_GB2312" w:eastAsia="仿宋_GB2312"/>
          <w:szCs w:val="36"/>
        </w:rPr>
        <w:t>地形总体坡角＜15°，</w:t>
      </w:r>
      <w:r>
        <w:rPr>
          <w:rFonts w:hint="eastAsia" w:ascii="仿宋_GB2312" w:eastAsia="仿宋_GB2312"/>
          <w:color w:val="000000"/>
        </w:rPr>
        <w:t>局部属施工整平区，地形总体较平缓，整平区边缘局部地形起伏，土层厚度</w:t>
      </w:r>
      <w:r>
        <w:rPr>
          <w:rFonts w:hint="eastAsia" w:ascii="仿宋_GB2312" w:eastAsia="仿宋_GB2312"/>
          <w:color w:val="000000" w:themeColor="text1"/>
        </w:rPr>
        <w:t>3＜h＜10m</w:t>
      </w:r>
      <w:r>
        <w:rPr>
          <w:rFonts w:hint="eastAsia" w:ascii="仿宋_GB2312" w:eastAsia="仿宋_GB2312"/>
          <w:color w:val="000000"/>
        </w:rPr>
        <w:t>，未见滑坡、泥石流、危岩、崩塌、地表塌陷等不良地质现象，地质灾害发生可能性指数为0.508，</w:t>
      </w:r>
      <w:r>
        <w:rPr>
          <w:rFonts w:hint="eastAsia" w:ascii="仿宋_GB2312" w:eastAsia="仿宋_GB2312"/>
          <w:bCs/>
          <w:color w:val="000000"/>
          <w:kern w:val="0"/>
        </w:rPr>
        <w:t>本区岩土体及斜坡对人类活动不敏感。</w:t>
      </w:r>
      <w:r>
        <w:rPr>
          <w:rFonts w:hint="eastAsia" w:ascii="仿宋_GB2312" w:eastAsia="仿宋_GB2312"/>
          <w:b/>
          <w:color w:val="000000"/>
        </w:rPr>
        <w:t>上述区地质灾害发生的可能性小，地质灾害危险性小</w:t>
      </w:r>
      <w:r>
        <w:rPr>
          <w:rFonts w:hint="eastAsia" w:ascii="仿宋_GB2312" w:eastAsia="仿宋_GB2312"/>
          <w:color w:val="000000"/>
        </w:rPr>
        <w:t>。</w:t>
      </w:r>
    </w:p>
    <w:p>
      <w:pPr>
        <w:pStyle w:val="13"/>
        <w:adjustRightInd w:val="0"/>
        <w:snapToGrid w:val="0"/>
        <w:spacing w:line="360" w:lineRule="auto"/>
        <w:ind w:firstLine="0" w:firstLineChars="0"/>
        <w:rPr>
          <w:rFonts w:ascii="仿宋_GB2312" w:eastAsia="仿宋_GB2312"/>
          <w:color w:val="000000" w:themeColor="text1"/>
        </w:rPr>
      </w:pPr>
      <w:r>
        <w:rPr>
          <w:rFonts w:hint="eastAsia" w:ascii="仿宋_GB2312" w:eastAsia="仿宋_GB2312"/>
          <w:color w:val="000000"/>
        </w:rPr>
        <w:t xml:space="preserve">    2）</w:t>
      </w:r>
      <w:r>
        <w:rPr>
          <w:rFonts w:hint="eastAsia" w:ascii="仿宋_GB2312" w:eastAsia="仿宋_GB2312"/>
          <w:b/>
        </w:rPr>
        <w:t>地质灾害危险性中等区(B</w:t>
      </w:r>
      <w:r>
        <w:rPr>
          <w:rFonts w:hint="eastAsia" w:ascii="仿宋_GB2312" w:eastAsia="仿宋_GB2312" w:cs="宋体"/>
          <w:color w:val="000000"/>
          <w:sz w:val="44"/>
          <w:vertAlign w:val="subscript"/>
        </w:rPr>
        <w:t>1</w:t>
      </w:r>
      <w:r>
        <w:rPr>
          <w:rFonts w:hint="eastAsia" w:ascii="仿宋_GB2312" w:eastAsia="仿宋_GB2312"/>
          <w:b/>
        </w:rPr>
        <w:t>):</w:t>
      </w:r>
      <w:r>
        <w:rPr>
          <w:rFonts w:hint="eastAsia" w:ascii="仿宋_GB2312" w:eastAsia="仿宋_GB2312"/>
          <w:color w:val="000000" w:themeColor="text1"/>
          <w:szCs w:val="36"/>
        </w:rPr>
        <w:t>17、21</w:t>
      </w:r>
      <w:r>
        <w:rPr>
          <w:rFonts w:hint="eastAsia" w:ascii="仿宋_GB2312" w:eastAsia="仿宋_GB2312"/>
          <w:color w:val="000000" w:themeColor="text1"/>
        </w:rPr>
        <w:t>区</w:t>
      </w:r>
    </w:p>
    <w:p>
      <w:pPr>
        <w:pStyle w:val="13"/>
        <w:adjustRightInd w:val="0"/>
        <w:snapToGrid w:val="0"/>
        <w:spacing w:line="360" w:lineRule="auto"/>
        <w:ind w:firstLine="0" w:firstLineChars="0"/>
        <w:rPr>
          <w:rFonts w:ascii="仿宋_GB2312" w:eastAsia="仿宋_GB2312"/>
          <w:color w:val="000000"/>
        </w:rPr>
      </w:pPr>
      <w:r>
        <w:rPr>
          <w:rFonts w:hint="eastAsia" w:ascii="仿宋_GB2312" w:eastAsia="仿宋_GB2312"/>
          <w:color w:val="000000"/>
        </w:rPr>
        <w:t xml:space="preserve">    根据调查，上述各</w:t>
      </w:r>
      <w:r>
        <w:rPr>
          <w:rFonts w:hint="eastAsia" w:ascii="仿宋_GB2312" w:eastAsia="仿宋_GB2312"/>
          <w:bCs/>
          <w:color w:val="000000"/>
          <w:kern w:val="0"/>
        </w:rPr>
        <w:t>区多为居民区域和原始地形，地形总体坡角≥15°，＜30°，土层厚度</w:t>
      </w:r>
      <w:r>
        <w:rPr>
          <w:rFonts w:hint="eastAsia" w:ascii="仿宋_GB2312" w:eastAsia="仿宋_GB2312"/>
          <w:color w:val="000000" w:themeColor="text1"/>
        </w:rPr>
        <w:t>3＜h＜10m</w:t>
      </w:r>
      <w:r>
        <w:rPr>
          <w:rFonts w:hint="eastAsia" w:ascii="仿宋_GB2312" w:eastAsia="仿宋_GB2312"/>
          <w:bCs/>
          <w:color w:val="000000"/>
          <w:kern w:val="0"/>
        </w:rPr>
        <w:t>，基岩局部出露，不存在外倾临空结构面，未</w:t>
      </w:r>
      <w:r>
        <w:rPr>
          <w:rFonts w:hint="eastAsia" w:ascii="仿宋_GB2312" w:eastAsia="仿宋_GB2312"/>
          <w:color w:val="000000"/>
        </w:rPr>
        <w:t>见滑坡、泥石流、危岩、崩塌、地表塌陷等不良地质现象，地质灾害发生可能性指数为0.676，</w:t>
      </w:r>
      <w:r>
        <w:rPr>
          <w:rFonts w:hint="eastAsia" w:ascii="仿宋_GB2312" w:eastAsia="仿宋_GB2312"/>
          <w:bCs/>
          <w:color w:val="000000"/>
          <w:kern w:val="0"/>
        </w:rPr>
        <w:t>对斜坡开挖及填方工程活动较敏感，</w:t>
      </w:r>
      <w:r>
        <w:rPr>
          <w:rFonts w:hint="eastAsia" w:ascii="仿宋_GB2312" w:eastAsia="仿宋_GB2312"/>
          <w:b/>
          <w:color w:val="000000"/>
        </w:rPr>
        <w:t>上述区地质灾害发生的可能性中等，地质灾害危险性中等</w:t>
      </w:r>
      <w:r>
        <w:rPr>
          <w:rFonts w:hint="eastAsia" w:ascii="仿宋_GB2312" w:eastAsia="仿宋_GB2312"/>
          <w:color w:val="000000"/>
        </w:rPr>
        <w:t>。</w:t>
      </w:r>
    </w:p>
    <w:p>
      <w:pPr>
        <w:widowControl/>
        <w:adjustRightInd w:val="0"/>
        <w:snapToGrid w:val="0"/>
        <w:spacing w:line="360" w:lineRule="auto"/>
        <w:ind w:left="576"/>
        <w:rPr>
          <w:rFonts w:ascii="仿宋_GB2312" w:hAnsi="宋体" w:eastAsia="仿宋_GB2312"/>
          <w:color w:val="000000"/>
          <w:sz w:val="28"/>
          <w:szCs w:val="28"/>
        </w:rPr>
      </w:pPr>
      <w:r>
        <w:rPr>
          <w:rFonts w:hint="eastAsia" w:ascii="仿宋_GB2312" w:hAnsi="宋体" w:eastAsia="仿宋_GB2312"/>
          <w:color w:val="000000"/>
          <w:sz w:val="28"/>
          <w:szCs w:val="28"/>
        </w:rPr>
        <w:t>3）</w:t>
      </w:r>
      <w:r>
        <w:rPr>
          <w:rFonts w:hint="eastAsia" w:ascii="仿宋_GB2312" w:eastAsia="仿宋_GB2312"/>
          <w:b/>
          <w:sz w:val="28"/>
          <w:szCs w:val="28"/>
        </w:rPr>
        <w:t>地质灾害危险性中等区(B</w:t>
      </w:r>
      <w:r>
        <w:rPr>
          <w:rFonts w:hint="eastAsia" w:ascii="仿宋_GB2312" w:eastAsia="仿宋_GB2312" w:cs="宋体"/>
          <w:color w:val="000000"/>
          <w:sz w:val="36"/>
          <w:szCs w:val="28"/>
          <w:vertAlign w:val="subscript"/>
        </w:rPr>
        <w:t>2</w:t>
      </w:r>
      <w:r>
        <w:rPr>
          <w:rFonts w:hint="eastAsia" w:ascii="仿宋_GB2312" w:eastAsia="仿宋_GB2312"/>
          <w:b/>
          <w:sz w:val="28"/>
          <w:szCs w:val="28"/>
        </w:rPr>
        <w:t>)</w:t>
      </w:r>
      <w:r>
        <w:rPr>
          <w:rFonts w:hint="eastAsia" w:ascii="仿宋_GB2312" w:eastAsia="仿宋_GB2312"/>
          <w:b/>
        </w:rPr>
        <w:t>:</w:t>
      </w:r>
      <w:r>
        <w:rPr>
          <w:rFonts w:hint="eastAsia" w:ascii="仿宋_GB2312" w:hAnsi="宋体" w:eastAsia="仿宋_GB2312"/>
          <w:sz w:val="28"/>
          <w:szCs w:val="36"/>
        </w:rPr>
        <w:t>22、19区</w:t>
      </w:r>
    </w:p>
    <w:p>
      <w:pPr>
        <w:pStyle w:val="13"/>
        <w:adjustRightInd w:val="0"/>
        <w:snapToGrid w:val="0"/>
        <w:spacing w:line="360" w:lineRule="auto"/>
        <w:ind w:firstLine="555" w:firstLineChars="0"/>
        <w:rPr>
          <w:rFonts w:ascii="仿宋_GB2312" w:eastAsia="仿宋_GB2312"/>
          <w:color w:val="000000"/>
        </w:rPr>
      </w:pPr>
      <w:r>
        <w:rPr>
          <w:rFonts w:hint="eastAsia" w:ascii="仿宋_GB2312" w:eastAsia="仿宋_GB2312"/>
          <w:color w:val="000000"/>
        </w:rPr>
        <w:t xml:space="preserve">  根据调查，上述各区多为原始地形，</w:t>
      </w:r>
      <w:r>
        <w:rPr>
          <w:rFonts w:hint="eastAsia" w:ascii="仿宋_GB2312" w:eastAsia="仿宋_GB2312"/>
          <w:szCs w:val="36"/>
        </w:rPr>
        <w:t>地形总体坡角≥15°，＜30°，</w:t>
      </w:r>
      <w:r>
        <w:rPr>
          <w:rFonts w:hint="eastAsia" w:ascii="仿宋_GB2312" w:eastAsia="仿宋_GB2312"/>
          <w:bCs/>
          <w:color w:val="000000"/>
          <w:kern w:val="0"/>
        </w:rPr>
        <w:t>土层厚</w:t>
      </w:r>
      <w:r>
        <w:rPr>
          <w:rFonts w:hint="eastAsia" w:ascii="仿宋_GB2312" w:eastAsia="仿宋_GB2312"/>
          <w:color w:val="000000"/>
        </w:rPr>
        <w:t>度</w:t>
      </w:r>
      <w:r>
        <w:rPr>
          <w:rFonts w:hint="eastAsia" w:ascii="仿宋_GB2312" w:eastAsia="仿宋_GB2312"/>
          <w:color w:val="000000" w:themeColor="text1"/>
        </w:rPr>
        <w:t>3＜h＜10m</w:t>
      </w:r>
      <w:r>
        <w:rPr>
          <w:rFonts w:hint="eastAsia" w:ascii="仿宋_GB2312" w:eastAsia="仿宋_GB2312"/>
          <w:bCs/>
          <w:color w:val="000000"/>
          <w:kern w:val="0"/>
        </w:rPr>
        <w:t>，基岩局部出露，存在外倾临空结构面，局部外倾临空，倾角＜20°，≥10°，未见滑坡、泥石流、危岩、崩塌、地表塌陷等不良</w:t>
      </w:r>
      <w:r>
        <w:rPr>
          <w:rFonts w:hint="eastAsia" w:ascii="仿宋_GB2312" w:eastAsia="仿宋_GB2312"/>
          <w:color w:val="000000"/>
        </w:rPr>
        <w:t>地质现象，地质灾害发生可能性指数为0.676，</w:t>
      </w:r>
      <w:r>
        <w:rPr>
          <w:rFonts w:hint="eastAsia" w:ascii="仿宋_GB2312" w:eastAsia="仿宋_GB2312"/>
          <w:bCs/>
          <w:color w:val="000000"/>
          <w:kern w:val="0"/>
        </w:rPr>
        <w:t>对斜坡开挖</w:t>
      </w:r>
      <w:r>
        <w:rPr>
          <w:rFonts w:hint="eastAsia" w:ascii="仿宋_GB2312" w:eastAsiaTheme="minorEastAsia"/>
          <w:bCs/>
          <w:color w:val="000000"/>
          <w:kern w:val="0"/>
        </w:rPr>
        <w:t>、</w:t>
      </w:r>
      <w:r>
        <w:rPr>
          <w:rFonts w:ascii="仿宋_GB2312" w:eastAsiaTheme="minorEastAsia"/>
          <w:bCs/>
          <w:color w:val="000000" w:themeColor="text1"/>
          <w:kern w:val="0"/>
        </w:rPr>
        <w:t>特别是顺</w:t>
      </w:r>
      <w:r>
        <w:rPr>
          <w:rFonts w:hint="eastAsia" w:ascii="仿宋_GB2312" w:eastAsiaTheme="minorEastAsia"/>
          <w:bCs/>
          <w:color w:val="000000" w:themeColor="text1"/>
          <w:kern w:val="0"/>
        </w:rPr>
        <w:t>层</w:t>
      </w:r>
      <w:r>
        <w:rPr>
          <w:rFonts w:ascii="仿宋_GB2312" w:eastAsiaTheme="minorEastAsia"/>
          <w:bCs/>
          <w:color w:val="000000" w:themeColor="text1"/>
          <w:kern w:val="0"/>
        </w:rPr>
        <w:t>切坡</w:t>
      </w:r>
      <w:r>
        <w:rPr>
          <w:rFonts w:hint="eastAsia" w:ascii="仿宋_GB2312" w:eastAsia="仿宋_GB2312"/>
          <w:bCs/>
          <w:color w:val="000000"/>
          <w:kern w:val="0"/>
        </w:rPr>
        <w:t>及填方工程活动较敏感，</w:t>
      </w:r>
      <w:r>
        <w:rPr>
          <w:rFonts w:hint="eastAsia" w:ascii="仿宋_GB2312" w:eastAsia="仿宋_GB2312"/>
          <w:b/>
          <w:color w:val="000000"/>
        </w:rPr>
        <w:t>上述区地质灾害发生的可能性中等，地质灾害危险性中等</w:t>
      </w:r>
      <w:r>
        <w:rPr>
          <w:rFonts w:hint="eastAsia" w:ascii="仿宋_GB2312" w:eastAsia="仿宋_GB2312"/>
          <w:color w:val="000000"/>
        </w:rPr>
        <w:t>。</w:t>
      </w:r>
    </w:p>
    <w:p>
      <w:pPr>
        <w:pStyle w:val="13"/>
        <w:adjustRightInd w:val="0"/>
        <w:snapToGrid w:val="0"/>
        <w:spacing w:line="360" w:lineRule="auto"/>
        <w:ind w:firstLine="555" w:firstLineChars="0"/>
        <w:rPr>
          <w:rFonts w:ascii="仿宋_GB2312" w:eastAsia="仿宋_GB2312"/>
          <w:color w:val="000000"/>
        </w:rPr>
      </w:pPr>
    </w:p>
    <w:p>
      <w:pPr>
        <w:pStyle w:val="13"/>
        <w:adjustRightInd w:val="0"/>
        <w:snapToGrid w:val="0"/>
        <w:spacing w:line="360" w:lineRule="auto"/>
        <w:ind w:firstLine="555" w:firstLineChars="0"/>
        <w:rPr>
          <w:rFonts w:ascii="仿宋_GB2312" w:eastAsia="仿宋_GB2312"/>
          <w:color w:val="000000"/>
        </w:rPr>
      </w:pPr>
    </w:p>
    <w:p>
      <w:pPr>
        <w:pStyle w:val="13"/>
        <w:adjustRightInd w:val="0"/>
        <w:snapToGrid w:val="0"/>
        <w:spacing w:line="600" w:lineRule="atLeast"/>
        <w:rPr>
          <w:rFonts w:ascii="仿宋_GB2312" w:eastAsia="仿宋_GB2312"/>
        </w:rPr>
      </w:pPr>
      <w:r>
        <w:rPr>
          <w:rFonts w:hint="eastAsia" w:ascii="仿宋_GB2312" w:eastAsia="仿宋_GB2312"/>
        </w:rPr>
        <w:t>地质灾害危险性各分区按照《规范》规定的代号进行编号。结果详见表7-1。</w:t>
      </w:r>
    </w:p>
    <w:p>
      <w:pPr>
        <w:adjustRightInd w:val="0"/>
        <w:snapToGrid w:val="0"/>
        <w:spacing w:line="600" w:lineRule="atLeast"/>
        <w:rPr>
          <w:rFonts w:ascii="仿宋_GB2312" w:eastAsia="仿宋_GB2312"/>
          <w:b/>
          <w:color w:val="000000"/>
          <w:sz w:val="24"/>
        </w:rPr>
      </w:pPr>
      <w:r>
        <w:rPr>
          <w:rFonts w:hint="eastAsia" w:ascii="仿宋_GB2312" w:eastAsia="仿宋_GB2312"/>
          <w:b/>
          <w:bCs/>
          <w:color w:val="000000"/>
          <w:sz w:val="24"/>
          <w:szCs w:val="20"/>
        </w:rPr>
        <w:t xml:space="preserve">      </w:t>
      </w:r>
      <w:r>
        <w:rPr>
          <w:rFonts w:hint="eastAsia" w:ascii="仿宋_GB2312" w:eastAsia="仿宋_GB2312"/>
          <w:b/>
          <w:bCs/>
          <w:color w:val="000000"/>
          <w:sz w:val="24"/>
        </w:rPr>
        <w:t xml:space="preserve">   </w:t>
      </w:r>
      <w:r>
        <w:rPr>
          <w:rFonts w:hint="eastAsia" w:ascii="仿宋_GB2312" w:eastAsia="仿宋_GB2312"/>
          <w:b/>
          <w:color w:val="000000"/>
          <w:sz w:val="24"/>
        </w:rPr>
        <w:t>表7-1</w:t>
      </w:r>
      <w:r>
        <w:rPr>
          <w:rFonts w:hint="eastAsia" w:ascii="仿宋_GB2312" w:eastAsia="仿宋_GB2312"/>
          <w:b/>
          <w:bCs/>
          <w:color w:val="000000"/>
          <w:sz w:val="24"/>
        </w:rPr>
        <w:t xml:space="preserve">          分区编号与地质灾害分区代号对应表</w:t>
      </w:r>
    </w:p>
    <w:tbl>
      <w:tblPr>
        <w:tblStyle w:val="30"/>
        <w:tblW w:w="500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058"/>
        <w:gridCol w:w="1659"/>
        <w:gridCol w:w="1021"/>
        <w:gridCol w:w="2348"/>
        <w:gridCol w:w="1259"/>
        <w:gridCol w:w="12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5" w:hRule="atLeast"/>
          <w:tblHeader/>
        </w:trPr>
        <w:tc>
          <w:tcPr>
            <w:tcW w:w="594" w:type="pct"/>
            <w:tcBorders>
              <w:top w:val="single" w:color="auto" w:sz="12" w:space="0"/>
              <w:bottom w:val="double" w:color="auto" w:sz="4" w:space="0"/>
            </w:tcBorders>
            <w:shd w:val="clear" w:color="auto" w:fill="auto"/>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宏观分区编号</w:t>
            </w:r>
          </w:p>
        </w:tc>
        <w:tc>
          <w:tcPr>
            <w:tcW w:w="542" w:type="pct"/>
            <w:tcBorders>
              <w:top w:val="single" w:color="auto" w:sz="12" w:space="0"/>
              <w:bottom w:val="double" w:color="auto" w:sz="4" w:space="0"/>
            </w:tcBorders>
            <w:shd w:val="clear" w:color="auto" w:fill="auto"/>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面积</w:t>
            </w:r>
          </w:p>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(km</w:t>
            </w:r>
            <w:r>
              <w:rPr>
                <w:rFonts w:hint="eastAsia" w:ascii="仿宋_GB2312" w:hAnsi="宋体" w:eastAsia="仿宋_GB2312" w:cs="宋体"/>
                <w:color w:val="000000"/>
                <w:kern w:val="0"/>
                <w:sz w:val="24"/>
                <w:vertAlign w:val="superscript"/>
              </w:rPr>
              <w:t>2</w:t>
            </w:r>
            <w:r>
              <w:rPr>
                <w:rFonts w:hint="eastAsia" w:ascii="仿宋_GB2312" w:hAnsi="宋体" w:eastAsia="仿宋_GB2312" w:cs="宋体"/>
                <w:color w:val="000000"/>
                <w:kern w:val="0"/>
                <w:sz w:val="24"/>
              </w:rPr>
              <w:t>)</w:t>
            </w:r>
          </w:p>
        </w:tc>
        <w:tc>
          <w:tcPr>
            <w:tcW w:w="850" w:type="pct"/>
            <w:tcBorders>
              <w:top w:val="single" w:color="auto" w:sz="12" w:space="0"/>
              <w:bottom w:val="double" w:color="auto" w:sz="4" w:space="0"/>
            </w:tcBorders>
            <w:shd w:val="clear" w:color="auto" w:fill="auto"/>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地质灾害发生可能性指数</w:t>
            </w:r>
          </w:p>
        </w:tc>
        <w:tc>
          <w:tcPr>
            <w:tcW w:w="523" w:type="pct"/>
            <w:tcBorders>
              <w:top w:val="single" w:color="auto" w:sz="12" w:space="0"/>
              <w:bottom w:val="double" w:color="auto" w:sz="4" w:space="0"/>
            </w:tcBorders>
            <w:shd w:val="clear" w:color="auto" w:fill="auto"/>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地质灾害发生可能性</w:t>
            </w:r>
          </w:p>
        </w:tc>
        <w:tc>
          <w:tcPr>
            <w:tcW w:w="1203" w:type="pct"/>
            <w:tcBorders>
              <w:top w:val="single" w:color="auto" w:sz="12" w:space="0"/>
              <w:bottom w:val="double" w:color="auto" w:sz="4" w:space="0"/>
            </w:tcBorders>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规划用地类型</w:t>
            </w:r>
          </w:p>
        </w:tc>
        <w:tc>
          <w:tcPr>
            <w:tcW w:w="645" w:type="pct"/>
            <w:tcBorders>
              <w:top w:val="single" w:color="auto" w:sz="12" w:space="0"/>
              <w:bottom w:val="double" w:color="auto" w:sz="4" w:space="0"/>
            </w:tcBorders>
            <w:shd w:val="clear" w:color="auto" w:fill="auto"/>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地质灾害危险性</w:t>
            </w:r>
          </w:p>
        </w:tc>
        <w:tc>
          <w:tcPr>
            <w:tcW w:w="641" w:type="pct"/>
            <w:tcBorders>
              <w:top w:val="single" w:color="auto" w:sz="12" w:space="0"/>
              <w:bottom w:val="double" w:color="auto" w:sz="4" w:space="0"/>
            </w:tcBorders>
            <w:shd w:val="clear" w:color="auto" w:fill="auto"/>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地质灾害危险性分区代号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94" w:type="pct"/>
            <w:tcBorders>
              <w:top w:val="double" w:color="auto" w:sz="4" w:space="0"/>
            </w:tcBorders>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1</w:t>
            </w:r>
          </w:p>
        </w:tc>
        <w:tc>
          <w:tcPr>
            <w:tcW w:w="542" w:type="pct"/>
            <w:tcBorders>
              <w:top w:val="double" w:color="auto" w:sz="4" w:space="0"/>
            </w:tcBorders>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0.007 </w:t>
            </w:r>
          </w:p>
        </w:tc>
        <w:tc>
          <w:tcPr>
            <w:tcW w:w="850" w:type="pct"/>
            <w:tcBorders>
              <w:top w:val="double" w:color="auto" w:sz="4" w:space="0"/>
            </w:tcBorders>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tcBorders>
              <w:top w:val="double" w:color="auto" w:sz="4" w:space="0"/>
            </w:tcBorders>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Borders>
              <w:top w:val="double" w:color="auto" w:sz="4" w:space="0"/>
            </w:tcBorders>
          </w:tcPr>
          <w:p>
            <w:pPr>
              <w:jc w:val="center"/>
              <w:rPr>
                <w:rFonts w:ascii="仿宋_GB2312" w:hAnsi="宋体" w:eastAsia="仿宋_GB2312" w:cs="宋体"/>
                <w:color w:val="000000"/>
                <w:sz w:val="24"/>
              </w:rPr>
            </w:pPr>
            <w:r>
              <w:rPr>
                <w:rFonts w:hint="eastAsia" w:ascii="仿宋_GB2312" w:eastAsia="仿宋_GB2312"/>
                <w:color w:val="000000"/>
              </w:rPr>
              <w:t>工业用地</w:t>
            </w:r>
          </w:p>
        </w:tc>
        <w:tc>
          <w:tcPr>
            <w:tcW w:w="645" w:type="pct"/>
            <w:tcBorders>
              <w:top w:val="double" w:color="auto" w:sz="4" w:space="0"/>
            </w:tcBorders>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641" w:type="pct"/>
            <w:tcBorders>
              <w:top w:val="double" w:color="auto" w:sz="4" w:space="0"/>
            </w:tcBorders>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94"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2</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0.002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Pr>
          <w:p>
            <w:pPr>
              <w:jc w:val="center"/>
              <w:rPr>
                <w:rFonts w:ascii="仿宋_GB2312" w:hAnsi="宋体" w:eastAsia="仿宋_GB2312" w:cs="宋体"/>
                <w:color w:val="000000"/>
                <w:sz w:val="24"/>
              </w:rP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3</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0.009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Pr>
          <w:p>
            <w:pPr>
              <w:jc w:val="cente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4</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0.010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Pr>
          <w:p>
            <w:pPr>
              <w:jc w:val="cente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5</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0.009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Pr>
          <w:p>
            <w:pPr>
              <w:jc w:val="cente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6</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0.004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Pr>
          <w:p>
            <w:pPr>
              <w:jc w:val="cente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7</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0.003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Pr>
          <w:p>
            <w:pPr>
              <w:jc w:val="cente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8</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0.006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Pr>
          <w:p>
            <w:pPr>
              <w:jc w:val="cente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9</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0.004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Pr>
          <w:p>
            <w:pPr>
              <w:jc w:val="cente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10</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0.004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Pr>
          <w:p>
            <w:pPr>
              <w:jc w:val="cente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11</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0.066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b/>
                <w:color w:val="000000"/>
                <w:sz w:val="24"/>
              </w:rPr>
            </w:pPr>
            <w:r>
              <w:rPr>
                <w:rFonts w:hint="eastAsia" w:ascii="仿宋_GB2312" w:eastAsia="仿宋_GB2312"/>
                <w:color w:val="000000"/>
              </w:rPr>
              <w:t>小</w:t>
            </w:r>
          </w:p>
        </w:tc>
        <w:tc>
          <w:tcPr>
            <w:tcW w:w="1203" w:type="pct"/>
          </w:tcPr>
          <w:p>
            <w:pPr>
              <w:jc w:val="center"/>
              <w:rPr>
                <w:rFonts w:ascii="仿宋_GB2312" w:hAnsi="宋体" w:eastAsia="仿宋_GB2312" w:cs="宋体"/>
                <w:b/>
                <w:color w:val="000000"/>
                <w:sz w:val="24"/>
              </w:rP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b/>
                <w:color w:val="000000"/>
                <w:sz w:val="24"/>
              </w:rPr>
            </w:pPr>
            <w:r>
              <w:rPr>
                <w:rFonts w:hint="eastAsia" w:ascii="仿宋_GB2312" w:eastAsia="仿宋_GB2312"/>
                <w:color w:val="000000"/>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12</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0.033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Pr>
          <w:p>
            <w:pPr>
              <w:jc w:val="cente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13</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0.090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Pr>
          <w:p>
            <w:pPr>
              <w:jc w:val="cente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14</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0.006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Pr>
          <w:p>
            <w:pPr>
              <w:jc w:val="cente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15</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0.882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Pr>
          <w:p>
            <w:pPr>
              <w:jc w:val="center"/>
              <w:rPr>
                <w:rFonts w:ascii="仿宋_GB2312" w:hAnsi="宋体" w:eastAsia="仿宋_GB2312" w:cs="宋体"/>
                <w:color w:val="000000"/>
                <w:sz w:val="24"/>
              </w:rPr>
            </w:pPr>
            <w:r>
              <w:rPr>
                <w:rFonts w:hint="eastAsia" w:ascii="仿宋_GB2312" w:eastAsia="仿宋_GB2312"/>
                <w:color w:val="000000"/>
              </w:rPr>
              <w:t>工业用地、仓储用地、技术办公用地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16</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0.012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Pr>
          <w:p>
            <w:pPr>
              <w:jc w:val="center"/>
              <w:rPr>
                <w:rFonts w:ascii="仿宋_GB2312" w:hAnsi="宋体" w:eastAsia="仿宋_GB2312" w:cs="宋体"/>
                <w:color w:val="000000"/>
                <w:sz w:val="24"/>
              </w:rP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17</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0.020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0.676</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b/>
                <w:color w:val="000000"/>
              </w:rPr>
              <w:t>中等</w:t>
            </w:r>
          </w:p>
        </w:tc>
        <w:tc>
          <w:tcPr>
            <w:tcW w:w="1203" w:type="pct"/>
          </w:tcPr>
          <w:p>
            <w:pPr>
              <w:jc w:val="center"/>
              <w:rPr>
                <w:rFonts w:ascii="仿宋_GB2312" w:hAnsi="宋体" w:eastAsia="仿宋_GB2312" w:cs="宋体"/>
                <w:color w:val="000000"/>
                <w:sz w:val="24"/>
              </w:rP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b/>
                <w:color w:val="000000"/>
              </w:rPr>
              <w:t>中</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B1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18</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0.026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Pr>
          <w:p>
            <w:pPr>
              <w:jc w:val="cente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19</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0.181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0.676</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b/>
                <w:color w:val="000000"/>
              </w:rPr>
              <w:t>中等</w:t>
            </w:r>
          </w:p>
        </w:tc>
        <w:tc>
          <w:tcPr>
            <w:tcW w:w="1203" w:type="pct"/>
          </w:tcPr>
          <w:p>
            <w:pPr>
              <w:jc w:val="cente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b/>
                <w:color w:val="000000"/>
              </w:rPr>
              <w:t>中</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B2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20</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0.039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0.508</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1203" w:type="pct"/>
          </w:tcPr>
          <w:p>
            <w:pPr>
              <w:jc w:val="cente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color w:val="000000"/>
              </w:rPr>
              <w:t>小</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21</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0.058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0.676</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b/>
                <w:color w:val="000000"/>
              </w:rPr>
              <w:t>中等</w:t>
            </w:r>
          </w:p>
        </w:tc>
        <w:tc>
          <w:tcPr>
            <w:tcW w:w="1203" w:type="pct"/>
          </w:tcPr>
          <w:p>
            <w:pPr>
              <w:jc w:val="cente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b/>
                <w:color w:val="000000"/>
              </w:rPr>
              <w:t>中</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B1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94" w:type="pct"/>
            <w:shd w:val="clear" w:color="auto" w:fill="auto"/>
            <w:noWrap/>
            <w:vAlign w:val="center"/>
          </w:tcPr>
          <w:p>
            <w:pPr>
              <w:jc w:val="center"/>
              <w:rPr>
                <w:rFonts w:ascii="仿宋_GB2312" w:eastAsia="仿宋_GB2312"/>
                <w:color w:val="000000"/>
              </w:rPr>
            </w:pPr>
            <w:r>
              <w:rPr>
                <w:rFonts w:hint="eastAsia" w:ascii="仿宋_GB2312" w:eastAsia="仿宋_GB2312"/>
                <w:color w:val="000000"/>
              </w:rPr>
              <w:t>22</w:t>
            </w:r>
          </w:p>
        </w:tc>
        <w:tc>
          <w:tcPr>
            <w:tcW w:w="542" w:type="pct"/>
            <w:shd w:val="clear" w:color="auto" w:fill="auto"/>
            <w:noWrap/>
            <w:vAlign w:val="center"/>
          </w:tcPr>
          <w:p>
            <w:pPr>
              <w:widowControl/>
              <w:jc w:val="right"/>
              <w:textAlignment w:val="center"/>
              <w:rPr>
                <w:rFonts w:ascii="仿宋_GB2312" w:eastAsia="仿宋_GB2312"/>
                <w:color w:val="000000"/>
              </w:rPr>
            </w:pPr>
            <w:r>
              <w:rPr>
                <w:rFonts w:hint="eastAsia" w:ascii="等线" w:hAnsi="等线" w:eastAsia="等线" w:cs="等线"/>
                <w:color w:val="000000"/>
                <w:kern w:val="0"/>
                <w:sz w:val="22"/>
                <w:szCs w:val="22"/>
                <w:lang w:bidi="ar"/>
              </w:rPr>
              <w:t xml:space="preserve">0.104 </w:t>
            </w:r>
          </w:p>
        </w:tc>
        <w:tc>
          <w:tcPr>
            <w:tcW w:w="850"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0.676</w:t>
            </w:r>
          </w:p>
        </w:tc>
        <w:tc>
          <w:tcPr>
            <w:tcW w:w="523"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b/>
                <w:color w:val="000000"/>
              </w:rPr>
              <w:t>中等</w:t>
            </w:r>
          </w:p>
        </w:tc>
        <w:tc>
          <w:tcPr>
            <w:tcW w:w="1203" w:type="pct"/>
          </w:tcPr>
          <w:p>
            <w:pPr>
              <w:jc w:val="center"/>
            </w:pPr>
            <w:r>
              <w:rPr>
                <w:rFonts w:hint="eastAsia" w:ascii="仿宋_GB2312" w:eastAsia="仿宋_GB2312"/>
                <w:color w:val="000000"/>
              </w:rPr>
              <w:t>工业用地</w:t>
            </w:r>
          </w:p>
        </w:tc>
        <w:tc>
          <w:tcPr>
            <w:tcW w:w="645" w:type="pct"/>
            <w:shd w:val="clear" w:color="auto" w:fill="auto"/>
            <w:noWrap/>
            <w:vAlign w:val="center"/>
          </w:tcPr>
          <w:p>
            <w:pPr>
              <w:jc w:val="center"/>
              <w:rPr>
                <w:rFonts w:ascii="仿宋_GB2312" w:hAnsi="宋体" w:eastAsia="仿宋_GB2312" w:cs="宋体"/>
                <w:color w:val="000000"/>
                <w:sz w:val="24"/>
              </w:rPr>
            </w:pPr>
            <w:r>
              <w:rPr>
                <w:rFonts w:hint="eastAsia" w:ascii="仿宋_GB2312" w:eastAsia="仿宋_GB2312"/>
                <w:b/>
                <w:color w:val="000000"/>
              </w:rPr>
              <w:t>中</w:t>
            </w:r>
          </w:p>
        </w:tc>
        <w:tc>
          <w:tcPr>
            <w:tcW w:w="641" w:type="pct"/>
            <w:shd w:val="clear" w:color="auto" w:fill="auto"/>
            <w:noWrap/>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B2</w:t>
            </w:r>
          </w:p>
        </w:tc>
      </w:tr>
    </w:tbl>
    <w:p>
      <w:pPr>
        <w:rPr>
          <w:highlight w:val="red"/>
        </w:rPr>
      </w:pPr>
    </w:p>
    <w:p>
      <w:pPr>
        <w:adjustRightInd w:val="0"/>
        <w:snapToGrid w:val="0"/>
        <w:spacing w:line="600" w:lineRule="atLeast"/>
        <w:ind w:firstLine="964" w:firstLineChars="400"/>
        <w:rPr>
          <w:rFonts w:ascii="仿宋_GB2312" w:eastAsia="仿宋_GB2312"/>
          <w:b/>
          <w:color w:val="000000"/>
          <w:sz w:val="24"/>
        </w:rPr>
      </w:pPr>
    </w:p>
    <w:p>
      <w:pPr>
        <w:adjustRightInd w:val="0"/>
        <w:snapToGrid w:val="0"/>
        <w:spacing w:line="600" w:lineRule="atLeast"/>
        <w:ind w:firstLine="964" w:firstLineChars="400"/>
        <w:rPr>
          <w:rFonts w:ascii="仿宋_GB2312" w:eastAsia="仿宋_GB2312"/>
          <w:b/>
          <w:color w:val="000000"/>
          <w:sz w:val="24"/>
        </w:rPr>
      </w:pPr>
      <w:r>
        <w:rPr>
          <w:rFonts w:hint="eastAsia" w:ascii="仿宋_GB2312" w:eastAsia="仿宋_GB2312"/>
          <w:b/>
          <w:color w:val="000000"/>
          <w:sz w:val="24"/>
        </w:rPr>
        <w:t>表7</w:t>
      </w:r>
      <w:r>
        <w:rPr>
          <w:rFonts w:ascii="仿宋_GB2312" w:eastAsia="仿宋_GB2312"/>
          <w:b/>
          <w:color w:val="000000"/>
          <w:sz w:val="24"/>
        </w:rPr>
        <w:t>-</w:t>
      </w:r>
      <w:r>
        <w:rPr>
          <w:rFonts w:hint="eastAsia" w:ascii="仿宋_GB2312" w:eastAsia="仿宋_GB2312"/>
          <w:b/>
          <w:color w:val="000000"/>
          <w:sz w:val="24"/>
        </w:rPr>
        <w:t>2</w:t>
      </w:r>
      <w:r>
        <w:rPr>
          <w:rFonts w:hint="eastAsia" w:eastAsia="仿宋_GB2312"/>
          <w:b/>
          <w:bCs/>
          <w:color w:val="000000"/>
          <w:sz w:val="24"/>
        </w:rPr>
        <w:t xml:space="preserve">         分区编号与地质危险性分区分级代号对应表</w:t>
      </w:r>
    </w:p>
    <w:tbl>
      <w:tblPr>
        <w:tblStyle w:val="30"/>
        <w:tblW w:w="5000" w:type="pct"/>
        <w:tblInd w:w="0" w:type="dxa"/>
        <w:tblBorders>
          <w:top w:val="single" w:color="auto" w:sz="12" w:space="0"/>
          <w:left w:val="single" w:color="auto" w:sz="12"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5"/>
        <w:gridCol w:w="1419"/>
        <w:gridCol w:w="847"/>
        <w:gridCol w:w="3405"/>
        <w:gridCol w:w="1693"/>
      </w:tblGrid>
      <w:tr>
        <w:tblPrEx>
          <w:tblBorders>
            <w:top w:val="single" w:color="auto" w:sz="12" w:space="0"/>
            <w:left w:val="single" w:color="auto" w:sz="12" w:space="0"/>
            <w:bottom w:val="single" w:color="auto" w:sz="12" w:space="0"/>
            <w:right w:val="single" w:color="auto" w:sz="4" w:space="0"/>
            <w:insideH w:val="single" w:color="auto" w:sz="4" w:space="0"/>
            <w:insideV w:val="single" w:color="auto" w:sz="4" w:space="0"/>
          </w:tblBorders>
        </w:tblPrEx>
        <w:trPr>
          <w:trHeight w:val="20" w:hRule="atLeast"/>
          <w:tblHeader/>
        </w:trPr>
        <w:tc>
          <w:tcPr>
            <w:tcW w:w="1219" w:type="pct"/>
            <w:shd w:val="clear" w:color="auto" w:fill="auto"/>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宏观分区</w:t>
            </w:r>
          </w:p>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编号</w:t>
            </w:r>
          </w:p>
        </w:tc>
        <w:tc>
          <w:tcPr>
            <w:tcW w:w="728" w:type="pct"/>
            <w:shd w:val="clear" w:color="auto" w:fill="auto"/>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地质灾害危险性分区</w:t>
            </w:r>
          </w:p>
        </w:tc>
        <w:tc>
          <w:tcPr>
            <w:tcW w:w="435" w:type="pct"/>
            <w:shd w:val="clear" w:color="auto" w:fill="auto"/>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亚区</w:t>
            </w:r>
          </w:p>
        </w:tc>
        <w:tc>
          <w:tcPr>
            <w:tcW w:w="1747" w:type="pct"/>
            <w:shd w:val="clear" w:color="auto" w:fill="auto"/>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地质环境主要影响因素</w:t>
            </w:r>
          </w:p>
        </w:tc>
        <w:tc>
          <w:tcPr>
            <w:tcW w:w="869" w:type="pct"/>
            <w:shd w:val="clear" w:color="auto" w:fill="auto"/>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地质灾害危险性分区代号</w:t>
            </w:r>
          </w:p>
        </w:tc>
      </w:tr>
      <w:tr>
        <w:tblPrEx>
          <w:tblBorders>
            <w:top w:val="single" w:color="auto" w:sz="12" w:space="0"/>
            <w:left w:val="single" w:color="auto" w:sz="12"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5" w:hRule="atLeast"/>
        </w:trPr>
        <w:tc>
          <w:tcPr>
            <w:tcW w:w="1219" w:type="pct"/>
            <w:shd w:val="clear" w:color="auto" w:fill="auto"/>
            <w:noWrap/>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eastAsia="仿宋_GB2312"/>
                <w:color w:val="000000"/>
                <w:szCs w:val="36"/>
              </w:rPr>
              <w:t>1、2、3、4、5、6、7、8、9、10、11、12、13、14、15、16、18、20</w:t>
            </w:r>
          </w:p>
        </w:tc>
        <w:tc>
          <w:tcPr>
            <w:tcW w:w="728" w:type="pct"/>
            <w:vMerge w:val="restart"/>
            <w:shd w:val="clear" w:color="auto" w:fill="auto"/>
            <w:noWrap/>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A区</w:t>
            </w:r>
          </w:p>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（小区）</w:t>
            </w:r>
          </w:p>
        </w:tc>
        <w:tc>
          <w:tcPr>
            <w:tcW w:w="435" w:type="pct"/>
            <w:shd w:val="clear" w:color="auto" w:fill="auto"/>
            <w:noWrap/>
            <w:vAlign w:val="center"/>
          </w:tcPr>
          <w:p>
            <w:pPr>
              <w:widowControl/>
              <w:adjustRightInd w:val="0"/>
              <w:snapToGrid w:val="0"/>
              <w:spacing w:line="240" w:lineRule="atLeas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A</w:t>
            </w:r>
            <w:r>
              <w:rPr>
                <w:rFonts w:hint="eastAsia" w:ascii="仿宋_GB2312" w:hAnsi="宋体" w:eastAsia="仿宋_GB2312" w:cs="宋体"/>
                <w:color w:val="000000"/>
                <w:sz w:val="18"/>
                <w:szCs w:val="18"/>
              </w:rPr>
              <w:t>1</w:t>
            </w:r>
          </w:p>
        </w:tc>
        <w:tc>
          <w:tcPr>
            <w:tcW w:w="1747" w:type="pct"/>
            <w:shd w:val="clear" w:color="auto" w:fill="auto"/>
            <w:noWrap/>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eastAsia="仿宋_GB2312"/>
                <w:color w:val="000000"/>
              </w:rPr>
              <w:t>多为居民房屋区域和原始地形，</w:t>
            </w:r>
            <w:r>
              <w:rPr>
                <w:rFonts w:hint="eastAsia" w:ascii="仿宋_GB2312" w:eastAsia="仿宋_GB2312"/>
                <w:szCs w:val="36"/>
              </w:rPr>
              <w:t>地形总体坡角＜15°，</w:t>
            </w:r>
            <w:r>
              <w:rPr>
                <w:rFonts w:hint="eastAsia" w:ascii="仿宋_GB2312" w:eastAsia="仿宋_GB2312"/>
                <w:color w:val="000000"/>
              </w:rPr>
              <w:t>局部属施工整平区，地形总体较平缓，整平区边缘局部地形起伏，土层厚度</w:t>
            </w:r>
            <w:r>
              <w:rPr>
                <w:rFonts w:hint="eastAsia" w:ascii="仿宋_GB2312" w:eastAsia="仿宋_GB2312"/>
                <w:color w:val="000000" w:themeColor="text1"/>
              </w:rPr>
              <w:t>3＜h＜10m</w:t>
            </w:r>
            <w:r>
              <w:rPr>
                <w:rFonts w:hint="eastAsia" w:ascii="仿宋_GB2312" w:eastAsia="仿宋_GB2312"/>
                <w:color w:val="000000"/>
              </w:rPr>
              <w:t>，未见滑坡、泥石流、危岩、崩塌、地表塌陷等不良地质现象，地质灾害发生可能性指数为0.508，</w:t>
            </w:r>
            <w:r>
              <w:rPr>
                <w:rFonts w:hint="eastAsia" w:ascii="仿宋_GB2312" w:eastAsia="仿宋_GB2312"/>
                <w:bCs/>
                <w:color w:val="000000"/>
                <w:kern w:val="0"/>
              </w:rPr>
              <w:t>本区岩土体及斜坡对人类活动不敏感。</w:t>
            </w:r>
          </w:p>
        </w:tc>
        <w:tc>
          <w:tcPr>
            <w:tcW w:w="869" w:type="pct"/>
            <w:shd w:val="clear" w:color="auto" w:fill="auto"/>
            <w:noWrap/>
            <w:vAlign w:val="center"/>
          </w:tcPr>
          <w:p>
            <w:pPr>
              <w:widowControl/>
              <w:adjustRightInd w:val="0"/>
              <w:snapToGrid w:val="0"/>
              <w:spacing w:line="240" w:lineRule="atLeast"/>
              <w:jc w:val="center"/>
              <w:rPr>
                <w:rFonts w:ascii="仿宋_GB2312" w:hAnsi="宋体" w:eastAsia="仿宋_GB2312" w:cs="宋体"/>
                <w:color w:val="000000"/>
                <w:kern w:val="0"/>
                <w:sz w:val="24"/>
                <w:highlight w:val="green"/>
              </w:rPr>
            </w:pPr>
            <w:r>
              <w:rPr>
                <w:rFonts w:hint="eastAsia" w:ascii="仿宋_GB2312" w:hAnsi="宋体" w:eastAsia="仿宋_GB2312" w:cs="宋体"/>
                <w:color w:val="000000"/>
                <w:kern w:val="0"/>
                <w:szCs w:val="21"/>
              </w:rPr>
              <w:t>A</w:t>
            </w:r>
            <w:r>
              <w:rPr>
                <w:rFonts w:hint="eastAsia" w:ascii="仿宋_GB2312" w:hAnsi="宋体" w:eastAsia="仿宋_GB2312" w:cs="宋体"/>
                <w:color w:val="000000"/>
                <w:sz w:val="18"/>
                <w:szCs w:val="18"/>
              </w:rPr>
              <w:t>1</w:t>
            </w:r>
          </w:p>
        </w:tc>
      </w:tr>
      <w:tr>
        <w:tblPrEx>
          <w:tblBorders>
            <w:top w:val="single" w:color="auto" w:sz="12" w:space="0"/>
            <w:left w:val="single" w:color="auto" w:sz="12"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9" w:type="pct"/>
            <w:shd w:val="clear" w:color="auto" w:fill="auto"/>
            <w:noWrap/>
            <w:vAlign w:val="center"/>
          </w:tcPr>
          <w:p>
            <w:pPr>
              <w:widowControl/>
              <w:adjustRightInd w:val="0"/>
              <w:snapToGrid w:val="0"/>
              <w:spacing w:line="240" w:lineRule="atLeast"/>
              <w:jc w:val="center"/>
              <w:rPr>
                <w:rFonts w:ascii="仿宋_GB2312" w:eastAsia="仿宋_GB2312"/>
                <w:color w:val="000000"/>
                <w:szCs w:val="36"/>
              </w:rPr>
            </w:pPr>
            <w:r>
              <w:rPr>
                <w:rFonts w:hint="eastAsia" w:ascii="仿宋_GB2312" w:eastAsia="仿宋_GB2312"/>
                <w:color w:val="000000"/>
                <w:szCs w:val="36"/>
              </w:rPr>
              <w:t>17-1、21</w:t>
            </w:r>
          </w:p>
        </w:tc>
        <w:tc>
          <w:tcPr>
            <w:tcW w:w="728" w:type="pct"/>
            <w:vMerge w:val="restart"/>
            <w:shd w:val="clear" w:color="auto" w:fill="auto"/>
            <w:noWrap/>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B区</w:t>
            </w:r>
          </w:p>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（中等区）</w:t>
            </w:r>
          </w:p>
        </w:tc>
        <w:tc>
          <w:tcPr>
            <w:tcW w:w="435" w:type="pct"/>
            <w:shd w:val="clear" w:color="auto" w:fill="auto"/>
            <w:noWrap/>
            <w:vAlign w:val="center"/>
          </w:tcPr>
          <w:p>
            <w:pPr>
              <w:widowControl/>
              <w:adjustRightInd w:val="0"/>
              <w:snapToGrid w:val="0"/>
              <w:spacing w:line="240" w:lineRule="atLeas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B</w:t>
            </w:r>
            <w:r>
              <w:rPr>
                <w:rFonts w:ascii="仿宋_GB2312" w:hAnsi="宋体" w:eastAsia="仿宋_GB2312" w:cs="宋体"/>
                <w:color w:val="000000"/>
                <w:sz w:val="18"/>
                <w:szCs w:val="18"/>
              </w:rPr>
              <w:fldChar w:fldCharType="begin"/>
            </w:r>
            <w:r>
              <w:rPr>
                <w:rFonts w:ascii="仿宋_GB2312" w:hAnsi="宋体" w:eastAsia="仿宋_GB2312" w:cs="宋体"/>
                <w:color w:val="000000"/>
                <w:sz w:val="18"/>
                <w:szCs w:val="18"/>
              </w:rPr>
              <w:instrText xml:space="preserve"> </w:instrText>
            </w:r>
            <w:r>
              <w:rPr>
                <w:rFonts w:hint="eastAsia" w:ascii="仿宋_GB2312" w:hAnsi="宋体" w:eastAsia="仿宋_GB2312" w:cs="宋体"/>
                <w:color w:val="000000"/>
                <w:sz w:val="18"/>
                <w:szCs w:val="18"/>
              </w:rPr>
              <w:instrText xml:space="preserve">= 1 \* ROMAN</w:instrText>
            </w:r>
            <w:r>
              <w:rPr>
                <w:rFonts w:ascii="仿宋_GB2312" w:hAnsi="宋体" w:eastAsia="仿宋_GB2312" w:cs="宋体"/>
                <w:color w:val="000000"/>
                <w:sz w:val="18"/>
                <w:szCs w:val="18"/>
              </w:rPr>
              <w:instrText xml:space="preserve"> </w:instrText>
            </w:r>
            <w:r>
              <w:rPr>
                <w:rFonts w:ascii="仿宋_GB2312" w:hAnsi="宋体" w:eastAsia="仿宋_GB2312" w:cs="宋体"/>
                <w:color w:val="000000"/>
                <w:sz w:val="18"/>
                <w:szCs w:val="18"/>
              </w:rPr>
              <w:fldChar w:fldCharType="separate"/>
            </w:r>
            <w:r>
              <w:rPr>
                <w:rFonts w:ascii="仿宋_GB2312" w:hAnsi="宋体" w:eastAsia="仿宋_GB2312" w:cs="宋体"/>
                <w:color w:val="000000"/>
                <w:sz w:val="18"/>
                <w:szCs w:val="18"/>
              </w:rPr>
              <w:t>1</w:t>
            </w:r>
            <w:r>
              <w:rPr>
                <w:rFonts w:ascii="仿宋_GB2312" w:hAnsi="宋体" w:eastAsia="仿宋_GB2312" w:cs="宋体"/>
                <w:color w:val="000000"/>
                <w:sz w:val="18"/>
                <w:szCs w:val="18"/>
              </w:rPr>
              <w:fldChar w:fldCharType="end"/>
            </w:r>
          </w:p>
        </w:tc>
        <w:tc>
          <w:tcPr>
            <w:tcW w:w="1747" w:type="pct"/>
            <w:shd w:val="clear" w:color="auto" w:fill="auto"/>
            <w:noWrap/>
            <w:vAlign w:val="center"/>
          </w:tcPr>
          <w:p>
            <w:pPr>
              <w:widowControl/>
              <w:adjustRightInd w:val="0"/>
              <w:snapToGrid w:val="0"/>
              <w:spacing w:line="240" w:lineRule="atLeast"/>
              <w:jc w:val="center"/>
              <w:rPr>
                <w:rFonts w:ascii="仿宋_GB2312" w:eastAsia="仿宋_GB2312"/>
                <w:color w:val="000000"/>
                <w:szCs w:val="36"/>
              </w:rPr>
            </w:pPr>
            <w:r>
              <w:rPr>
                <w:rFonts w:hint="eastAsia" w:ascii="仿宋_GB2312" w:eastAsia="仿宋_GB2312"/>
                <w:color w:val="000000"/>
              </w:rPr>
              <w:t>多原始地形，</w:t>
            </w:r>
            <w:r>
              <w:rPr>
                <w:rFonts w:hint="eastAsia" w:ascii="仿宋_GB2312" w:eastAsia="仿宋_GB2312"/>
                <w:szCs w:val="36"/>
              </w:rPr>
              <w:t>地形总体坡角≥15°，＜30°，</w:t>
            </w:r>
            <w:r>
              <w:rPr>
                <w:rFonts w:hint="eastAsia" w:ascii="仿宋_GB2312" w:eastAsia="仿宋_GB2312"/>
                <w:bCs/>
                <w:color w:val="000000"/>
                <w:kern w:val="0"/>
              </w:rPr>
              <w:t>土层厚度</w:t>
            </w:r>
            <w:r>
              <w:rPr>
                <w:rFonts w:hint="eastAsia" w:ascii="仿宋_GB2312" w:eastAsia="仿宋_GB2312"/>
                <w:color w:val="000000" w:themeColor="text1"/>
              </w:rPr>
              <w:t>3＜h＜10m</w:t>
            </w:r>
            <w:r>
              <w:rPr>
                <w:rFonts w:hint="eastAsia" w:ascii="仿宋_GB2312" w:eastAsia="仿宋_GB2312"/>
                <w:bCs/>
                <w:color w:val="000000"/>
                <w:kern w:val="0"/>
              </w:rPr>
              <w:t>，基岩局部出露，不存在外倾临空结构面。</w:t>
            </w:r>
          </w:p>
        </w:tc>
        <w:tc>
          <w:tcPr>
            <w:tcW w:w="869" w:type="pct"/>
            <w:shd w:val="clear" w:color="auto" w:fill="auto"/>
            <w:noWrap/>
            <w:vAlign w:val="center"/>
          </w:tcPr>
          <w:p>
            <w:pPr>
              <w:widowControl/>
              <w:adjustRightInd w:val="0"/>
              <w:snapToGrid w:val="0"/>
              <w:spacing w:line="240" w:lineRule="atLeast"/>
              <w:jc w:val="center"/>
              <w:rPr>
                <w:rFonts w:ascii="仿宋_GB2312" w:hAnsi="宋体" w:eastAsia="仿宋_GB2312" w:cs="宋体"/>
                <w:color w:val="000000"/>
                <w:kern w:val="0"/>
                <w:sz w:val="24"/>
                <w:highlight w:val="green"/>
              </w:rPr>
            </w:pPr>
            <w:r>
              <w:rPr>
                <w:rFonts w:hint="eastAsia" w:ascii="仿宋_GB2312" w:eastAsia="仿宋_GB2312"/>
              </w:rPr>
              <w:t>B</w:t>
            </w:r>
            <w:r>
              <w:rPr>
                <w:rFonts w:hint="eastAsia" w:ascii="仿宋_GB2312" w:hAnsi="宋体" w:eastAsia="仿宋_GB2312" w:cs="宋体"/>
                <w:color w:val="000000"/>
                <w:sz w:val="18"/>
                <w:szCs w:val="18"/>
              </w:rPr>
              <w:t>1</w:t>
            </w:r>
          </w:p>
        </w:tc>
      </w:tr>
      <w:tr>
        <w:tblPrEx>
          <w:tblBorders>
            <w:top w:val="single" w:color="auto" w:sz="12" w:space="0"/>
            <w:left w:val="single" w:color="auto" w:sz="12"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9" w:type="pct"/>
            <w:shd w:val="clear" w:color="auto" w:fill="auto"/>
            <w:noWrap/>
            <w:vAlign w:val="center"/>
          </w:tcPr>
          <w:p>
            <w:pPr>
              <w:widowControl/>
              <w:adjustRightInd w:val="0"/>
              <w:snapToGrid w:val="0"/>
              <w:spacing w:line="240" w:lineRule="atLeast"/>
              <w:jc w:val="center"/>
              <w:rPr>
                <w:rFonts w:ascii="仿宋_GB2312" w:eastAsia="仿宋_GB2312"/>
                <w:color w:val="000000"/>
                <w:szCs w:val="36"/>
              </w:rPr>
            </w:pPr>
          </w:p>
          <w:p>
            <w:pPr>
              <w:widowControl/>
              <w:adjustRightInd w:val="0"/>
              <w:snapToGrid w:val="0"/>
              <w:spacing w:line="240" w:lineRule="atLeast"/>
              <w:jc w:val="center"/>
              <w:rPr>
                <w:rFonts w:ascii="仿宋_GB2312" w:eastAsia="仿宋_GB2312"/>
                <w:color w:val="000000"/>
                <w:szCs w:val="36"/>
              </w:rPr>
            </w:pPr>
            <w:r>
              <w:rPr>
                <w:rFonts w:hint="eastAsia" w:ascii="仿宋_GB2312" w:eastAsia="仿宋_GB2312"/>
                <w:color w:val="000000"/>
                <w:szCs w:val="36"/>
              </w:rPr>
              <w:t>22、19</w:t>
            </w:r>
          </w:p>
        </w:tc>
        <w:tc>
          <w:tcPr>
            <w:tcW w:w="728" w:type="pct"/>
            <w:vMerge w:val="continue"/>
            <w:shd w:val="clear" w:color="auto" w:fill="auto"/>
            <w:noWrap/>
            <w:vAlign w:val="center"/>
          </w:tcPr>
          <w:p>
            <w:pPr>
              <w:widowControl/>
              <w:adjustRightInd w:val="0"/>
              <w:snapToGrid w:val="0"/>
              <w:spacing w:line="240" w:lineRule="atLeast"/>
              <w:jc w:val="center"/>
              <w:rPr>
                <w:rFonts w:ascii="仿宋_GB2312" w:hAnsi="宋体" w:eastAsia="仿宋_GB2312" w:cs="宋体"/>
                <w:color w:val="000000"/>
                <w:kern w:val="0"/>
                <w:sz w:val="24"/>
              </w:rPr>
            </w:pPr>
          </w:p>
        </w:tc>
        <w:tc>
          <w:tcPr>
            <w:tcW w:w="435" w:type="pct"/>
            <w:shd w:val="clear" w:color="auto" w:fill="auto"/>
            <w:noWrap/>
            <w:vAlign w:val="center"/>
          </w:tcPr>
          <w:p>
            <w:pPr>
              <w:widowControl/>
              <w:adjustRightInd w:val="0"/>
              <w:snapToGrid w:val="0"/>
              <w:spacing w:line="240" w:lineRule="atLeas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B</w:t>
            </w:r>
            <w:r>
              <w:rPr>
                <w:rFonts w:ascii="仿宋_GB2312" w:hAnsi="宋体" w:eastAsia="仿宋_GB2312" w:cs="宋体"/>
                <w:color w:val="000000"/>
                <w:sz w:val="18"/>
                <w:szCs w:val="18"/>
              </w:rPr>
              <w:fldChar w:fldCharType="begin"/>
            </w:r>
            <w:r>
              <w:rPr>
                <w:rFonts w:ascii="仿宋_GB2312" w:hAnsi="宋体" w:eastAsia="仿宋_GB2312" w:cs="宋体"/>
                <w:color w:val="000000"/>
                <w:sz w:val="18"/>
                <w:szCs w:val="18"/>
              </w:rPr>
              <w:instrText xml:space="preserve"> </w:instrText>
            </w:r>
            <w:r>
              <w:rPr>
                <w:rFonts w:hint="eastAsia" w:ascii="仿宋_GB2312" w:hAnsi="宋体" w:eastAsia="仿宋_GB2312" w:cs="宋体"/>
                <w:color w:val="000000"/>
                <w:sz w:val="18"/>
                <w:szCs w:val="18"/>
              </w:rPr>
              <w:instrText xml:space="preserve">= 2 \* ROMAN</w:instrText>
            </w:r>
            <w:r>
              <w:rPr>
                <w:rFonts w:ascii="仿宋_GB2312" w:hAnsi="宋体" w:eastAsia="仿宋_GB2312" w:cs="宋体"/>
                <w:color w:val="000000"/>
                <w:sz w:val="18"/>
                <w:szCs w:val="18"/>
              </w:rPr>
              <w:instrText xml:space="preserve"> </w:instrText>
            </w:r>
            <w:r>
              <w:rPr>
                <w:rFonts w:ascii="仿宋_GB2312" w:hAnsi="宋体" w:eastAsia="仿宋_GB2312" w:cs="宋体"/>
                <w:color w:val="000000"/>
                <w:sz w:val="18"/>
                <w:szCs w:val="18"/>
              </w:rPr>
              <w:fldChar w:fldCharType="separate"/>
            </w:r>
            <w:r>
              <w:rPr>
                <w:rFonts w:ascii="仿宋_GB2312" w:hAnsi="宋体" w:eastAsia="仿宋_GB2312" w:cs="宋体"/>
                <w:color w:val="000000"/>
                <w:sz w:val="18"/>
                <w:szCs w:val="18"/>
              </w:rPr>
              <w:t>2</w:t>
            </w:r>
            <w:r>
              <w:rPr>
                <w:rFonts w:ascii="仿宋_GB2312" w:hAnsi="宋体" w:eastAsia="仿宋_GB2312" w:cs="宋体"/>
                <w:color w:val="000000"/>
                <w:sz w:val="18"/>
                <w:szCs w:val="18"/>
              </w:rPr>
              <w:fldChar w:fldCharType="end"/>
            </w:r>
          </w:p>
        </w:tc>
        <w:tc>
          <w:tcPr>
            <w:tcW w:w="1747" w:type="pct"/>
            <w:shd w:val="clear" w:color="auto" w:fill="auto"/>
            <w:noWrap/>
            <w:vAlign w:val="center"/>
          </w:tcPr>
          <w:p>
            <w:pPr>
              <w:widowControl/>
              <w:adjustRightInd w:val="0"/>
              <w:snapToGrid w:val="0"/>
              <w:spacing w:line="240" w:lineRule="atLeast"/>
              <w:jc w:val="center"/>
              <w:rPr>
                <w:rFonts w:ascii="仿宋_GB2312" w:hAnsi="宋体" w:eastAsia="仿宋_GB2312" w:cs="宋体"/>
                <w:color w:val="000000"/>
                <w:kern w:val="0"/>
                <w:sz w:val="24"/>
              </w:rPr>
            </w:pPr>
            <w:r>
              <w:rPr>
                <w:rFonts w:hint="eastAsia" w:ascii="仿宋_GB2312" w:eastAsia="仿宋_GB2312"/>
                <w:color w:val="000000"/>
              </w:rPr>
              <w:t>多为原始地形，</w:t>
            </w:r>
            <w:r>
              <w:rPr>
                <w:rFonts w:hint="eastAsia" w:ascii="仿宋_GB2312" w:eastAsia="仿宋_GB2312"/>
                <w:szCs w:val="36"/>
              </w:rPr>
              <w:t>地形总体坡角≥15°，＜30°，</w:t>
            </w:r>
            <w:r>
              <w:rPr>
                <w:rFonts w:hint="eastAsia" w:ascii="仿宋_GB2312" w:eastAsia="仿宋_GB2312"/>
                <w:bCs/>
                <w:color w:val="000000"/>
                <w:kern w:val="0"/>
              </w:rPr>
              <w:t>土层厚度</w:t>
            </w:r>
            <w:r>
              <w:rPr>
                <w:rFonts w:hint="eastAsia" w:ascii="仿宋_GB2312" w:eastAsia="仿宋_GB2312"/>
                <w:color w:val="000000" w:themeColor="text1"/>
              </w:rPr>
              <w:t>3＜h＜10m</w:t>
            </w:r>
            <w:r>
              <w:rPr>
                <w:rFonts w:hint="eastAsia" w:ascii="仿宋_GB2312" w:eastAsia="仿宋_GB2312"/>
                <w:bCs/>
                <w:color w:val="000000"/>
                <w:kern w:val="0"/>
              </w:rPr>
              <w:t>，基岩局部出露，存在外倾临空结构面，外倾临空，倾角＜20°，≥10°。</w:t>
            </w:r>
          </w:p>
        </w:tc>
        <w:tc>
          <w:tcPr>
            <w:tcW w:w="869" w:type="pct"/>
            <w:shd w:val="clear" w:color="auto" w:fill="auto"/>
            <w:noWrap/>
            <w:vAlign w:val="center"/>
          </w:tcPr>
          <w:p>
            <w:pPr>
              <w:widowControl/>
              <w:adjustRightInd w:val="0"/>
              <w:snapToGrid w:val="0"/>
              <w:spacing w:line="240" w:lineRule="atLeast"/>
              <w:jc w:val="center"/>
              <w:rPr>
                <w:rFonts w:ascii="仿宋_GB2312" w:hAnsi="宋体" w:eastAsia="仿宋_GB2312" w:cs="宋体"/>
                <w:color w:val="000000"/>
                <w:kern w:val="0"/>
                <w:sz w:val="24"/>
                <w:highlight w:val="yellow"/>
              </w:rPr>
            </w:pPr>
            <w:r>
              <w:rPr>
                <w:rFonts w:hint="eastAsia" w:ascii="仿宋_GB2312" w:eastAsia="仿宋_GB2312"/>
              </w:rPr>
              <w:t>B</w:t>
            </w:r>
            <w:r>
              <w:rPr>
                <w:rFonts w:hint="eastAsia" w:ascii="仿宋_GB2312" w:hAnsi="宋体" w:eastAsia="仿宋_GB2312" w:cs="宋体"/>
                <w:color w:val="000000"/>
                <w:sz w:val="18"/>
                <w:szCs w:val="18"/>
              </w:rPr>
              <w:t>2</w:t>
            </w:r>
          </w:p>
        </w:tc>
      </w:tr>
    </w:tbl>
    <w:p>
      <w:pPr>
        <w:pStyle w:val="13"/>
        <w:adjustRightInd w:val="0"/>
        <w:snapToGrid w:val="0"/>
        <w:spacing w:line="600" w:lineRule="atLeast"/>
        <w:rPr>
          <w:rFonts w:ascii="仿宋_GB2312" w:eastAsia="仿宋_GB2312"/>
          <w:kern w:val="0"/>
        </w:rPr>
      </w:pPr>
    </w:p>
    <w:p>
      <w:pPr>
        <w:pStyle w:val="13"/>
        <w:adjustRightInd w:val="0"/>
        <w:snapToGrid w:val="0"/>
        <w:spacing w:line="600" w:lineRule="atLeast"/>
        <w:rPr>
          <w:rFonts w:ascii="仿宋_GB2312" w:eastAsia="仿宋_GB2312"/>
          <w:kern w:val="0"/>
        </w:rPr>
      </w:pPr>
    </w:p>
    <w:p>
      <w:pPr>
        <w:pStyle w:val="13"/>
        <w:adjustRightInd w:val="0"/>
        <w:snapToGrid w:val="0"/>
        <w:spacing w:line="600" w:lineRule="atLeast"/>
        <w:rPr>
          <w:rFonts w:ascii="仿宋_GB2312" w:eastAsia="仿宋_GB2312"/>
          <w:kern w:val="0"/>
        </w:rPr>
      </w:pPr>
    </w:p>
    <w:p>
      <w:pPr>
        <w:pStyle w:val="13"/>
        <w:adjustRightInd w:val="0"/>
        <w:snapToGrid w:val="0"/>
        <w:spacing w:line="600" w:lineRule="atLeast"/>
        <w:rPr>
          <w:rFonts w:ascii="仿宋_GB2312" w:eastAsia="仿宋_GB2312"/>
          <w:kern w:val="0"/>
        </w:rPr>
      </w:pPr>
    </w:p>
    <w:p>
      <w:pPr>
        <w:pStyle w:val="13"/>
        <w:adjustRightInd w:val="0"/>
        <w:snapToGrid w:val="0"/>
        <w:spacing w:line="600" w:lineRule="atLeast"/>
        <w:rPr>
          <w:rFonts w:ascii="仿宋_GB2312" w:eastAsia="仿宋_GB2312"/>
          <w:kern w:val="0"/>
        </w:rPr>
      </w:pPr>
    </w:p>
    <w:p>
      <w:pPr>
        <w:pStyle w:val="13"/>
        <w:adjustRightInd w:val="0"/>
        <w:snapToGrid w:val="0"/>
        <w:spacing w:line="600" w:lineRule="atLeast"/>
        <w:rPr>
          <w:rFonts w:ascii="仿宋_GB2312" w:eastAsia="仿宋_GB2312"/>
          <w:kern w:val="0"/>
        </w:rPr>
      </w:pPr>
    </w:p>
    <w:p>
      <w:pPr>
        <w:pStyle w:val="13"/>
        <w:adjustRightInd w:val="0"/>
        <w:snapToGrid w:val="0"/>
        <w:spacing w:line="600" w:lineRule="atLeast"/>
        <w:rPr>
          <w:rFonts w:ascii="仿宋_GB2312" w:eastAsia="仿宋_GB2312"/>
          <w:kern w:val="0"/>
        </w:rPr>
      </w:pPr>
    </w:p>
    <w:p>
      <w:pPr>
        <w:pStyle w:val="13"/>
        <w:adjustRightInd w:val="0"/>
        <w:snapToGrid w:val="0"/>
        <w:spacing w:line="600" w:lineRule="atLeast"/>
        <w:rPr>
          <w:rFonts w:ascii="仿宋_GB2312" w:eastAsia="仿宋_GB2312"/>
          <w:kern w:val="0"/>
        </w:rPr>
      </w:pPr>
    </w:p>
    <w:p>
      <w:pPr>
        <w:pStyle w:val="13"/>
        <w:adjustRightInd w:val="0"/>
        <w:snapToGrid w:val="0"/>
        <w:spacing w:line="600" w:lineRule="atLeast"/>
        <w:rPr>
          <w:rFonts w:ascii="仿宋_GB2312" w:eastAsia="仿宋_GB2312"/>
          <w:kern w:val="0"/>
        </w:rPr>
      </w:pPr>
    </w:p>
    <w:p>
      <w:pPr>
        <w:pStyle w:val="2"/>
        <w:adjustRightInd w:val="0"/>
        <w:snapToGrid w:val="0"/>
        <w:spacing w:before="360" w:beforeLines="150" w:line="560" w:lineRule="atLeast"/>
        <w:ind w:firstLine="0"/>
        <w:rPr>
          <w:rFonts w:ascii="仿宋_GB2312" w:hAnsi="宋体" w:eastAsia="仿宋_GB2312"/>
          <w:b/>
          <w:bCs/>
          <w:i w:val="0"/>
          <w:iCs w:val="0"/>
          <w:color w:val="auto"/>
          <w:sz w:val="36"/>
          <w:szCs w:val="36"/>
        </w:rPr>
      </w:pPr>
      <w:bookmarkStart w:id="92" w:name="_Toc545"/>
      <w:r>
        <w:rPr>
          <w:rFonts w:hint="eastAsia" w:ascii="仿宋_GB2312" w:hAnsi="宋体" w:eastAsia="仿宋_GB2312"/>
          <w:b/>
          <w:bCs/>
          <w:i w:val="0"/>
          <w:iCs w:val="0"/>
          <w:color w:val="auto"/>
          <w:sz w:val="36"/>
          <w:szCs w:val="36"/>
        </w:rPr>
        <w:t>8地质灾害防治措施建议</w:t>
      </w:r>
      <w:bookmarkEnd w:id="92"/>
    </w:p>
    <w:p>
      <w:pPr>
        <w:pStyle w:val="3"/>
        <w:adjustRightInd w:val="0"/>
        <w:snapToGrid w:val="0"/>
        <w:spacing w:before="0" w:after="0" w:line="600" w:lineRule="atLeast"/>
        <w:rPr>
          <w:rFonts w:ascii="仿宋_GB2312" w:hAnsi="宋体" w:eastAsia="仿宋_GB2312"/>
          <w:b w:val="0"/>
          <w:bCs w:val="0"/>
          <w:kern w:val="0"/>
        </w:rPr>
      </w:pPr>
      <w:bookmarkStart w:id="93" w:name="_Toc30719"/>
      <w:r>
        <w:rPr>
          <w:rFonts w:hint="eastAsia" w:ascii="仿宋_GB2312" w:hAnsi="宋体" w:eastAsia="仿宋_GB2312"/>
          <w:b w:val="0"/>
          <w:bCs w:val="0"/>
          <w:kern w:val="0"/>
        </w:rPr>
        <w:t>8.1 防治措施总体建议</w:t>
      </w:r>
      <w:bookmarkEnd w:id="93"/>
    </w:p>
    <w:p>
      <w:pPr>
        <w:pStyle w:val="13"/>
        <w:adjustRightInd w:val="0"/>
        <w:snapToGrid w:val="0"/>
        <w:spacing w:line="600" w:lineRule="atLeast"/>
        <w:rPr>
          <w:rFonts w:ascii="仿宋_GB2312" w:eastAsia="仿宋_GB2312"/>
          <w:kern w:val="0"/>
        </w:rPr>
      </w:pPr>
      <w:r>
        <w:rPr>
          <w:rFonts w:hint="eastAsia" w:ascii="仿宋_GB2312" w:eastAsia="仿宋_GB2312"/>
          <w:kern w:val="0"/>
        </w:rPr>
        <w:t>根据前面章节的宏观分区情况，针对工程建设可能引发的相关地质灾害，对各区的防治措施进行建议。</w:t>
      </w:r>
    </w:p>
    <w:p>
      <w:pPr>
        <w:pStyle w:val="13"/>
        <w:adjustRightInd w:val="0"/>
        <w:snapToGrid w:val="0"/>
        <w:spacing w:line="600" w:lineRule="atLeast"/>
        <w:rPr>
          <w:rFonts w:ascii="仿宋_GB2312" w:eastAsia="仿宋_GB2312"/>
          <w:kern w:val="0"/>
        </w:rPr>
      </w:pPr>
      <w:r>
        <w:rPr>
          <w:rFonts w:hint="eastAsia" w:ascii="仿宋_GB2312" w:eastAsia="仿宋_GB2312"/>
          <w:kern w:val="0"/>
        </w:rPr>
        <w:t>①A</w:t>
      </w:r>
      <w:r>
        <w:rPr>
          <w:rFonts w:hint="eastAsia" w:ascii="仿宋_GB2312" w:eastAsia="仿宋_GB2312"/>
          <w:kern w:val="0"/>
        </w:rPr>
        <w:fldChar w:fldCharType="begin"/>
      </w:r>
      <w:r>
        <w:rPr>
          <w:rFonts w:hint="eastAsia" w:ascii="仿宋_GB2312" w:eastAsia="仿宋_GB2312"/>
          <w:kern w:val="0"/>
        </w:rPr>
        <w:instrText xml:space="preserve"> = 1 \* ROMAN </w:instrText>
      </w:r>
      <w:r>
        <w:rPr>
          <w:rFonts w:hint="eastAsia" w:ascii="仿宋_GB2312" w:eastAsia="仿宋_GB2312"/>
          <w:kern w:val="0"/>
        </w:rPr>
        <w:fldChar w:fldCharType="separate"/>
      </w:r>
      <w:r>
        <w:rPr>
          <w:rFonts w:hint="eastAsia"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区的场地起伏较小，</w:t>
      </w:r>
      <w:r>
        <w:rPr>
          <w:rFonts w:hint="eastAsia" w:ascii="仿宋_GB2312" w:eastAsiaTheme="minorEastAsia"/>
          <w:color w:val="000000" w:themeColor="text1"/>
          <w:kern w:val="0"/>
        </w:rPr>
        <w:t>工程建设</w:t>
      </w:r>
      <w:r>
        <w:rPr>
          <w:rFonts w:hint="eastAsia" w:ascii="仿宋_GB2312" w:eastAsia="仿宋_GB2312"/>
          <w:kern w:val="0"/>
        </w:rPr>
        <w:t>基本不受限制，但存在基坑边坡时，应先支挡、后建设。</w:t>
      </w:r>
    </w:p>
    <w:p>
      <w:pPr>
        <w:pStyle w:val="13"/>
        <w:adjustRightInd w:val="0"/>
        <w:snapToGrid w:val="0"/>
        <w:spacing w:line="600" w:lineRule="atLeast"/>
        <w:rPr>
          <w:rFonts w:ascii="仿宋_GB2312" w:eastAsia="仿宋_GB2312"/>
          <w:kern w:val="0"/>
        </w:rPr>
      </w:pPr>
      <w:r>
        <w:rPr>
          <w:rFonts w:hint="eastAsia" w:ascii="仿宋_GB2312" w:eastAsia="仿宋_GB2312"/>
          <w:kern w:val="0"/>
        </w:rPr>
        <w:t>④B1区加强对拟形成的挖填方边坡支护。对拟形成的挖方边坡进行放坡或其他方式支护。</w:t>
      </w:r>
    </w:p>
    <w:p>
      <w:pPr>
        <w:pStyle w:val="13"/>
        <w:adjustRightInd w:val="0"/>
        <w:snapToGrid w:val="0"/>
        <w:spacing w:line="600" w:lineRule="atLeast"/>
        <w:rPr>
          <w:rFonts w:ascii="仿宋_GB2312" w:eastAsia="仿宋_GB2312"/>
          <w:kern w:val="0"/>
        </w:rPr>
      </w:pPr>
      <w:r>
        <w:rPr>
          <w:rFonts w:hint="eastAsia" w:ascii="仿宋_GB2312" w:eastAsia="仿宋_GB2312"/>
          <w:kern w:val="0"/>
        </w:rPr>
        <w:t>⑤B2区加强对现有临空斜边坡的防治，对拟形成的顺层切坡应先支挡后开挖或顺层放坡处理。</w:t>
      </w:r>
    </w:p>
    <w:p>
      <w:pPr>
        <w:pStyle w:val="3"/>
        <w:adjustRightInd w:val="0"/>
        <w:snapToGrid w:val="0"/>
        <w:spacing w:before="0" w:after="0" w:line="600" w:lineRule="atLeast"/>
        <w:rPr>
          <w:rFonts w:ascii="仿宋_GB2312" w:hAnsi="宋体" w:eastAsia="仿宋_GB2312"/>
          <w:b w:val="0"/>
          <w:bCs w:val="0"/>
          <w:kern w:val="0"/>
        </w:rPr>
      </w:pPr>
      <w:bookmarkStart w:id="94" w:name="_Toc25328"/>
      <w:r>
        <w:rPr>
          <w:rFonts w:hint="eastAsia" w:ascii="仿宋_GB2312" w:hAnsi="宋体" w:eastAsia="仿宋_GB2312"/>
          <w:b w:val="0"/>
          <w:bCs w:val="0"/>
          <w:kern w:val="0"/>
        </w:rPr>
        <w:t>8.2各功能区地块防治措施建议</w:t>
      </w:r>
      <w:bookmarkEnd w:id="94"/>
    </w:p>
    <w:p>
      <w:pPr>
        <w:pStyle w:val="13"/>
        <w:adjustRightInd w:val="0"/>
        <w:snapToGrid w:val="0"/>
        <w:spacing w:line="600" w:lineRule="atLeast"/>
        <w:rPr>
          <w:rFonts w:ascii="仿宋_GB2312" w:eastAsia="仿宋_GB2312"/>
          <w:kern w:val="0"/>
        </w:rPr>
      </w:pPr>
      <w:r>
        <w:rPr>
          <w:rFonts w:hint="eastAsia" w:ascii="仿宋_GB2312" w:eastAsia="仿宋_GB2312"/>
          <w:kern w:val="0"/>
        </w:rPr>
        <w:t>根据地质灾害危险性分区，结合规划空间布局结构，对各功能区地块规划的内容作出针对性的防治措施建议。</w:t>
      </w:r>
    </w:p>
    <w:p>
      <w:pPr>
        <w:pStyle w:val="13"/>
        <w:adjustRightInd w:val="0"/>
        <w:snapToGrid w:val="0"/>
        <w:spacing w:line="600" w:lineRule="atLeast"/>
        <w:rPr>
          <w:rFonts w:ascii="仿宋_GB2312" w:eastAsia="仿宋_GB2312"/>
          <w:kern w:val="0"/>
        </w:rPr>
      </w:pPr>
      <w:r>
        <w:rPr>
          <w:rFonts w:hint="eastAsia" w:ascii="仿宋_GB2312" w:eastAsia="仿宋_GB2312"/>
          <w:kern w:val="0"/>
        </w:rPr>
        <w:t>根据地块的排列顺序，给出各地块的防治措施建议，详见表8.1，各地块间拟建道路防治措施建议，详见表8.2。</w:t>
      </w:r>
    </w:p>
    <w:p>
      <w:pPr>
        <w:pStyle w:val="2"/>
        <w:adjustRightInd w:val="0"/>
        <w:snapToGrid w:val="0"/>
        <w:spacing w:before="360" w:beforeLines="150" w:line="360" w:lineRule="auto"/>
        <w:ind w:firstLine="0"/>
        <w:rPr>
          <w:rFonts w:ascii="仿宋_GB2312" w:hAnsi="宋体" w:eastAsia="仿宋_GB2312"/>
          <w:b/>
          <w:bCs/>
          <w:i w:val="0"/>
          <w:iCs w:val="0"/>
          <w:color w:val="auto"/>
          <w:sz w:val="36"/>
          <w:szCs w:val="36"/>
        </w:rPr>
      </w:pPr>
      <w:bookmarkStart w:id="95" w:name="_Toc19052"/>
      <w:r>
        <w:rPr>
          <w:rFonts w:hint="eastAsia" w:ascii="仿宋_GB2312" w:hAnsi="宋体" w:eastAsia="仿宋_GB2312"/>
          <w:b/>
          <w:bCs/>
          <w:i w:val="0"/>
          <w:iCs w:val="0"/>
          <w:color w:val="auto"/>
          <w:sz w:val="36"/>
          <w:szCs w:val="36"/>
        </w:rPr>
        <w:t>9 结论与建议</w:t>
      </w:r>
      <w:bookmarkEnd w:id="95"/>
    </w:p>
    <w:p>
      <w:pPr>
        <w:pStyle w:val="3"/>
        <w:adjustRightInd w:val="0"/>
        <w:snapToGrid w:val="0"/>
        <w:spacing w:before="0" w:after="0" w:line="360" w:lineRule="auto"/>
        <w:rPr>
          <w:rFonts w:ascii="仿宋_GB2312" w:hAnsi="宋体" w:eastAsia="仿宋_GB2312"/>
          <w:b w:val="0"/>
          <w:bCs w:val="0"/>
          <w:kern w:val="0"/>
        </w:rPr>
      </w:pPr>
      <w:bookmarkStart w:id="96" w:name="_Toc12602"/>
      <w:r>
        <w:rPr>
          <w:rFonts w:hint="eastAsia" w:ascii="仿宋_GB2312" w:hAnsi="宋体" w:eastAsia="仿宋_GB2312"/>
          <w:b w:val="0"/>
          <w:bCs w:val="0"/>
          <w:kern w:val="0"/>
        </w:rPr>
        <w:t>9.1 结论</w:t>
      </w:r>
      <w:bookmarkEnd w:id="96"/>
    </w:p>
    <w:p>
      <w:pPr>
        <w:pStyle w:val="27"/>
        <w:spacing w:line="360" w:lineRule="auto"/>
        <w:ind w:firstLine="573"/>
        <w:rPr>
          <w:rFonts w:ascii="仿宋_GB2312" w:eastAsia="仿宋_GB2312"/>
          <w:spacing w:val="-4"/>
        </w:rPr>
      </w:pPr>
      <w:r>
        <w:rPr>
          <w:rFonts w:hint="eastAsia" w:ascii="仿宋_GB2312" w:eastAsia="仿宋_GB2312"/>
          <w:color w:val="000000"/>
          <w:kern w:val="0"/>
        </w:rPr>
        <w:t>(1)</w:t>
      </w:r>
      <w:r>
        <w:rPr>
          <w:rFonts w:hint="eastAsia" w:ascii="仿宋_GB2312" w:hAnsi="华文中宋" w:eastAsia="仿宋_GB2312"/>
          <w:szCs w:val="28"/>
        </w:rPr>
        <w:t>扶欢循环经济产业园</w:t>
      </w:r>
      <w:r>
        <w:rPr>
          <w:rFonts w:hint="eastAsia" w:ascii="仿宋_GB2312" w:eastAsia="仿宋_GB2312"/>
          <w:color w:val="000000"/>
          <w:kern w:val="0"/>
        </w:rPr>
        <w:t>行政区划上属重庆市綦江区管辖，区域用地</w:t>
      </w:r>
      <w:r>
        <w:rPr>
          <w:rFonts w:hint="eastAsia" w:ascii="仿宋_GB2312" w:eastAsia="仿宋_GB2312"/>
          <w:spacing w:val="-4"/>
        </w:rPr>
        <w:t>面积1.58km</w:t>
      </w:r>
      <w:r>
        <w:rPr>
          <w:rFonts w:hint="eastAsia" w:ascii="仿宋_GB2312" w:eastAsia="仿宋_GB2312"/>
          <w:spacing w:val="-4"/>
          <w:vertAlign w:val="superscript"/>
        </w:rPr>
        <w:t>2</w:t>
      </w:r>
      <w:r>
        <w:rPr>
          <w:rFonts w:hint="eastAsia" w:ascii="仿宋_GB2312" w:eastAsia="仿宋_GB2312"/>
          <w:spacing w:val="-4"/>
        </w:rPr>
        <w:t>。地质环境条件总体较复杂</w:t>
      </w:r>
      <w:r>
        <w:rPr>
          <w:rFonts w:hint="eastAsia" w:ascii="仿宋_GB2312" w:eastAsia="仿宋_GB2312"/>
          <w:color w:val="000000"/>
          <w:szCs w:val="28"/>
        </w:rPr>
        <w:t>。</w:t>
      </w:r>
    </w:p>
    <w:p>
      <w:pPr>
        <w:pStyle w:val="27"/>
        <w:spacing w:line="360" w:lineRule="auto"/>
        <w:ind w:firstLine="573"/>
        <w:rPr>
          <w:rFonts w:ascii="仿宋_GB2312" w:eastAsia="仿宋_GB2312"/>
          <w:color w:val="000000"/>
          <w:szCs w:val="28"/>
        </w:rPr>
      </w:pPr>
      <w:r>
        <w:rPr>
          <w:rFonts w:hint="eastAsia" w:ascii="仿宋_GB2312" w:eastAsia="仿宋_GB2312"/>
          <w:color w:val="000000"/>
          <w:kern w:val="0"/>
        </w:rPr>
        <w:t>(2)</w:t>
      </w:r>
      <w:r>
        <w:rPr>
          <w:rFonts w:hint="eastAsia" w:ascii="仿宋_GB2312" w:hAnsi="宋体" w:eastAsia="仿宋_GB2312"/>
          <w:color w:val="000000"/>
          <w:szCs w:val="28"/>
        </w:rPr>
        <w:t>评估区</w:t>
      </w:r>
      <w:r>
        <w:rPr>
          <w:rFonts w:hint="eastAsia" w:ascii="仿宋_GB2312" w:eastAsia="仿宋_GB2312"/>
          <w:color w:val="000000"/>
          <w:kern w:val="0"/>
          <w:szCs w:val="28"/>
        </w:rPr>
        <w:t>位于扶欢场镇</w:t>
      </w:r>
      <w:r>
        <w:rPr>
          <w:rFonts w:ascii="仿宋_GB2312" w:eastAsia="仿宋_GB2312"/>
          <w:color w:val="000000"/>
          <w:szCs w:val="28"/>
        </w:rPr>
        <w:t>,</w:t>
      </w:r>
      <w:r>
        <w:rPr>
          <w:rFonts w:hint="eastAsia" w:ascii="仿宋_GB2312" w:eastAsia="仿宋_GB2312"/>
          <w:color w:val="000000"/>
          <w:kern w:val="0"/>
          <w:szCs w:val="28"/>
        </w:rPr>
        <w:t>原始地貌为构造剥蚀浅丘地貌。整体地形平缓，主要以泥岩和砂岩为主，</w:t>
      </w:r>
      <w:r>
        <w:rPr>
          <w:rFonts w:hint="eastAsia" w:ascii="仿宋_GB2312" w:eastAsia="仿宋_GB2312"/>
          <w:color w:val="000000"/>
          <w:szCs w:val="28"/>
        </w:rPr>
        <w:t>地形起伏不大，丘坡浑园，丘谷宽缓，大部地区地形坡角5-20°。</w:t>
      </w:r>
    </w:p>
    <w:p>
      <w:pPr>
        <w:pStyle w:val="27"/>
        <w:spacing w:line="360" w:lineRule="auto"/>
        <w:ind w:firstLine="573"/>
        <w:rPr>
          <w:rFonts w:ascii="仿宋_GB2312" w:eastAsia="仿宋_GB2312"/>
          <w:szCs w:val="28"/>
        </w:rPr>
      </w:pPr>
      <w:r>
        <w:rPr>
          <w:rFonts w:hint="eastAsia" w:ascii="仿宋_GB2312" w:eastAsia="仿宋_GB2312"/>
          <w:color w:val="000000"/>
          <w:szCs w:val="28"/>
        </w:rPr>
        <w:t>(3)评估区未见断层通过本场地，未见断裂破碎带分布，岩层分布稳定，未见褶皱分布，地质构造简单。据场内和场外基岩露头观测：岩层产状：310-315°∠16-22°；层面平直，闭合～微张状，泥质充填，结合很差，属软弱结构面。</w:t>
      </w:r>
    </w:p>
    <w:p>
      <w:pPr>
        <w:pStyle w:val="13"/>
        <w:adjustRightInd w:val="0"/>
        <w:snapToGrid w:val="0"/>
        <w:spacing w:line="360" w:lineRule="auto"/>
        <w:rPr>
          <w:rFonts w:ascii="仿宋_GB2312" w:eastAsia="仿宋_GB2312"/>
          <w:color w:val="000000"/>
          <w:kern w:val="0"/>
        </w:rPr>
      </w:pPr>
      <w:r>
        <w:rPr>
          <w:rFonts w:hint="eastAsia" w:ascii="仿宋_GB2312" w:eastAsia="仿宋_GB2312"/>
          <w:color w:val="000000"/>
          <w:kern w:val="0"/>
        </w:rPr>
        <w:t>(4)</w:t>
      </w:r>
      <w:r>
        <w:rPr>
          <w:rFonts w:hint="eastAsia" w:ascii="仿宋_GB2312" w:eastAsia="仿宋_GB2312"/>
          <w:color w:val="000000"/>
        </w:rPr>
        <w:t>评估区内大部分区域保持原始地貌，为农业耕地、荒地、林地等，其余区域均为工程建设而改变。</w:t>
      </w:r>
      <w:r>
        <w:rPr>
          <w:rFonts w:hint="eastAsia" w:ascii="仿宋_GB2312" w:eastAsia="仿宋_GB2312"/>
          <w:color w:val="000000" w:themeColor="text1"/>
        </w:rPr>
        <w:t>人类工程活动主要表现为道路建设及民房建设等。</w:t>
      </w:r>
      <w:r>
        <w:rPr>
          <w:rFonts w:hint="eastAsia" w:ascii="仿宋_GB2312" w:eastAsia="仿宋_GB2312"/>
          <w:color w:val="000000" w:themeColor="text1"/>
          <w:kern w:val="0"/>
        </w:rPr>
        <w:t>评估区内现状人类工程活动总体</w:t>
      </w:r>
      <w:r>
        <w:rPr>
          <w:rFonts w:hint="eastAsia" w:ascii="仿宋_GB2312" w:eastAsiaTheme="minorEastAsia"/>
          <w:color w:val="000000" w:themeColor="text1"/>
          <w:kern w:val="0"/>
        </w:rPr>
        <w:t>不</w:t>
      </w:r>
      <w:r>
        <w:rPr>
          <w:rFonts w:hint="eastAsia" w:ascii="仿宋_GB2312" w:eastAsia="仿宋_GB2312"/>
          <w:color w:val="000000" w:themeColor="text1"/>
          <w:kern w:val="0"/>
        </w:rPr>
        <w:t>强烈。</w:t>
      </w:r>
    </w:p>
    <w:p>
      <w:pPr>
        <w:pStyle w:val="13"/>
        <w:adjustRightInd w:val="0"/>
        <w:snapToGrid w:val="0"/>
        <w:spacing w:line="360" w:lineRule="auto"/>
        <w:rPr>
          <w:rFonts w:ascii="仿宋_GB2312" w:eastAsia="仿宋_GB2312"/>
          <w:color w:val="000000"/>
          <w:kern w:val="0"/>
        </w:rPr>
      </w:pPr>
      <w:r>
        <w:rPr>
          <w:rFonts w:hint="eastAsia" w:ascii="仿宋_GB2312" w:eastAsia="仿宋_GB2312"/>
          <w:color w:val="000000"/>
          <w:kern w:val="0"/>
        </w:rPr>
        <w:t>(5)评估区内主要地质环境问题为斜（边）坡的稳定性问题；</w:t>
      </w:r>
    </w:p>
    <w:p>
      <w:pPr>
        <w:pStyle w:val="13"/>
        <w:adjustRightInd w:val="0"/>
        <w:snapToGrid w:val="0"/>
        <w:spacing w:line="360" w:lineRule="auto"/>
        <w:rPr>
          <w:rFonts w:ascii="仿宋_GB2312" w:eastAsia="仿宋_GB2312"/>
          <w:color w:val="000000"/>
          <w:kern w:val="0"/>
        </w:rPr>
      </w:pPr>
      <w:r>
        <w:rPr>
          <w:rFonts w:hint="eastAsia" w:ascii="仿宋_GB2312" w:eastAsia="仿宋_GB2312"/>
          <w:color w:val="000000"/>
          <w:kern w:val="0"/>
        </w:rPr>
        <w:t>(6)根据</w:t>
      </w:r>
      <w:r>
        <w:rPr>
          <w:rFonts w:hint="eastAsia" w:eastAsia="仿宋_GB2312"/>
        </w:rPr>
        <w:t>区域用地各区域自然陡坡高度、地形坡角大小、斜（边）坡高度、贯通性结构面与斜(边)坡关系、土层厚度、边坡高度及</w:t>
      </w:r>
      <w:r>
        <w:rPr>
          <w:rFonts w:hint="eastAsia" w:ascii="仿宋_GB2312" w:eastAsia="仿宋_GB2312"/>
          <w:color w:val="000000"/>
          <w:szCs w:val="36"/>
        </w:rPr>
        <w:t>不良地质现象发育程度</w:t>
      </w:r>
      <w:r>
        <w:rPr>
          <w:rFonts w:hint="eastAsia" w:eastAsia="仿宋_GB2312"/>
        </w:rPr>
        <w:t>等因素并结合评估区各地质环境问题发生可能性等作为原则进行地质灾害危险性分区。</w:t>
      </w:r>
    </w:p>
    <w:p>
      <w:pPr>
        <w:pStyle w:val="13"/>
        <w:adjustRightInd w:val="0"/>
        <w:snapToGrid w:val="0"/>
        <w:spacing w:line="360" w:lineRule="auto"/>
        <w:rPr>
          <w:rFonts w:ascii="仿宋_GB2312" w:eastAsia="仿宋_GB2312"/>
          <w:color w:val="000000"/>
          <w:kern w:val="0"/>
        </w:rPr>
      </w:pPr>
      <w:r>
        <w:rPr>
          <w:rFonts w:hint="eastAsia" w:ascii="仿宋_GB2312" w:eastAsia="仿宋_GB2312"/>
          <w:color w:val="000000"/>
          <w:szCs w:val="24"/>
        </w:rPr>
        <w:t>评估区总共划分为22个宏观小区。</w:t>
      </w:r>
      <w:r>
        <w:rPr>
          <w:rFonts w:hint="eastAsia" w:ascii="仿宋_GB2312" w:eastAsia="仿宋_GB2312"/>
          <w:color w:val="000000"/>
          <w:szCs w:val="36"/>
        </w:rPr>
        <w:t>各小区位置见分区图。对地质环境条件基本一致的小区，分别归并为相同小区，各小区地质环境复杂程度列于表6</w:t>
      </w:r>
      <w:r>
        <w:rPr>
          <w:rFonts w:ascii="仿宋_GB2312" w:eastAsia="仿宋_GB2312"/>
          <w:color w:val="000000"/>
          <w:szCs w:val="36"/>
        </w:rPr>
        <w:t>.</w:t>
      </w:r>
      <w:r>
        <w:rPr>
          <w:rFonts w:hint="eastAsia" w:ascii="仿宋_GB2312" w:eastAsia="仿宋_GB2312"/>
          <w:color w:val="000000"/>
          <w:szCs w:val="36"/>
        </w:rPr>
        <w:t>2</w:t>
      </w:r>
      <w:r>
        <w:rPr>
          <w:rFonts w:ascii="仿宋_GB2312" w:eastAsia="仿宋_GB2312"/>
          <w:color w:val="000000"/>
          <w:szCs w:val="36"/>
        </w:rPr>
        <w:t>-1</w:t>
      </w:r>
      <w:r>
        <w:rPr>
          <w:rFonts w:hint="eastAsia" w:ascii="仿宋_GB2312" w:eastAsia="仿宋_GB2312"/>
          <w:color w:val="000000"/>
          <w:szCs w:val="36"/>
        </w:rPr>
        <w:t>。</w:t>
      </w:r>
    </w:p>
    <w:p>
      <w:pPr>
        <w:pStyle w:val="13"/>
        <w:adjustRightInd w:val="0"/>
        <w:snapToGrid w:val="0"/>
        <w:spacing w:line="360" w:lineRule="auto"/>
        <w:rPr>
          <w:rFonts w:ascii="仿宋_GB2312" w:eastAsia="仿宋_GB2312"/>
          <w:color w:val="000000" w:themeColor="text1"/>
          <w:kern w:val="0"/>
          <w:vertAlign w:val="subscript"/>
        </w:rPr>
      </w:pPr>
      <w:r>
        <w:rPr>
          <w:rFonts w:hint="eastAsia" w:ascii="仿宋_GB2312" w:eastAsia="仿宋_GB2312"/>
          <w:color w:val="000000" w:themeColor="text1"/>
          <w:kern w:val="0"/>
        </w:rPr>
        <w:t>评估区分为：地质灾害危险性小区(A)，并分为1个亚区，面积1.308km</w:t>
      </w:r>
      <w:r>
        <w:rPr>
          <w:rFonts w:hint="eastAsia" w:ascii="仿宋_GB2312" w:eastAsia="仿宋_GB2312"/>
          <w:color w:val="000000" w:themeColor="text1"/>
          <w:kern w:val="0"/>
          <w:vertAlign w:val="superscript"/>
        </w:rPr>
        <w:t xml:space="preserve"> 2</w:t>
      </w:r>
      <w:r>
        <w:rPr>
          <w:rFonts w:hint="eastAsia" w:ascii="仿宋_GB2312" w:eastAsia="仿宋_GB2312"/>
          <w:color w:val="000000" w:themeColor="text1"/>
          <w:kern w:val="0"/>
        </w:rPr>
        <w:t>，占区域用地面积的82.8%；地质灾害危险性中等区(B)，并分为2个亚区，面积0.272km</w:t>
      </w:r>
      <w:r>
        <w:rPr>
          <w:rFonts w:hint="eastAsia" w:ascii="仿宋_GB2312" w:eastAsia="仿宋_GB2312"/>
          <w:color w:val="000000" w:themeColor="text1"/>
          <w:kern w:val="0"/>
          <w:vertAlign w:val="superscript"/>
        </w:rPr>
        <w:t>2</w:t>
      </w:r>
      <w:r>
        <w:rPr>
          <w:rFonts w:hint="eastAsia" w:ascii="仿宋_GB2312" w:eastAsia="仿宋_GB2312"/>
          <w:color w:val="000000" w:themeColor="text1"/>
          <w:kern w:val="0"/>
        </w:rPr>
        <w:t>，占区域用地面积的17.2%</w:t>
      </w:r>
      <w:r>
        <w:rPr>
          <w:rFonts w:hint="eastAsia" w:ascii="仿宋_GB2312" w:eastAsia="仿宋_GB2312"/>
          <w:color w:val="000000"/>
          <w:szCs w:val="36"/>
        </w:rPr>
        <w:t>。</w:t>
      </w:r>
    </w:p>
    <w:p>
      <w:pPr>
        <w:pStyle w:val="3"/>
        <w:adjustRightInd w:val="0"/>
        <w:snapToGrid w:val="0"/>
        <w:spacing w:before="0" w:after="0" w:line="360" w:lineRule="auto"/>
        <w:rPr>
          <w:rFonts w:ascii="仿宋_GB2312" w:hAnsi="宋体" w:eastAsia="仿宋_GB2312"/>
          <w:b w:val="0"/>
          <w:bCs w:val="0"/>
          <w:kern w:val="0"/>
        </w:rPr>
      </w:pPr>
      <w:bookmarkStart w:id="97" w:name="_Toc8832"/>
      <w:r>
        <w:rPr>
          <w:rFonts w:hint="eastAsia" w:ascii="仿宋_GB2312" w:hAnsi="宋体" w:eastAsia="仿宋_GB2312"/>
          <w:b w:val="0"/>
          <w:bCs w:val="0"/>
          <w:kern w:val="0"/>
        </w:rPr>
        <w:t>9.2 建议</w:t>
      </w:r>
      <w:bookmarkEnd w:id="97"/>
    </w:p>
    <w:p>
      <w:pPr>
        <w:pStyle w:val="13"/>
        <w:adjustRightInd w:val="0"/>
        <w:snapToGrid w:val="0"/>
        <w:spacing w:line="360" w:lineRule="auto"/>
        <w:rPr>
          <w:rFonts w:ascii="仿宋_GB2312" w:eastAsia="仿宋_GB2312"/>
          <w:color w:val="000000" w:themeColor="text1"/>
          <w:kern w:val="0"/>
        </w:rPr>
      </w:pPr>
      <w:r>
        <w:rPr>
          <w:rFonts w:hint="eastAsia" w:ascii="仿宋_GB2312" w:eastAsia="仿宋_GB2312"/>
          <w:color w:val="000000"/>
          <w:kern w:val="0"/>
        </w:rPr>
        <w:t>(1)</w:t>
      </w:r>
      <w:r>
        <w:rPr>
          <w:rFonts w:hint="eastAsia" w:eastAsia="仿宋_GB2312"/>
        </w:rPr>
        <w:t>区域用地范围内防治措施的重点主要集中于现状斜（边）坡、以及工程建设形成的边坡防治上。</w:t>
      </w:r>
    </w:p>
    <w:p>
      <w:pPr>
        <w:spacing w:line="360" w:lineRule="auto"/>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xml:space="preserve">    (2)根据调查与评估结果，总体防治措施建议：综合考虑区内的地坪标高，宜尽量避免高切坡、深填方、采用依山就势进行工程建设。</w:t>
      </w:r>
    </w:p>
    <w:p>
      <w:pPr>
        <w:spacing w:line="360" w:lineRule="auto"/>
        <w:rPr>
          <w:rFonts w:ascii="仿宋_GB2312" w:eastAsia="仿宋_GB2312"/>
          <w:color w:val="000000"/>
          <w:kern w:val="0"/>
          <w:sz w:val="28"/>
        </w:rPr>
      </w:pPr>
      <w:r>
        <w:rPr>
          <w:rFonts w:hint="eastAsia" w:ascii="仿宋_GB2312" w:hAnsi="宋体" w:eastAsia="仿宋_GB2312"/>
          <w:color w:val="000000"/>
          <w:kern w:val="0"/>
          <w:sz w:val="28"/>
          <w:szCs w:val="28"/>
        </w:rPr>
        <w:t xml:space="preserve">    (3)地质灾害防治措施建议见报告第8</w:t>
      </w:r>
      <w:r>
        <w:rPr>
          <w:rFonts w:ascii="仿宋_GB2312" w:eastAsia="仿宋_GB2312"/>
          <w:color w:val="000000"/>
          <w:kern w:val="0"/>
          <w:sz w:val="28"/>
        </w:rPr>
        <w:t xml:space="preserve"> 章</w:t>
      </w:r>
      <w:r>
        <w:rPr>
          <w:rFonts w:hint="eastAsia" w:ascii="仿宋_GB2312" w:eastAsia="仿宋_GB2312"/>
          <w:color w:val="000000"/>
          <w:kern w:val="0"/>
          <w:sz w:val="28"/>
        </w:rPr>
        <w:t>。</w:t>
      </w:r>
    </w:p>
    <w:p>
      <w:pPr>
        <w:pStyle w:val="27"/>
        <w:spacing w:line="360" w:lineRule="auto"/>
        <w:ind w:firstLine="0"/>
        <w:rPr>
          <w:rFonts w:ascii="仿宋_GB2312" w:eastAsia="仿宋_GB2312"/>
        </w:rPr>
      </w:pPr>
      <w:r>
        <w:rPr>
          <w:rFonts w:hint="eastAsia" w:ascii="仿宋_GB2312" w:eastAsia="仿宋_GB2312"/>
          <w:color w:val="000000"/>
          <w:kern w:val="0"/>
        </w:rPr>
        <w:t xml:space="preserve">   </w:t>
      </w:r>
      <w:r>
        <w:rPr>
          <w:rFonts w:hint="eastAsia" w:ascii="仿宋_GB2312" w:hAnsi="宋体" w:eastAsia="仿宋_GB2312"/>
          <w:color w:val="000000"/>
          <w:kern w:val="0"/>
          <w:szCs w:val="28"/>
        </w:rPr>
        <w:t>（4）建议分区用地时，加强场地工程地质勘察及周边地质环境勘察工作。</w:t>
      </w:r>
    </w:p>
    <w:p>
      <w:pPr>
        <w:pStyle w:val="27"/>
        <w:spacing w:line="360" w:lineRule="auto"/>
        <w:ind w:firstLine="0"/>
        <w:rPr>
          <w:rFonts w:ascii="仿宋_GB2312" w:eastAsia="仿宋_GB2312"/>
          <w:color w:val="000000"/>
          <w:kern w:val="0"/>
        </w:rPr>
      </w:pPr>
    </w:p>
    <w:p>
      <w:pPr>
        <w:pStyle w:val="27"/>
        <w:spacing w:line="360" w:lineRule="auto"/>
        <w:ind w:firstLine="0"/>
        <w:rPr>
          <w:rFonts w:ascii="仿宋_GB2312" w:eastAsia="仿宋_GB2312"/>
          <w:color w:val="000000"/>
          <w:kern w:val="0"/>
        </w:rPr>
      </w:pPr>
    </w:p>
    <w:p/>
    <w:p>
      <w:pPr>
        <w:pStyle w:val="27"/>
        <w:ind w:firstLine="0"/>
        <w:rPr>
          <w:rFonts w:ascii="仿宋_GB2312" w:eastAsia="仿宋_GB2312"/>
          <w:color w:val="000000"/>
        </w:rPr>
        <w:sectPr>
          <w:pgSz w:w="23814" w:h="16840" w:orient="landscape"/>
          <w:pgMar w:top="1797" w:right="1701" w:bottom="1797" w:left="1701" w:header="851" w:footer="992" w:gutter="0"/>
          <w:cols w:space="1366" w:num="2"/>
          <w:docGrid w:linePitch="312" w:charSpace="-3686"/>
        </w:sectPr>
      </w:pPr>
    </w:p>
    <w:p>
      <w:pPr>
        <w:pStyle w:val="27"/>
        <w:jc w:val="center"/>
        <w:rPr>
          <w:rFonts w:ascii="仿宋_GB2312" w:eastAsia="仿宋_GB2312"/>
          <w:color w:val="000000"/>
        </w:rPr>
      </w:pPr>
      <w:r>
        <w:rPr>
          <w:rFonts w:hint="eastAsia" w:ascii="仿宋_GB2312" w:hAnsi="宋体" w:eastAsia="仿宋_GB2312" w:cs="宋体"/>
          <w:b/>
          <w:kern w:val="0"/>
        </w:rPr>
        <w:t>表8.1  各地块分区防治措施建议</w:t>
      </w:r>
    </w:p>
    <w:tbl>
      <w:tblPr>
        <w:tblStyle w:val="30"/>
        <w:tblW w:w="20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56"/>
        <w:gridCol w:w="2126"/>
        <w:gridCol w:w="2053"/>
        <w:gridCol w:w="3859"/>
        <w:gridCol w:w="2687"/>
        <w:gridCol w:w="6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blHeader/>
          <w:jc w:val="center"/>
        </w:trPr>
        <w:tc>
          <w:tcPr>
            <w:tcW w:w="718" w:type="dxa"/>
            <w:shd w:val="clear" w:color="auto" w:fill="auto"/>
            <w:noWrap/>
            <w:vAlign w:val="center"/>
          </w:tcPr>
          <w:p>
            <w:pPr>
              <w:widowControl/>
              <w:jc w:val="center"/>
              <w:rPr>
                <w:rFonts w:ascii="仿宋_GB2312" w:hAnsi="宋体" w:eastAsia="仿宋_GB2312" w:cs="宋体"/>
                <w:b/>
                <w:kern w:val="0"/>
                <w:sz w:val="24"/>
              </w:rPr>
            </w:pPr>
            <w:r>
              <w:rPr>
                <w:rFonts w:hint="eastAsia" w:ascii="仿宋_GB2312" w:hAnsi="宋体" w:eastAsia="仿宋_GB2312" w:cs="宋体"/>
                <w:b/>
                <w:kern w:val="0"/>
                <w:sz w:val="24"/>
              </w:rPr>
              <w:t>编号</w:t>
            </w:r>
          </w:p>
        </w:tc>
        <w:tc>
          <w:tcPr>
            <w:tcW w:w="1656" w:type="dxa"/>
            <w:shd w:val="clear" w:color="auto" w:fill="auto"/>
            <w:noWrap/>
            <w:vAlign w:val="center"/>
          </w:tcPr>
          <w:p>
            <w:pPr>
              <w:widowControl/>
              <w:jc w:val="center"/>
              <w:rPr>
                <w:rFonts w:ascii="仿宋_GB2312" w:hAnsi="宋体" w:eastAsia="仿宋_GB2312" w:cs="宋体"/>
                <w:b/>
                <w:kern w:val="0"/>
                <w:sz w:val="24"/>
              </w:rPr>
            </w:pPr>
            <w:r>
              <w:rPr>
                <w:rFonts w:hint="eastAsia" w:ascii="仿宋_GB2312" w:hAnsi="宋体" w:eastAsia="仿宋_GB2312" w:cs="宋体"/>
                <w:b/>
                <w:kern w:val="0"/>
                <w:sz w:val="24"/>
              </w:rPr>
              <w:t>地块编号</w:t>
            </w:r>
          </w:p>
        </w:tc>
        <w:tc>
          <w:tcPr>
            <w:tcW w:w="2126" w:type="dxa"/>
            <w:shd w:val="clear" w:color="auto" w:fill="auto"/>
            <w:noWrap/>
            <w:vAlign w:val="center"/>
          </w:tcPr>
          <w:p>
            <w:pPr>
              <w:widowControl/>
              <w:jc w:val="center"/>
              <w:rPr>
                <w:rFonts w:ascii="仿宋_GB2312" w:hAnsi="宋体" w:eastAsia="仿宋_GB2312" w:cs="宋体"/>
                <w:b/>
                <w:kern w:val="0"/>
                <w:sz w:val="24"/>
              </w:rPr>
            </w:pPr>
            <w:r>
              <w:rPr>
                <w:rFonts w:hint="eastAsia" w:ascii="仿宋_GB2312" w:hAnsi="宋体" w:eastAsia="仿宋_GB2312" w:cs="宋体"/>
                <w:b/>
                <w:kern w:val="0"/>
                <w:sz w:val="24"/>
              </w:rPr>
              <w:t>规划用地类型</w:t>
            </w:r>
          </w:p>
        </w:tc>
        <w:tc>
          <w:tcPr>
            <w:tcW w:w="2053" w:type="dxa"/>
            <w:shd w:val="clear" w:color="auto" w:fill="auto"/>
            <w:vAlign w:val="center"/>
          </w:tcPr>
          <w:p>
            <w:pPr>
              <w:widowControl/>
              <w:jc w:val="center"/>
              <w:rPr>
                <w:rFonts w:ascii="仿宋_GB2312" w:hAnsi="宋体" w:eastAsia="仿宋_GB2312" w:cs="宋体"/>
                <w:b/>
                <w:kern w:val="0"/>
                <w:sz w:val="24"/>
              </w:rPr>
            </w:pPr>
            <w:r>
              <w:rPr>
                <w:rFonts w:hint="eastAsia" w:ascii="仿宋_GB2312" w:hAnsi="宋体" w:eastAsia="仿宋_GB2312" w:cs="宋体"/>
                <w:b/>
                <w:kern w:val="0"/>
                <w:sz w:val="24"/>
              </w:rPr>
              <w:t>地块分属地质灾害危险性分区</w:t>
            </w:r>
          </w:p>
        </w:tc>
        <w:tc>
          <w:tcPr>
            <w:tcW w:w="3859" w:type="dxa"/>
            <w:shd w:val="clear" w:color="auto" w:fill="auto"/>
            <w:vAlign w:val="center"/>
          </w:tcPr>
          <w:p>
            <w:pPr>
              <w:widowControl/>
              <w:jc w:val="center"/>
              <w:rPr>
                <w:rFonts w:ascii="仿宋_GB2312" w:hAnsi="宋体" w:eastAsia="仿宋_GB2312" w:cs="宋体"/>
                <w:b/>
                <w:kern w:val="0"/>
                <w:sz w:val="24"/>
              </w:rPr>
            </w:pPr>
            <w:r>
              <w:rPr>
                <w:rFonts w:hint="eastAsia" w:ascii="仿宋_GB2312" w:hAnsi="宋体" w:eastAsia="仿宋_GB2312" w:cs="宋体"/>
                <w:b/>
                <w:kern w:val="0"/>
                <w:sz w:val="24"/>
              </w:rPr>
              <w:t>地质环境条件</w:t>
            </w:r>
          </w:p>
        </w:tc>
        <w:tc>
          <w:tcPr>
            <w:tcW w:w="2687" w:type="dxa"/>
            <w:shd w:val="clear" w:color="auto" w:fill="auto"/>
            <w:vAlign w:val="center"/>
          </w:tcPr>
          <w:p>
            <w:pPr>
              <w:widowControl/>
              <w:jc w:val="center"/>
              <w:rPr>
                <w:rFonts w:ascii="仿宋_GB2312" w:hAnsi="宋体" w:eastAsia="仿宋_GB2312" w:cs="宋体"/>
                <w:b/>
                <w:kern w:val="0"/>
                <w:sz w:val="24"/>
              </w:rPr>
            </w:pPr>
            <w:r>
              <w:rPr>
                <w:rFonts w:hint="eastAsia" w:ascii="仿宋_GB2312" w:hAnsi="宋体" w:eastAsia="仿宋_GB2312" w:cs="宋体"/>
                <w:b/>
                <w:kern w:val="0"/>
                <w:sz w:val="24"/>
              </w:rPr>
              <w:t>主要地质环境问题</w:t>
            </w:r>
          </w:p>
        </w:tc>
        <w:tc>
          <w:tcPr>
            <w:tcW w:w="6977" w:type="dxa"/>
            <w:shd w:val="clear" w:color="auto" w:fill="auto"/>
            <w:vAlign w:val="center"/>
          </w:tcPr>
          <w:p>
            <w:pPr>
              <w:widowControl/>
              <w:jc w:val="center"/>
              <w:rPr>
                <w:rFonts w:ascii="仿宋_GB2312" w:hAnsi="宋体" w:eastAsia="仿宋_GB2312" w:cs="宋体"/>
                <w:b/>
                <w:kern w:val="0"/>
                <w:sz w:val="24"/>
              </w:rPr>
            </w:pPr>
            <w:r>
              <w:rPr>
                <w:rFonts w:hint="eastAsia" w:ascii="仿宋_GB2312" w:hAnsi="宋体" w:eastAsia="仿宋_GB2312" w:cs="宋体"/>
                <w:b/>
                <w:kern w:val="0"/>
                <w:sz w:val="24"/>
              </w:rPr>
              <w:t>地质灾害防治措施建议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718" w:type="dxa"/>
            <w:vAlign w:val="center"/>
          </w:tcPr>
          <w:p>
            <w:pPr>
              <w:widowControl/>
              <w:spacing w:before="240"/>
              <w:jc w:val="center"/>
              <w:rPr>
                <w:rFonts w:ascii="仿宋_GB2312" w:hAnsi="宋体" w:eastAsia="仿宋_GB2312" w:cs="宋体"/>
                <w:kern w:val="0"/>
                <w:sz w:val="24"/>
              </w:rPr>
            </w:pPr>
            <w:bookmarkStart w:id="98" w:name="OLE_LINK2" w:colFirst="1" w:colLast="1"/>
            <w:bookmarkStart w:id="99" w:name="OLE_LINK1" w:colFirst="0" w:colLast="6"/>
            <w:r>
              <w:rPr>
                <w:rFonts w:hint="eastAsia" w:ascii="仿宋_GB2312" w:hAnsi="宋体" w:eastAsia="仿宋_GB2312" w:cs="宋体"/>
                <w:kern w:val="0"/>
                <w:sz w:val="24"/>
              </w:rPr>
              <w:t>1</w:t>
            </w:r>
          </w:p>
        </w:tc>
        <w:tc>
          <w:tcPr>
            <w:tcW w:w="1656" w:type="dxa"/>
            <w:vAlign w:val="center"/>
          </w:tcPr>
          <w:p>
            <w:pPr>
              <w:widowControl/>
              <w:spacing w:before="240"/>
              <w:jc w:val="center"/>
              <w:rPr>
                <w:rFonts w:ascii="仿宋_GB2312" w:hAnsi="宋体" w:eastAsia="仿宋_GB2312" w:cs="宋体"/>
                <w:kern w:val="0"/>
                <w:sz w:val="24"/>
              </w:rPr>
            </w:pPr>
            <w:r>
              <w:rPr>
                <w:rFonts w:hint="eastAsia" w:ascii="仿宋_GB2312" w:hAnsi="宋体" w:eastAsia="黑体" w:cs="宋体"/>
                <w:kern w:val="0"/>
                <w:sz w:val="24"/>
              </w:rPr>
              <w:t>G2-5、G2-6、G2-7、G2-8、G2-10、G2-11、G2-12</w:t>
            </w:r>
          </w:p>
        </w:tc>
        <w:tc>
          <w:tcPr>
            <w:tcW w:w="2126" w:type="dxa"/>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公园绿地</w:t>
            </w:r>
          </w:p>
        </w:tc>
        <w:tc>
          <w:tcPr>
            <w:tcW w:w="2053" w:type="dxa"/>
            <w:shd w:val="clear" w:color="auto" w:fill="auto"/>
            <w:noWrap/>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A1</w:t>
            </w:r>
          </w:p>
        </w:tc>
        <w:tc>
          <w:tcPr>
            <w:tcW w:w="3859" w:type="dxa"/>
            <w:shd w:val="clear" w:color="auto" w:fill="auto"/>
            <w:vAlign w:val="center"/>
          </w:tcPr>
          <w:p>
            <w:pPr>
              <w:widowControl/>
              <w:spacing w:before="240"/>
              <w:jc w:val="center"/>
              <w:rPr>
                <w:rFonts w:ascii="仿宋_GB2312" w:hAnsi="宋体" w:eastAsia="仿宋_GB2312" w:cs="宋体"/>
                <w:kern w:val="0"/>
                <w:sz w:val="24"/>
              </w:rPr>
            </w:pPr>
            <w:r>
              <w:rPr>
                <w:rFonts w:hint="eastAsia" w:ascii="仿宋_GB2312" w:hAnsi="等线" w:eastAsia="仿宋_GB2312"/>
                <w:szCs w:val="21"/>
              </w:rPr>
              <w:t>地势平缓，地形坡度角一般低于15</w:t>
            </w:r>
            <w:r>
              <w:rPr>
                <w:rFonts w:ascii="Calibri" w:hAnsi="Calibri" w:eastAsia="仿宋_GB2312" w:cs="Calibri"/>
                <w:szCs w:val="21"/>
              </w:rPr>
              <w:t>°</w:t>
            </w:r>
            <w:r>
              <w:rPr>
                <w:rFonts w:hint="eastAsia" w:ascii="仿宋_GB2312" w:hAnsi="等线" w:eastAsia="仿宋_GB2312"/>
                <w:szCs w:val="21"/>
              </w:rPr>
              <w:t>。残坡积土厚度一般2-5m,人工填土厚3-5m。</w:t>
            </w:r>
          </w:p>
        </w:tc>
        <w:tc>
          <w:tcPr>
            <w:tcW w:w="2687" w:type="dxa"/>
            <w:shd w:val="clear" w:color="auto" w:fill="auto"/>
            <w:vAlign w:val="center"/>
          </w:tcPr>
          <w:p>
            <w:pPr>
              <w:widowControl/>
              <w:jc w:val="center"/>
              <w:rPr>
                <w:rFonts w:ascii="仿宋_GB2312" w:hAnsi="宋体" w:eastAsia="仿宋_GB2312" w:cs="宋体"/>
                <w:kern w:val="0"/>
                <w:sz w:val="24"/>
              </w:rPr>
            </w:pPr>
            <w:r>
              <w:rPr>
                <w:rFonts w:hint="eastAsia" w:ascii="仿宋_GB2312" w:hAnsi="等线" w:eastAsia="仿宋_GB2312"/>
                <w:szCs w:val="21"/>
              </w:rPr>
              <w:t>无</w:t>
            </w:r>
          </w:p>
        </w:tc>
        <w:tc>
          <w:tcPr>
            <w:tcW w:w="6977" w:type="dxa"/>
            <w:shd w:val="clear" w:color="auto" w:fill="auto"/>
            <w:vAlign w:val="center"/>
          </w:tcPr>
          <w:p>
            <w:pPr>
              <w:widowControl/>
              <w:jc w:val="center"/>
              <w:rPr>
                <w:rFonts w:ascii="仿宋_GB2312" w:hAnsi="宋体" w:eastAsia="仿宋_GB2312" w:cs="宋体"/>
                <w:kern w:val="0"/>
                <w:sz w:val="24"/>
              </w:rPr>
            </w:pPr>
            <w:r>
              <w:rPr>
                <w:rFonts w:hint="eastAsia" w:ascii="仿宋_GB2312" w:hAnsi="等线" w:eastAsia="仿宋_GB2312"/>
                <w:sz w:val="22"/>
                <w:szCs w:val="22"/>
              </w:rPr>
              <w:t>不宜在斜坡坡顶加载和坡脚开挖。确需开挖应进行有效防治。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718" w:type="dxa"/>
            <w:shd w:val="clear" w:color="auto" w:fill="auto"/>
            <w:noWrap/>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2</w:t>
            </w:r>
          </w:p>
        </w:tc>
        <w:tc>
          <w:tcPr>
            <w:tcW w:w="1656" w:type="dxa"/>
            <w:shd w:val="clear" w:color="auto" w:fill="auto"/>
            <w:noWrap/>
            <w:vAlign w:val="center"/>
          </w:tcPr>
          <w:p>
            <w:pPr>
              <w:widowControl/>
              <w:spacing w:before="240"/>
              <w:jc w:val="center"/>
              <w:rPr>
                <w:rFonts w:ascii="仿宋_GB2312" w:hAnsi="宋体" w:eastAsia="仿宋_GB2312" w:cs="宋体"/>
                <w:kern w:val="0"/>
                <w:sz w:val="24"/>
              </w:rPr>
            </w:pPr>
            <w:r>
              <w:rPr>
                <w:rFonts w:hint="eastAsia" w:ascii="仿宋_GB2312" w:hAnsi="宋体" w:eastAsia="黑体" w:cs="宋体"/>
                <w:kern w:val="0"/>
                <w:sz w:val="24"/>
              </w:rPr>
              <w:t>A1-2</w:t>
            </w:r>
          </w:p>
        </w:tc>
        <w:tc>
          <w:tcPr>
            <w:tcW w:w="2126" w:type="dxa"/>
            <w:shd w:val="clear" w:color="auto" w:fill="auto"/>
            <w:noWrap/>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技术服务办公用地</w:t>
            </w:r>
          </w:p>
        </w:tc>
        <w:tc>
          <w:tcPr>
            <w:tcW w:w="2053" w:type="dxa"/>
            <w:shd w:val="clear" w:color="auto" w:fill="auto"/>
            <w:noWrap/>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A</w:t>
            </w:r>
            <w:r>
              <w:rPr>
                <w:rFonts w:hint="eastAsia" w:ascii="仿宋_GB2312" w:hAnsi="宋体" w:eastAsia="仿宋_GB2312" w:cs="宋体"/>
                <w:kern w:val="0"/>
                <w:sz w:val="18"/>
                <w:szCs w:val="18"/>
              </w:rPr>
              <w:t>1</w:t>
            </w:r>
          </w:p>
        </w:tc>
        <w:tc>
          <w:tcPr>
            <w:tcW w:w="3859" w:type="dxa"/>
            <w:shd w:val="clear" w:color="auto" w:fill="auto"/>
            <w:vAlign w:val="center"/>
          </w:tcPr>
          <w:p>
            <w:pPr>
              <w:jc w:val="center"/>
              <w:rPr>
                <w:rFonts w:ascii="仿宋_GB2312" w:hAnsi="等线" w:eastAsia="仿宋_GB2312"/>
                <w:szCs w:val="21"/>
              </w:rPr>
            </w:pPr>
            <w:r>
              <w:rPr>
                <w:rFonts w:hint="eastAsia" w:ascii="仿宋_GB2312" w:hAnsi="等线" w:eastAsia="仿宋_GB2312"/>
                <w:szCs w:val="21"/>
              </w:rPr>
              <w:t>地势平缓，地形坡度角一般低于15</w:t>
            </w:r>
            <w:r>
              <w:rPr>
                <w:rFonts w:ascii="Calibri" w:hAnsi="Calibri" w:eastAsia="仿宋_GB2312" w:cs="Calibri"/>
                <w:szCs w:val="21"/>
              </w:rPr>
              <w:t>°</w:t>
            </w:r>
            <w:r>
              <w:rPr>
                <w:rFonts w:hint="eastAsia" w:ascii="仿宋_GB2312" w:hAnsi="等线" w:eastAsia="仿宋_GB2312"/>
                <w:szCs w:val="21"/>
              </w:rPr>
              <w:t>。残坡积土厚度一般2-5m,人工填土厚3-5m。</w:t>
            </w:r>
          </w:p>
        </w:tc>
        <w:tc>
          <w:tcPr>
            <w:tcW w:w="2687" w:type="dxa"/>
            <w:shd w:val="clear" w:color="auto" w:fill="auto"/>
            <w:vAlign w:val="center"/>
          </w:tcPr>
          <w:p>
            <w:pPr>
              <w:widowControl/>
              <w:jc w:val="center"/>
              <w:rPr>
                <w:rFonts w:ascii="仿宋_GB2312" w:hAnsi="宋体" w:eastAsia="仿宋_GB2312" w:cs="宋体"/>
                <w:kern w:val="0"/>
                <w:sz w:val="24"/>
              </w:rPr>
            </w:pPr>
            <w:r>
              <w:rPr>
                <w:rFonts w:hint="eastAsia" w:ascii="仿宋_GB2312" w:hAnsi="等线" w:eastAsia="仿宋_GB2312"/>
                <w:szCs w:val="21"/>
              </w:rPr>
              <w:t>无</w:t>
            </w:r>
          </w:p>
        </w:tc>
        <w:tc>
          <w:tcPr>
            <w:tcW w:w="6977" w:type="dxa"/>
            <w:shd w:val="clear" w:color="auto" w:fill="auto"/>
            <w:vAlign w:val="center"/>
          </w:tcPr>
          <w:p>
            <w:pPr>
              <w:widowControl/>
              <w:spacing w:before="240"/>
              <w:jc w:val="center"/>
              <w:rPr>
                <w:rFonts w:ascii="仿宋_GB2312" w:hAnsi="宋体" w:eastAsia="仿宋_GB2312" w:cs="宋体"/>
                <w:kern w:val="0"/>
                <w:sz w:val="24"/>
              </w:rPr>
            </w:pPr>
            <w:r>
              <w:rPr>
                <w:rFonts w:hint="eastAsia" w:ascii="仿宋_GB2312" w:hAnsi="等线" w:eastAsia="仿宋_GB2312"/>
                <w:szCs w:val="21"/>
              </w:rPr>
              <w:t>基本不受限制，但建（构）筑物的布局应避免引发地质灾害，存在基坑边坡应先支挡后建设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718" w:type="dxa"/>
            <w:shd w:val="clear" w:color="auto" w:fill="auto"/>
            <w:noWrap/>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3</w:t>
            </w:r>
          </w:p>
        </w:tc>
        <w:tc>
          <w:tcPr>
            <w:tcW w:w="1656" w:type="dxa"/>
            <w:shd w:val="clear" w:color="auto" w:fill="auto"/>
            <w:noWrap/>
            <w:vAlign w:val="center"/>
          </w:tcPr>
          <w:p>
            <w:pPr>
              <w:widowControl/>
              <w:spacing w:before="240"/>
              <w:jc w:val="center"/>
            </w:pPr>
            <w:r>
              <w:rPr>
                <w:rFonts w:hint="eastAsia" w:ascii="仿宋_GB2312" w:hAnsi="宋体" w:eastAsia="仿宋_GB2312" w:cs="宋体"/>
                <w:kern w:val="0"/>
                <w:sz w:val="24"/>
              </w:rPr>
              <w:t>U12、U22、U15、U31</w:t>
            </w:r>
          </w:p>
        </w:tc>
        <w:tc>
          <w:tcPr>
            <w:tcW w:w="2126" w:type="dxa"/>
            <w:shd w:val="clear" w:color="auto" w:fill="auto"/>
            <w:noWrap/>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仓储用地</w:t>
            </w:r>
          </w:p>
        </w:tc>
        <w:tc>
          <w:tcPr>
            <w:tcW w:w="2053" w:type="dxa"/>
            <w:shd w:val="clear" w:color="auto" w:fill="auto"/>
            <w:noWrap/>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A</w:t>
            </w:r>
            <w:r>
              <w:rPr>
                <w:rFonts w:hint="eastAsia" w:ascii="仿宋_GB2312" w:hAnsi="宋体" w:eastAsia="仿宋_GB2312" w:cs="宋体"/>
                <w:kern w:val="0"/>
                <w:sz w:val="18"/>
                <w:szCs w:val="18"/>
              </w:rPr>
              <w:t>1</w:t>
            </w:r>
          </w:p>
          <w:p>
            <w:pPr>
              <w:widowControl/>
              <w:spacing w:before="240"/>
              <w:rPr>
                <w:rFonts w:ascii="仿宋_GB2312" w:hAnsi="宋体" w:eastAsia="仿宋_GB2312" w:cs="宋体"/>
                <w:kern w:val="0"/>
                <w:sz w:val="24"/>
              </w:rPr>
            </w:pPr>
          </w:p>
        </w:tc>
        <w:tc>
          <w:tcPr>
            <w:tcW w:w="3859" w:type="dxa"/>
            <w:shd w:val="clear" w:color="auto" w:fill="auto"/>
            <w:vAlign w:val="center"/>
          </w:tcPr>
          <w:p>
            <w:pPr>
              <w:widowControl/>
              <w:spacing w:before="240"/>
              <w:jc w:val="center"/>
              <w:rPr>
                <w:rFonts w:ascii="仿宋_GB2312" w:hAnsi="宋体" w:eastAsia="仿宋_GB2312" w:cs="宋体"/>
                <w:kern w:val="0"/>
                <w:sz w:val="24"/>
              </w:rPr>
            </w:pPr>
            <w:r>
              <w:rPr>
                <w:rFonts w:hint="eastAsia" w:ascii="仿宋_GB2312" w:hAnsi="等线" w:eastAsia="仿宋_GB2312"/>
                <w:szCs w:val="21"/>
              </w:rPr>
              <w:t>地势平缓，地形坡度角一般低于15</w:t>
            </w:r>
            <w:r>
              <w:rPr>
                <w:rFonts w:ascii="Calibri" w:hAnsi="Calibri" w:eastAsia="仿宋_GB2312" w:cs="Calibri"/>
                <w:szCs w:val="21"/>
              </w:rPr>
              <w:t>°</w:t>
            </w:r>
            <w:r>
              <w:rPr>
                <w:rFonts w:hint="eastAsia" w:ascii="仿宋_GB2312" w:hAnsi="等线" w:eastAsia="仿宋_GB2312"/>
                <w:szCs w:val="21"/>
              </w:rPr>
              <w:t>。残坡积土厚度一般2-5m,人工填土厚3-5m。</w:t>
            </w:r>
          </w:p>
        </w:tc>
        <w:tc>
          <w:tcPr>
            <w:tcW w:w="2687" w:type="dxa"/>
            <w:shd w:val="clear" w:color="auto" w:fill="auto"/>
            <w:vAlign w:val="center"/>
          </w:tcPr>
          <w:p>
            <w:pPr>
              <w:widowControl/>
              <w:jc w:val="center"/>
              <w:rPr>
                <w:rFonts w:ascii="仿宋_GB2312" w:hAnsi="宋体" w:eastAsia="仿宋_GB2312" w:cs="宋体"/>
                <w:kern w:val="0"/>
                <w:sz w:val="24"/>
              </w:rPr>
            </w:pPr>
            <w:r>
              <w:rPr>
                <w:rFonts w:hint="eastAsia" w:ascii="仿宋_GB2312" w:hAnsi="等线" w:eastAsia="仿宋_GB2312"/>
                <w:szCs w:val="21"/>
              </w:rPr>
              <w:t>无</w:t>
            </w:r>
          </w:p>
        </w:tc>
        <w:tc>
          <w:tcPr>
            <w:tcW w:w="6977" w:type="dxa"/>
            <w:shd w:val="clear" w:color="auto" w:fill="auto"/>
            <w:vAlign w:val="center"/>
          </w:tcPr>
          <w:p>
            <w:pPr>
              <w:widowControl/>
              <w:spacing w:before="240"/>
              <w:jc w:val="center"/>
              <w:rPr>
                <w:rFonts w:ascii="仿宋_GB2312" w:hAnsi="宋体" w:eastAsia="仿宋_GB2312" w:cs="宋体"/>
                <w:kern w:val="0"/>
                <w:sz w:val="24"/>
              </w:rPr>
            </w:pPr>
            <w:r>
              <w:rPr>
                <w:rFonts w:hint="eastAsia" w:ascii="仿宋_GB2312" w:hAnsi="等线" w:eastAsia="仿宋_GB2312"/>
                <w:szCs w:val="21"/>
              </w:rPr>
              <w:t>基本不受限制，但建（构）筑物的布局应避免引发地质灾害，存在基坑边坡应先支挡后建设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718" w:type="dxa"/>
            <w:shd w:val="clear" w:color="auto" w:fill="auto"/>
            <w:noWrap/>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4</w:t>
            </w:r>
          </w:p>
        </w:tc>
        <w:tc>
          <w:tcPr>
            <w:tcW w:w="1656" w:type="dxa"/>
            <w:shd w:val="clear" w:color="auto" w:fill="auto"/>
            <w:noWrap/>
            <w:vAlign w:val="center"/>
          </w:tcPr>
          <w:p>
            <w:pPr>
              <w:jc w:val="left"/>
            </w:pPr>
            <w:r>
              <w:rPr>
                <w:rFonts w:hint="eastAsia" w:ascii="仿宋_GB2312" w:hAnsi="宋体" w:eastAsia="黑体" w:cs="宋体"/>
                <w:kern w:val="0"/>
                <w:sz w:val="24"/>
              </w:rPr>
              <w:t>M2-1、M2-2</w:t>
            </w:r>
          </w:p>
        </w:tc>
        <w:tc>
          <w:tcPr>
            <w:tcW w:w="2126" w:type="dxa"/>
            <w:shd w:val="clear" w:color="auto" w:fill="auto"/>
            <w:noWrap/>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二类工业用地</w:t>
            </w:r>
          </w:p>
        </w:tc>
        <w:tc>
          <w:tcPr>
            <w:tcW w:w="2053" w:type="dxa"/>
            <w:shd w:val="clear" w:color="auto" w:fill="auto"/>
            <w:noWrap/>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A</w:t>
            </w:r>
            <w:r>
              <w:rPr>
                <w:rFonts w:hint="eastAsia" w:ascii="仿宋_GB2312" w:hAnsi="宋体" w:eastAsia="仿宋_GB2312" w:cs="宋体"/>
                <w:kern w:val="0"/>
                <w:sz w:val="18"/>
                <w:szCs w:val="18"/>
              </w:rPr>
              <w:t>1</w:t>
            </w:r>
          </w:p>
        </w:tc>
        <w:tc>
          <w:tcPr>
            <w:tcW w:w="3859" w:type="dxa"/>
            <w:shd w:val="clear" w:color="auto" w:fill="auto"/>
            <w:vAlign w:val="center"/>
          </w:tcPr>
          <w:p>
            <w:pPr>
              <w:widowControl/>
              <w:spacing w:before="240"/>
              <w:jc w:val="center"/>
              <w:rPr>
                <w:rFonts w:ascii="仿宋_GB2312" w:hAnsi="宋体" w:eastAsia="仿宋_GB2312" w:cs="宋体"/>
                <w:kern w:val="0"/>
                <w:sz w:val="24"/>
              </w:rPr>
            </w:pPr>
            <w:r>
              <w:rPr>
                <w:rFonts w:hint="eastAsia" w:ascii="仿宋_GB2312" w:eastAsia="仿宋_GB2312"/>
                <w:color w:val="000000"/>
              </w:rPr>
              <w:t>多为已建房屋区域，</w:t>
            </w:r>
            <w:r>
              <w:rPr>
                <w:rFonts w:hint="eastAsia" w:ascii="仿宋_GB2312" w:eastAsia="仿宋_GB2312"/>
                <w:szCs w:val="36"/>
              </w:rPr>
              <w:t>地形总体坡角＜15°，</w:t>
            </w:r>
            <w:r>
              <w:rPr>
                <w:rFonts w:hint="eastAsia" w:ascii="仿宋_GB2312" w:eastAsia="仿宋_GB2312"/>
                <w:color w:val="000000"/>
              </w:rPr>
              <w:t>地形总体较平缓，整平区边缘局部地形起伏，已建区</w:t>
            </w:r>
            <w:r>
              <w:rPr>
                <w:rFonts w:hint="eastAsia" w:ascii="仿宋_GB2312" w:eastAsia="仿宋_GB2312"/>
                <w:color w:val="000000"/>
                <w:szCs w:val="36"/>
              </w:rPr>
              <w:t>边坡高度＜15m，土质边坡高度＜8m</w:t>
            </w:r>
            <w:r>
              <w:rPr>
                <w:rFonts w:hint="eastAsia" w:ascii="仿宋_GB2312" w:eastAsia="仿宋_GB2312"/>
                <w:color w:val="000000"/>
              </w:rPr>
              <w:t>，土层厚度≤3m。</w:t>
            </w:r>
          </w:p>
        </w:tc>
        <w:tc>
          <w:tcPr>
            <w:tcW w:w="2687" w:type="dxa"/>
            <w:shd w:val="clear" w:color="auto" w:fill="auto"/>
            <w:vAlign w:val="center"/>
          </w:tcPr>
          <w:p>
            <w:pPr>
              <w:widowControl/>
              <w:jc w:val="center"/>
              <w:rPr>
                <w:rFonts w:ascii="仿宋_GB2312" w:hAnsi="宋体" w:eastAsia="仿宋_GB2312" w:cs="宋体"/>
                <w:kern w:val="0"/>
                <w:sz w:val="24"/>
              </w:rPr>
            </w:pPr>
            <w:r>
              <w:rPr>
                <w:rFonts w:hint="eastAsia" w:ascii="仿宋_GB2312" w:hAnsi="等线" w:eastAsia="仿宋_GB2312"/>
                <w:szCs w:val="21"/>
              </w:rPr>
              <w:t>无</w:t>
            </w:r>
          </w:p>
        </w:tc>
        <w:tc>
          <w:tcPr>
            <w:tcW w:w="6977" w:type="dxa"/>
            <w:shd w:val="clear" w:color="auto" w:fill="auto"/>
            <w:vAlign w:val="center"/>
          </w:tcPr>
          <w:p>
            <w:pPr>
              <w:widowControl/>
              <w:spacing w:before="240"/>
              <w:jc w:val="center"/>
              <w:rPr>
                <w:rFonts w:ascii="仿宋_GB2312" w:hAnsi="宋体" w:eastAsia="仿宋_GB2312" w:cs="宋体"/>
                <w:kern w:val="0"/>
                <w:sz w:val="24"/>
              </w:rPr>
            </w:pPr>
            <w:r>
              <w:rPr>
                <w:rFonts w:hint="eastAsia" w:ascii="仿宋_GB2312" w:hAnsi="等线" w:eastAsia="仿宋_GB2312"/>
                <w:szCs w:val="21"/>
              </w:rPr>
              <w:t>基本不受限制，但建（构）筑物的布局应避免引发地质灾害，存在基坑边坡应先支挡后建设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8" w:type="dxa"/>
            <w:vMerge w:val="restart"/>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5</w:t>
            </w:r>
          </w:p>
        </w:tc>
        <w:tc>
          <w:tcPr>
            <w:tcW w:w="1656" w:type="dxa"/>
            <w:vMerge w:val="restart"/>
            <w:vAlign w:val="center"/>
          </w:tcPr>
          <w:p>
            <w:pPr>
              <w:widowControl/>
              <w:spacing w:before="240"/>
              <w:jc w:val="center"/>
              <w:rPr>
                <w:rFonts w:ascii="仿宋_GB2312" w:hAnsi="宋体" w:eastAsia="仿宋_GB2312" w:cs="宋体"/>
                <w:kern w:val="0"/>
                <w:sz w:val="24"/>
              </w:rPr>
            </w:pPr>
            <w:r>
              <w:rPr>
                <w:rFonts w:hint="eastAsia" w:ascii="仿宋_GB2312" w:hAnsi="宋体" w:eastAsia="黑体" w:cs="宋体"/>
                <w:kern w:val="0"/>
                <w:sz w:val="24"/>
              </w:rPr>
              <w:t>M3</w:t>
            </w:r>
          </w:p>
        </w:tc>
        <w:tc>
          <w:tcPr>
            <w:tcW w:w="2126" w:type="dxa"/>
            <w:vMerge w:val="restart"/>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三类工业用地</w:t>
            </w:r>
          </w:p>
        </w:tc>
        <w:tc>
          <w:tcPr>
            <w:tcW w:w="2053" w:type="dxa"/>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A1</w:t>
            </w:r>
          </w:p>
        </w:tc>
        <w:tc>
          <w:tcPr>
            <w:tcW w:w="3859" w:type="dxa"/>
            <w:vAlign w:val="center"/>
          </w:tcPr>
          <w:p>
            <w:pPr>
              <w:widowControl/>
              <w:spacing w:before="240"/>
              <w:jc w:val="center"/>
              <w:rPr>
                <w:rFonts w:ascii="仿宋_GB2312" w:hAnsi="等线" w:eastAsia="仿宋_GB2312"/>
                <w:szCs w:val="21"/>
              </w:rPr>
            </w:pPr>
            <w:r>
              <w:rPr>
                <w:rFonts w:hint="eastAsia" w:ascii="仿宋_GB2312" w:hAnsi="等线" w:eastAsia="仿宋_GB2312"/>
                <w:szCs w:val="21"/>
              </w:rPr>
              <w:t>多为原始地形，地形总体坡角＜15°，局部属施工整平区，地形总体较平缓，整平区边缘局部地形起伏，整平区边缘岩质边坡高度＜15m，土质边坡高度＜8m，土层厚度≤</w:t>
            </w:r>
            <w:r>
              <w:rPr>
                <w:rFonts w:hint="eastAsia" w:ascii="仿宋_GB2312" w:hAnsi="等线" w:eastAsia="仿宋_GB2312"/>
                <w:szCs w:val="21"/>
                <w:lang w:val="en-US" w:eastAsia="zh-CN"/>
              </w:rPr>
              <w:t>5</w:t>
            </w:r>
            <w:r>
              <w:rPr>
                <w:rFonts w:hint="eastAsia" w:ascii="仿宋_GB2312" w:hAnsi="等线" w:eastAsia="仿宋_GB2312"/>
                <w:szCs w:val="21"/>
              </w:rPr>
              <w:t>m。</w:t>
            </w:r>
          </w:p>
        </w:tc>
        <w:tc>
          <w:tcPr>
            <w:tcW w:w="2687" w:type="dxa"/>
            <w:shd w:val="clear" w:color="auto" w:fill="auto"/>
            <w:vAlign w:val="center"/>
          </w:tcPr>
          <w:p>
            <w:pPr>
              <w:widowControl/>
              <w:spacing w:before="240"/>
              <w:jc w:val="center"/>
              <w:rPr>
                <w:rFonts w:ascii="仿宋_GB2312" w:hAnsi="等线" w:eastAsia="仿宋_GB2312"/>
                <w:szCs w:val="21"/>
              </w:rPr>
            </w:pPr>
            <w:r>
              <w:rPr>
                <w:rFonts w:hint="eastAsia" w:ascii="仿宋_GB2312" w:hAnsi="等线" w:eastAsia="仿宋_GB2312"/>
                <w:szCs w:val="21"/>
              </w:rPr>
              <w:t>工程建设形成的基坑边坡及环境边坡稳定性</w:t>
            </w:r>
          </w:p>
        </w:tc>
        <w:tc>
          <w:tcPr>
            <w:tcW w:w="6977" w:type="dxa"/>
            <w:shd w:val="clear" w:color="auto" w:fill="auto"/>
            <w:vAlign w:val="center"/>
          </w:tcPr>
          <w:p>
            <w:pPr>
              <w:widowControl/>
              <w:spacing w:before="240"/>
              <w:jc w:val="center"/>
              <w:rPr>
                <w:rFonts w:ascii="仿宋_GB2312" w:hAnsi="等线" w:eastAsia="仿宋_GB2312"/>
                <w:szCs w:val="21"/>
              </w:rPr>
            </w:pPr>
            <w:r>
              <w:rPr>
                <w:rFonts w:hint="eastAsia" w:ascii="仿宋_GB2312" w:hAnsi="等线" w:eastAsia="仿宋_GB2312"/>
                <w:szCs w:val="21"/>
              </w:rPr>
              <w:t>建设过程中形成的基坑或环境边坡应及时治理。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shd w:val="clear" w:color="auto" w:fill="auto"/>
            <w:noWrap/>
            <w:vAlign w:val="center"/>
          </w:tcPr>
          <w:p>
            <w:pPr>
              <w:widowControl/>
              <w:spacing w:before="240"/>
              <w:jc w:val="center"/>
              <w:rPr>
                <w:rFonts w:ascii="仿宋_GB2312" w:hAnsi="宋体" w:eastAsia="仿宋_GB2312" w:cs="宋体"/>
                <w:kern w:val="0"/>
                <w:sz w:val="24"/>
              </w:rPr>
            </w:pPr>
          </w:p>
        </w:tc>
        <w:tc>
          <w:tcPr>
            <w:tcW w:w="1656" w:type="dxa"/>
            <w:vMerge w:val="continue"/>
            <w:shd w:val="clear" w:color="auto" w:fill="auto"/>
            <w:noWrap/>
            <w:vAlign w:val="center"/>
          </w:tcPr>
          <w:p>
            <w:pPr>
              <w:jc w:val="center"/>
            </w:pPr>
          </w:p>
        </w:tc>
        <w:tc>
          <w:tcPr>
            <w:tcW w:w="2126" w:type="dxa"/>
            <w:vMerge w:val="continue"/>
            <w:shd w:val="clear" w:color="auto" w:fill="auto"/>
            <w:noWrap/>
            <w:vAlign w:val="center"/>
          </w:tcPr>
          <w:p>
            <w:pPr>
              <w:widowControl/>
              <w:spacing w:before="240"/>
              <w:jc w:val="center"/>
              <w:rPr>
                <w:rFonts w:ascii="仿宋_GB2312" w:hAnsi="宋体" w:eastAsia="仿宋_GB2312" w:cs="宋体"/>
                <w:kern w:val="0"/>
                <w:sz w:val="24"/>
              </w:rPr>
            </w:pPr>
          </w:p>
        </w:tc>
        <w:tc>
          <w:tcPr>
            <w:tcW w:w="2053" w:type="dxa"/>
            <w:shd w:val="clear" w:color="auto" w:fill="auto"/>
            <w:noWrap/>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B1</w:t>
            </w:r>
          </w:p>
        </w:tc>
        <w:tc>
          <w:tcPr>
            <w:tcW w:w="3859" w:type="dxa"/>
            <w:shd w:val="clear" w:color="auto" w:fill="auto"/>
            <w:vAlign w:val="center"/>
          </w:tcPr>
          <w:p>
            <w:pPr>
              <w:widowControl/>
              <w:spacing w:before="240"/>
              <w:jc w:val="center"/>
              <w:rPr>
                <w:rFonts w:ascii="仿宋_GB2312" w:hAnsi="等线" w:eastAsia="仿宋_GB2312"/>
                <w:szCs w:val="21"/>
              </w:rPr>
            </w:pPr>
            <w:r>
              <w:rPr>
                <w:rFonts w:hint="eastAsia" w:ascii="仿宋_GB2312" w:hAnsi="等线" w:eastAsia="仿宋_GB2312"/>
                <w:szCs w:val="21"/>
              </w:rPr>
              <w:t>岩层产状一般16-22°，地形坡度角大于15°。残坡积土厚度一般1-2m，岩层面切向不临空或反向，斜坡现状稳定。</w:t>
            </w:r>
          </w:p>
        </w:tc>
        <w:tc>
          <w:tcPr>
            <w:tcW w:w="2687" w:type="dxa"/>
            <w:shd w:val="clear" w:color="auto" w:fill="auto"/>
            <w:vAlign w:val="center"/>
          </w:tcPr>
          <w:p>
            <w:pPr>
              <w:widowControl/>
              <w:spacing w:before="240"/>
              <w:jc w:val="center"/>
              <w:rPr>
                <w:rFonts w:ascii="仿宋_GB2312" w:hAnsi="等线" w:eastAsia="仿宋_GB2312"/>
                <w:szCs w:val="21"/>
              </w:rPr>
            </w:pPr>
            <w:r>
              <w:rPr>
                <w:rFonts w:hint="eastAsia" w:ascii="仿宋_GB2312" w:hAnsi="等线" w:eastAsia="仿宋_GB2312"/>
                <w:szCs w:val="21"/>
              </w:rPr>
              <w:t>工程建设形成的基坑边坡及环境边坡</w:t>
            </w:r>
          </w:p>
        </w:tc>
        <w:tc>
          <w:tcPr>
            <w:tcW w:w="6977" w:type="dxa"/>
            <w:shd w:val="clear" w:color="auto" w:fill="auto"/>
            <w:vAlign w:val="center"/>
          </w:tcPr>
          <w:p>
            <w:pPr>
              <w:widowControl/>
              <w:spacing w:before="240"/>
              <w:jc w:val="center"/>
              <w:rPr>
                <w:rFonts w:ascii="仿宋_GB2312" w:hAnsi="等线" w:eastAsia="仿宋_GB2312"/>
                <w:szCs w:val="21"/>
              </w:rPr>
            </w:pPr>
            <w:r>
              <w:rPr>
                <w:rFonts w:hint="eastAsia" w:ascii="仿宋_GB2312" w:hAnsi="等线" w:eastAsia="仿宋_GB2312"/>
                <w:szCs w:val="21"/>
              </w:rPr>
              <w:t>不宜深挖高填，并对形成的边坡进行支护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Merge w:val="continue"/>
            <w:shd w:val="clear" w:color="auto" w:fill="auto"/>
            <w:noWrap/>
            <w:vAlign w:val="center"/>
          </w:tcPr>
          <w:p>
            <w:pPr>
              <w:widowControl/>
              <w:spacing w:before="240"/>
              <w:jc w:val="center"/>
              <w:rPr>
                <w:rFonts w:ascii="仿宋_GB2312" w:hAnsi="宋体" w:eastAsia="仿宋_GB2312" w:cs="宋体"/>
                <w:kern w:val="0"/>
                <w:sz w:val="24"/>
              </w:rPr>
            </w:pPr>
          </w:p>
        </w:tc>
        <w:tc>
          <w:tcPr>
            <w:tcW w:w="1656" w:type="dxa"/>
            <w:vMerge w:val="continue"/>
            <w:shd w:val="clear" w:color="auto" w:fill="auto"/>
            <w:noWrap/>
            <w:vAlign w:val="center"/>
          </w:tcPr>
          <w:p>
            <w:pPr>
              <w:jc w:val="center"/>
            </w:pPr>
          </w:p>
        </w:tc>
        <w:tc>
          <w:tcPr>
            <w:tcW w:w="2126" w:type="dxa"/>
            <w:vMerge w:val="continue"/>
            <w:shd w:val="clear" w:color="auto" w:fill="auto"/>
            <w:noWrap/>
            <w:vAlign w:val="center"/>
          </w:tcPr>
          <w:p>
            <w:pPr>
              <w:widowControl/>
              <w:spacing w:before="240"/>
              <w:jc w:val="center"/>
              <w:rPr>
                <w:rFonts w:ascii="仿宋_GB2312" w:hAnsi="宋体" w:eastAsia="仿宋_GB2312" w:cs="宋体"/>
                <w:kern w:val="0"/>
                <w:sz w:val="24"/>
              </w:rPr>
            </w:pPr>
          </w:p>
        </w:tc>
        <w:tc>
          <w:tcPr>
            <w:tcW w:w="2053" w:type="dxa"/>
            <w:shd w:val="clear" w:color="auto" w:fill="auto"/>
            <w:noWrap/>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B2</w:t>
            </w:r>
          </w:p>
        </w:tc>
        <w:tc>
          <w:tcPr>
            <w:tcW w:w="3859" w:type="dxa"/>
            <w:shd w:val="clear" w:color="auto" w:fill="auto"/>
            <w:vAlign w:val="center"/>
          </w:tcPr>
          <w:p>
            <w:pPr>
              <w:widowControl/>
              <w:spacing w:before="240"/>
              <w:jc w:val="center"/>
              <w:rPr>
                <w:rFonts w:ascii="仿宋_GB2312" w:hAnsi="等线" w:eastAsia="仿宋_GB2312"/>
                <w:szCs w:val="21"/>
              </w:rPr>
            </w:pPr>
            <w:r>
              <w:rPr>
                <w:rFonts w:hint="eastAsia" w:ascii="仿宋_GB2312" w:hAnsi="等线" w:eastAsia="仿宋_GB2312"/>
                <w:szCs w:val="21"/>
              </w:rPr>
              <w:t>岩层产状一般23°，地形坡度角一般15-25°。残坡积土厚度一般1-2m，岩层面局部顺向临空，岩层倾角18°。斜坡现状稳定。</w:t>
            </w:r>
          </w:p>
        </w:tc>
        <w:tc>
          <w:tcPr>
            <w:tcW w:w="2687" w:type="dxa"/>
            <w:shd w:val="clear" w:color="auto" w:fill="auto"/>
            <w:vAlign w:val="center"/>
          </w:tcPr>
          <w:p>
            <w:pPr>
              <w:widowControl/>
              <w:spacing w:before="240"/>
              <w:jc w:val="center"/>
              <w:rPr>
                <w:rFonts w:ascii="仿宋_GB2312" w:hAnsi="等线" w:eastAsia="仿宋_GB2312"/>
                <w:szCs w:val="21"/>
              </w:rPr>
            </w:pPr>
            <w:r>
              <w:rPr>
                <w:rFonts w:hint="eastAsia" w:ascii="仿宋_GB2312" w:hAnsi="等线" w:eastAsia="仿宋_GB2312"/>
                <w:szCs w:val="21"/>
              </w:rPr>
              <w:t>工程建设形成的基坑边坡</w:t>
            </w:r>
            <w:r>
              <w:rPr>
                <w:rFonts w:hint="eastAsia" w:ascii="仿宋_GB2312" w:hAnsi="等线" w:eastAsia="仿宋_GB2312"/>
                <w:szCs w:val="21"/>
                <w:lang w:val="en-US" w:eastAsia="zh-CN"/>
              </w:rPr>
              <w:t>及顺向</w:t>
            </w:r>
            <w:r>
              <w:rPr>
                <w:rFonts w:hint="eastAsia" w:ascii="仿宋_GB2312" w:hAnsi="等线" w:eastAsia="仿宋_GB2312"/>
                <w:szCs w:val="21"/>
              </w:rPr>
              <w:t>边坡</w:t>
            </w:r>
          </w:p>
        </w:tc>
        <w:tc>
          <w:tcPr>
            <w:tcW w:w="6977" w:type="dxa"/>
            <w:shd w:val="clear" w:color="auto" w:fill="auto"/>
            <w:vAlign w:val="center"/>
          </w:tcPr>
          <w:p>
            <w:pPr>
              <w:widowControl/>
              <w:spacing w:before="240"/>
              <w:jc w:val="center"/>
              <w:rPr>
                <w:rFonts w:hint="default" w:ascii="仿宋_GB2312" w:hAnsi="等线" w:eastAsia="仿宋_GB2312"/>
                <w:szCs w:val="21"/>
                <w:lang w:val="en-US" w:eastAsia="zh-CN"/>
              </w:rPr>
            </w:pPr>
            <w:r>
              <w:rPr>
                <w:rFonts w:hint="eastAsia" w:ascii="仿宋_GB2312" w:hAnsi="等线" w:eastAsia="仿宋_GB2312"/>
                <w:szCs w:val="21"/>
              </w:rPr>
              <w:t>顺向坡开挖时，应做好边坡支护，建议抗滑支挡</w:t>
            </w:r>
            <w:r>
              <w:rPr>
                <w:rFonts w:hint="eastAsia" w:ascii="仿宋_GB2312" w:hAnsi="等线" w:eastAsia="仿宋_GB2312"/>
                <w:szCs w:val="21"/>
                <w:lang w:val="en-US" w:eastAsia="zh-CN"/>
              </w:rPr>
              <w:t>或放坡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718" w:type="dxa"/>
            <w:shd w:val="clear" w:color="auto" w:fill="auto"/>
            <w:noWrap/>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6</w:t>
            </w:r>
          </w:p>
        </w:tc>
        <w:tc>
          <w:tcPr>
            <w:tcW w:w="1656" w:type="dxa"/>
            <w:shd w:val="clear" w:color="auto" w:fill="auto"/>
            <w:noWrap/>
            <w:vAlign w:val="center"/>
          </w:tcPr>
          <w:p>
            <w:pPr>
              <w:jc w:val="center"/>
            </w:pPr>
            <w:r>
              <w:rPr>
                <w:rFonts w:hint="eastAsia" w:ascii="仿宋_GB2312" w:hAnsi="宋体" w:eastAsia="黑体" w:cs="宋体"/>
                <w:kern w:val="0"/>
                <w:sz w:val="24"/>
              </w:rPr>
              <w:t>M3-4、M3-6</w:t>
            </w:r>
          </w:p>
        </w:tc>
        <w:tc>
          <w:tcPr>
            <w:tcW w:w="2126" w:type="dxa"/>
            <w:shd w:val="clear" w:color="auto" w:fill="auto"/>
            <w:noWrap/>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二类工业用地</w:t>
            </w:r>
          </w:p>
        </w:tc>
        <w:tc>
          <w:tcPr>
            <w:tcW w:w="2053" w:type="dxa"/>
            <w:shd w:val="clear" w:color="auto" w:fill="auto"/>
            <w:noWrap/>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A</w:t>
            </w:r>
            <w:r>
              <w:rPr>
                <w:rFonts w:hint="eastAsia" w:ascii="仿宋_GB2312" w:hAnsi="宋体" w:eastAsia="仿宋_GB2312" w:cs="宋体"/>
                <w:kern w:val="0"/>
                <w:sz w:val="18"/>
                <w:szCs w:val="18"/>
              </w:rPr>
              <w:t>1</w:t>
            </w:r>
          </w:p>
        </w:tc>
        <w:tc>
          <w:tcPr>
            <w:tcW w:w="3859" w:type="dxa"/>
            <w:shd w:val="clear" w:color="auto" w:fill="auto"/>
            <w:vAlign w:val="center"/>
          </w:tcPr>
          <w:p>
            <w:pPr>
              <w:widowControl/>
              <w:spacing w:before="240"/>
              <w:jc w:val="center"/>
              <w:rPr>
                <w:rFonts w:ascii="仿宋_GB2312" w:hAnsi="等线" w:eastAsia="仿宋_GB2312"/>
                <w:szCs w:val="21"/>
              </w:rPr>
            </w:pPr>
            <w:r>
              <w:rPr>
                <w:rFonts w:hint="eastAsia" w:ascii="仿宋_GB2312" w:hAnsi="等线" w:eastAsia="仿宋_GB2312"/>
                <w:szCs w:val="21"/>
              </w:rPr>
              <w:t>多为已建房屋区域，地形总体坡角＜15°，局部属施工整平区，地形总体较平缓，整平区边缘局部地形起伏，已建区边坡高度＜15m，土质边坡高度＜8m。</w:t>
            </w:r>
          </w:p>
        </w:tc>
        <w:tc>
          <w:tcPr>
            <w:tcW w:w="2687" w:type="dxa"/>
            <w:shd w:val="clear" w:color="auto" w:fill="auto"/>
            <w:vAlign w:val="center"/>
          </w:tcPr>
          <w:p>
            <w:pPr>
              <w:widowControl/>
              <w:spacing w:before="240"/>
              <w:jc w:val="center"/>
              <w:rPr>
                <w:rFonts w:ascii="仿宋_GB2312" w:hAnsi="等线" w:eastAsia="仿宋_GB2312"/>
                <w:szCs w:val="21"/>
              </w:rPr>
            </w:pPr>
            <w:r>
              <w:rPr>
                <w:rFonts w:hint="eastAsia" w:ascii="仿宋_GB2312" w:hAnsi="等线" w:eastAsia="仿宋_GB2312"/>
                <w:szCs w:val="21"/>
              </w:rPr>
              <w:t>工程建设形成的基坑边坡及环境边坡稳定性</w:t>
            </w:r>
          </w:p>
        </w:tc>
        <w:tc>
          <w:tcPr>
            <w:tcW w:w="6977" w:type="dxa"/>
            <w:shd w:val="clear" w:color="auto" w:fill="auto"/>
            <w:vAlign w:val="center"/>
          </w:tcPr>
          <w:p>
            <w:pPr>
              <w:widowControl/>
              <w:spacing w:before="240"/>
              <w:jc w:val="center"/>
              <w:rPr>
                <w:rFonts w:ascii="仿宋_GB2312" w:hAnsi="等线" w:eastAsia="仿宋_GB2312"/>
                <w:szCs w:val="21"/>
              </w:rPr>
            </w:pPr>
            <w:r>
              <w:rPr>
                <w:rFonts w:hint="eastAsia" w:ascii="仿宋_GB2312" w:hAnsi="等线" w:eastAsia="仿宋_GB2312"/>
                <w:szCs w:val="21"/>
              </w:rPr>
              <w:t>基本不受限制，但建（构）筑物的布局应避免引发地质灾害，存在深基坑边坡应先支挡后建设</w:t>
            </w:r>
          </w:p>
        </w:tc>
      </w:tr>
      <w:bookmarkEnd w:id="98"/>
      <w:bookmarkEnd w:id="99"/>
    </w:tbl>
    <w:p>
      <w:pPr>
        <w:pStyle w:val="27"/>
        <w:ind w:firstLine="0"/>
        <w:rPr>
          <w:rFonts w:ascii="仿宋_GB2312" w:eastAsia="仿宋_GB2312"/>
          <w:color w:val="000000"/>
        </w:rPr>
        <w:sectPr>
          <w:headerReference r:id="rId13" w:type="first"/>
          <w:headerReference r:id="rId12" w:type="default"/>
          <w:footerReference r:id="rId14" w:type="default"/>
          <w:footerReference r:id="rId15" w:type="even"/>
          <w:pgSz w:w="23814" w:h="16840" w:orient="landscape"/>
          <w:pgMar w:top="1797" w:right="1701" w:bottom="1797" w:left="1701" w:header="851" w:footer="992" w:gutter="0"/>
          <w:cols w:space="1366" w:num="1"/>
          <w:docGrid w:linePitch="312" w:charSpace="-3686"/>
        </w:sectPr>
      </w:pPr>
    </w:p>
    <w:p>
      <w:pPr>
        <w:widowControl/>
        <w:jc w:val="left"/>
        <w:rPr>
          <w:rFonts w:ascii="仿宋_GB2312" w:eastAsia="仿宋_GB2312"/>
          <w:color w:val="FF0000"/>
          <w:sz w:val="2"/>
          <w:szCs w:val="2"/>
        </w:rPr>
      </w:pPr>
    </w:p>
    <w:p>
      <w:pPr>
        <w:pStyle w:val="27"/>
        <w:jc w:val="center"/>
        <w:rPr>
          <w:rFonts w:ascii="仿宋_GB2312" w:eastAsia="仿宋_GB2312"/>
          <w:color w:val="000000"/>
        </w:rPr>
      </w:pPr>
      <w:r>
        <w:rPr>
          <w:rFonts w:hint="eastAsia" w:ascii="仿宋_GB2312" w:hAnsi="宋体" w:eastAsia="仿宋_GB2312" w:cs="宋体"/>
          <w:b/>
          <w:kern w:val="0"/>
        </w:rPr>
        <w:t>表8.2 各地块间拟建道路防治措施建议</w:t>
      </w:r>
    </w:p>
    <w:tbl>
      <w:tblPr>
        <w:tblStyle w:val="30"/>
        <w:tblW w:w="21077" w:type="dxa"/>
        <w:tblInd w:w="0" w:type="dxa"/>
        <w:tblLayout w:type="fixed"/>
        <w:tblCellMar>
          <w:top w:w="15" w:type="dxa"/>
          <w:left w:w="15" w:type="dxa"/>
          <w:bottom w:w="15" w:type="dxa"/>
          <w:right w:w="15" w:type="dxa"/>
        </w:tblCellMar>
      </w:tblPr>
      <w:tblGrid>
        <w:gridCol w:w="844"/>
        <w:gridCol w:w="1331"/>
        <w:gridCol w:w="1552"/>
        <w:gridCol w:w="9002"/>
        <w:gridCol w:w="4691"/>
        <w:gridCol w:w="3657"/>
      </w:tblGrid>
      <w:tr>
        <w:tblPrEx>
          <w:tblCellMar>
            <w:top w:w="15" w:type="dxa"/>
            <w:left w:w="15" w:type="dxa"/>
            <w:bottom w:w="15" w:type="dxa"/>
            <w:right w:w="15" w:type="dxa"/>
          </w:tblCellMar>
        </w:tblPrEx>
        <w:trPr>
          <w:trHeight w:val="922" w:hRule="atLeast"/>
          <w:tblHeader/>
        </w:trPr>
        <w:tc>
          <w:tcPr>
            <w:tcW w:w="84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b/>
                <w:kern w:val="0"/>
                <w:sz w:val="24"/>
              </w:rPr>
            </w:pPr>
            <w:r>
              <w:rPr>
                <w:rFonts w:hint="eastAsia" w:ascii="仿宋_GB2312" w:hAnsi="宋体" w:eastAsia="仿宋_GB2312" w:cs="宋体"/>
                <w:b/>
                <w:kern w:val="0"/>
                <w:sz w:val="24"/>
              </w:rPr>
              <w:t>序号</w:t>
            </w:r>
          </w:p>
        </w:tc>
        <w:tc>
          <w:tcPr>
            <w:tcW w:w="1331" w:type="dxa"/>
            <w:tcBorders>
              <w:top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b/>
                <w:kern w:val="0"/>
                <w:sz w:val="24"/>
              </w:rPr>
            </w:pPr>
            <w:r>
              <w:rPr>
                <w:rFonts w:hint="eastAsia" w:ascii="仿宋_GB2312" w:hAnsi="宋体" w:eastAsia="仿宋_GB2312" w:cs="宋体"/>
                <w:b/>
                <w:kern w:val="0"/>
                <w:sz w:val="24"/>
              </w:rPr>
              <w:t>道路名称</w:t>
            </w:r>
          </w:p>
        </w:tc>
        <w:tc>
          <w:tcPr>
            <w:tcW w:w="1552" w:type="dxa"/>
            <w:tcBorders>
              <w:top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b/>
                <w:kern w:val="0"/>
                <w:sz w:val="24"/>
              </w:rPr>
            </w:pPr>
            <w:r>
              <w:rPr>
                <w:rFonts w:hint="eastAsia" w:ascii="仿宋_GB2312" w:hAnsi="宋体" w:eastAsia="仿宋_GB2312" w:cs="宋体"/>
                <w:b/>
                <w:kern w:val="0"/>
                <w:sz w:val="24"/>
              </w:rPr>
              <w:t>地质灾害危险性分区分级编号</w:t>
            </w:r>
          </w:p>
        </w:tc>
        <w:tc>
          <w:tcPr>
            <w:tcW w:w="9002" w:type="dxa"/>
            <w:tcBorders>
              <w:top w:val="single" w:color="000000" w:sz="4" w:space="0"/>
              <w:bottom w:val="single" w:color="000000" w:sz="4" w:space="0"/>
            </w:tcBorders>
            <w:vAlign w:val="center"/>
          </w:tcPr>
          <w:p>
            <w:pPr>
              <w:widowControl/>
              <w:jc w:val="center"/>
              <w:rPr>
                <w:rFonts w:ascii="仿宋_GB2312" w:hAnsi="宋体" w:eastAsia="仿宋_GB2312" w:cs="宋体"/>
                <w:b/>
                <w:kern w:val="0"/>
                <w:sz w:val="24"/>
              </w:rPr>
            </w:pPr>
            <w:r>
              <w:rPr>
                <w:rFonts w:hint="eastAsia" w:ascii="仿宋_GB2312" w:hAnsi="宋体" w:eastAsia="仿宋_GB2312" w:cs="宋体"/>
                <w:b/>
                <w:kern w:val="0"/>
                <w:sz w:val="24"/>
              </w:rPr>
              <w:t>地质环境条件</w:t>
            </w:r>
          </w:p>
        </w:tc>
        <w:tc>
          <w:tcPr>
            <w:tcW w:w="469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b/>
                <w:kern w:val="0"/>
                <w:sz w:val="24"/>
              </w:rPr>
            </w:pPr>
            <w:r>
              <w:rPr>
                <w:rFonts w:hint="eastAsia" w:ascii="仿宋_GB2312" w:hAnsi="宋体" w:eastAsia="仿宋_GB2312" w:cs="宋体"/>
                <w:b/>
                <w:kern w:val="0"/>
                <w:sz w:val="24"/>
              </w:rPr>
              <w:t>主要地质环境</w:t>
            </w:r>
          </w:p>
        </w:tc>
        <w:tc>
          <w:tcPr>
            <w:tcW w:w="3657" w:type="dxa"/>
            <w:tcBorders>
              <w:top w:val="single" w:color="000000" w:sz="4" w:space="0"/>
              <w:bottom w:val="single" w:color="000000" w:sz="4" w:space="0"/>
              <w:right w:val="single" w:color="000000" w:sz="4" w:space="0"/>
            </w:tcBorders>
            <w:vAlign w:val="center"/>
          </w:tcPr>
          <w:p>
            <w:pPr>
              <w:widowControl/>
              <w:jc w:val="center"/>
              <w:rPr>
                <w:rFonts w:ascii="仿宋_GB2312" w:hAnsi="宋体" w:eastAsia="仿宋_GB2312" w:cs="宋体"/>
                <w:b/>
                <w:kern w:val="0"/>
                <w:sz w:val="24"/>
              </w:rPr>
            </w:pPr>
            <w:r>
              <w:rPr>
                <w:rFonts w:hint="eastAsia" w:ascii="仿宋_GB2312" w:hAnsi="宋体" w:eastAsia="仿宋_GB2312" w:cs="宋体"/>
                <w:b/>
                <w:kern w:val="0"/>
                <w:sz w:val="24"/>
              </w:rPr>
              <w:t>防治措施建议</w:t>
            </w:r>
          </w:p>
        </w:tc>
      </w:tr>
      <w:tr>
        <w:tblPrEx>
          <w:tblCellMar>
            <w:top w:w="15" w:type="dxa"/>
            <w:left w:w="15" w:type="dxa"/>
            <w:bottom w:w="15" w:type="dxa"/>
            <w:right w:w="15" w:type="dxa"/>
          </w:tblCellMar>
        </w:tblPrEx>
        <w:trPr>
          <w:trHeight w:val="1032" w:hRule="atLeast"/>
        </w:trPr>
        <w:tc>
          <w:tcPr>
            <w:tcW w:w="844" w:type="dxa"/>
            <w:tcBorders>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1</w:t>
            </w:r>
          </w:p>
        </w:tc>
        <w:tc>
          <w:tcPr>
            <w:tcW w:w="1331" w:type="dxa"/>
            <w:tcBorders>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1#</w:t>
            </w:r>
          </w:p>
        </w:tc>
        <w:tc>
          <w:tcPr>
            <w:tcW w:w="1552" w:type="dxa"/>
            <w:tcBorders>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A1</w:t>
            </w:r>
          </w:p>
        </w:tc>
        <w:tc>
          <w:tcPr>
            <w:tcW w:w="9002" w:type="dxa"/>
            <w:tcBorders>
              <w:bottom w:val="single" w:color="000000"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eastAsia="仿宋_GB2312"/>
                <w:color w:val="000000"/>
              </w:rPr>
              <w:t>多为原始地形，</w:t>
            </w:r>
            <w:r>
              <w:rPr>
                <w:rFonts w:hint="eastAsia" w:ascii="仿宋_GB2312" w:eastAsia="仿宋_GB2312"/>
                <w:szCs w:val="36"/>
              </w:rPr>
              <w:t>地形总体坡角＜15°，</w:t>
            </w:r>
            <w:r>
              <w:rPr>
                <w:rFonts w:hint="eastAsia" w:ascii="仿宋_GB2312" w:eastAsia="仿宋_GB2312"/>
                <w:color w:val="000000"/>
              </w:rPr>
              <w:t>局部属施工整平区，地形总体较平缓，未见滑坡、泥石流、危岩、崩塌、地表塌陷等不良地质现象，</w:t>
            </w:r>
            <w:r>
              <w:rPr>
                <w:rFonts w:hint="eastAsia" w:ascii="仿宋_GB2312" w:hAnsi="宋体" w:eastAsia="仿宋_GB2312" w:cs="宋体"/>
                <w:kern w:val="0"/>
                <w:sz w:val="24"/>
              </w:rPr>
              <w:t>场地现状稳定。</w:t>
            </w:r>
          </w:p>
        </w:tc>
        <w:tc>
          <w:tcPr>
            <w:tcW w:w="4691" w:type="dxa"/>
            <w:tcBorders>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仿宋_GB2312"/>
                <w:color w:val="000000"/>
                <w:kern w:val="0"/>
                <w:sz w:val="24"/>
                <w:lang w:bidi="ar"/>
              </w:rPr>
              <w:t>在道路东侧形成填方边坡</w:t>
            </w:r>
          </w:p>
        </w:tc>
        <w:tc>
          <w:tcPr>
            <w:tcW w:w="3657" w:type="dxa"/>
            <w:tcBorders>
              <w:bottom w:val="single" w:color="000000"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建设过程中形成的边坡采用放坡或挡墙支挡。</w:t>
            </w:r>
          </w:p>
        </w:tc>
      </w:tr>
      <w:tr>
        <w:tblPrEx>
          <w:tblCellMar>
            <w:top w:w="15" w:type="dxa"/>
            <w:left w:w="15" w:type="dxa"/>
            <w:bottom w:w="15" w:type="dxa"/>
            <w:right w:w="15" w:type="dxa"/>
          </w:tblCellMar>
        </w:tblPrEx>
        <w:trPr>
          <w:trHeight w:val="857" w:hRule="atLeast"/>
        </w:trPr>
        <w:tc>
          <w:tcPr>
            <w:tcW w:w="844" w:type="dxa"/>
            <w:tcBorders>
              <w:left w:val="single" w:color="000000" w:sz="4" w:space="0"/>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2</w:t>
            </w:r>
          </w:p>
        </w:tc>
        <w:tc>
          <w:tcPr>
            <w:tcW w:w="1331" w:type="dxa"/>
            <w:tcBorders>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2#</w:t>
            </w:r>
          </w:p>
        </w:tc>
        <w:tc>
          <w:tcPr>
            <w:tcW w:w="1552" w:type="dxa"/>
            <w:tcBorders>
              <w:top w:val="single" w:color="auto"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A1</w:t>
            </w:r>
          </w:p>
        </w:tc>
        <w:tc>
          <w:tcPr>
            <w:tcW w:w="9002" w:type="dxa"/>
            <w:tcBorders>
              <w:top w:val="single" w:color="auto" w:sz="4" w:space="0"/>
              <w:bottom w:val="single" w:color="000000"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eastAsia="仿宋_GB2312"/>
                <w:color w:val="000000"/>
              </w:rPr>
              <w:t>多为原始地形，</w:t>
            </w:r>
            <w:r>
              <w:rPr>
                <w:rFonts w:hint="eastAsia" w:ascii="仿宋_GB2312" w:eastAsia="仿宋_GB2312"/>
                <w:szCs w:val="36"/>
              </w:rPr>
              <w:t>地形总体坡角＜15°，</w:t>
            </w:r>
            <w:r>
              <w:rPr>
                <w:rFonts w:hint="eastAsia" w:ascii="仿宋_GB2312" w:eastAsia="仿宋_GB2312"/>
                <w:color w:val="000000"/>
              </w:rPr>
              <w:t>局部属施工整平区，地形总体较平缓，未见滑坡、泥石流、危岩、崩塌、地表塌陷等不良地质现象，</w:t>
            </w:r>
            <w:r>
              <w:rPr>
                <w:rFonts w:hint="eastAsia" w:ascii="仿宋_GB2312" w:hAnsi="宋体" w:eastAsia="仿宋_GB2312" w:cs="宋体"/>
                <w:kern w:val="0"/>
                <w:sz w:val="24"/>
              </w:rPr>
              <w:t>场地现状稳定。</w:t>
            </w:r>
          </w:p>
        </w:tc>
        <w:tc>
          <w:tcPr>
            <w:tcW w:w="4691" w:type="dxa"/>
            <w:tcBorders>
              <w:top w:val="single" w:color="auto"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仿宋_GB2312"/>
                <w:color w:val="000000"/>
                <w:kern w:val="0"/>
                <w:sz w:val="24"/>
                <w:lang w:bidi="ar"/>
              </w:rPr>
              <w:t>在道路南侧形成填方边坡</w:t>
            </w:r>
          </w:p>
        </w:tc>
        <w:tc>
          <w:tcPr>
            <w:tcW w:w="3657" w:type="dxa"/>
            <w:tcBorders>
              <w:top w:val="single" w:color="auto" w:sz="4" w:space="0"/>
              <w:bottom w:val="single" w:color="000000"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建设过程中形成的边坡应放坡或修建挡墙。</w:t>
            </w:r>
          </w:p>
        </w:tc>
      </w:tr>
      <w:tr>
        <w:tblPrEx>
          <w:tblCellMar>
            <w:top w:w="15" w:type="dxa"/>
            <w:left w:w="15" w:type="dxa"/>
            <w:bottom w:w="15" w:type="dxa"/>
            <w:right w:w="15" w:type="dxa"/>
          </w:tblCellMar>
        </w:tblPrEx>
        <w:trPr>
          <w:trHeight w:val="955" w:hRule="atLeast"/>
        </w:trPr>
        <w:tc>
          <w:tcPr>
            <w:tcW w:w="8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3</w:t>
            </w:r>
          </w:p>
        </w:tc>
        <w:tc>
          <w:tcPr>
            <w:tcW w:w="133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3#</w:t>
            </w:r>
          </w:p>
        </w:tc>
        <w:tc>
          <w:tcPr>
            <w:tcW w:w="1552" w:type="dxa"/>
            <w:tcBorders>
              <w:left w:val="single" w:color="auto"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A1</w:t>
            </w:r>
          </w:p>
        </w:tc>
        <w:tc>
          <w:tcPr>
            <w:tcW w:w="9002" w:type="dxa"/>
            <w:tcBorders>
              <w:bottom w:val="single" w:color="000000"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eastAsia="仿宋_GB2312"/>
                <w:color w:val="000000"/>
              </w:rPr>
              <w:t>多为原始地形，</w:t>
            </w:r>
            <w:r>
              <w:rPr>
                <w:rFonts w:hint="eastAsia" w:ascii="仿宋_GB2312" w:eastAsia="仿宋_GB2312"/>
                <w:szCs w:val="36"/>
              </w:rPr>
              <w:t>地形总体坡角＜15°，</w:t>
            </w:r>
            <w:r>
              <w:rPr>
                <w:rFonts w:hint="eastAsia" w:ascii="仿宋_GB2312" w:eastAsia="仿宋_GB2312"/>
                <w:color w:val="000000"/>
              </w:rPr>
              <w:t>局部属施工整平区，地形总体较平缓整，未见滑坡、泥石流、危岩、崩塌、地表塌陷等不良地质现象，</w:t>
            </w:r>
            <w:r>
              <w:rPr>
                <w:rFonts w:hint="eastAsia" w:ascii="仿宋_GB2312" w:hAnsi="宋体" w:eastAsia="仿宋_GB2312" w:cs="宋体"/>
                <w:kern w:val="0"/>
                <w:sz w:val="24"/>
              </w:rPr>
              <w:t>场地现状稳定。</w:t>
            </w:r>
          </w:p>
        </w:tc>
        <w:tc>
          <w:tcPr>
            <w:tcW w:w="4691" w:type="dxa"/>
            <w:tcBorders>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仿宋_GB2312"/>
                <w:color w:val="000000"/>
                <w:kern w:val="0"/>
                <w:sz w:val="24"/>
                <w:lang w:bidi="ar"/>
              </w:rPr>
              <w:t>在道路南侧和北侧形成填方边坡</w:t>
            </w:r>
          </w:p>
        </w:tc>
        <w:tc>
          <w:tcPr>
            <w:tcW w:w="3657" w:type="dxa"/>
            <w:tcBorders>
              <w:bottom w:val="single" w:color="000000"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建设过程中形成的边坡应放坡或修建挡墙。</w:t>
            </w:r>
          </w:p>
        </w:tc>
      </w:tr>
      <w:tr>
        <w:tblPrEx>
          <w:tblCellMar>
            <w:top w:w="15" w:type="dxa"/>
            <w:left w:w="15" w:type="dxa"/>
            <w:bottom w:w="15" w:type="dxa"/>
            <w:right w:w="15" w:type="dxa"/>
          </w:tblCellMar>
        </w:tblPrEx>
        <w:trPr>
          <w:trHeight w:val="857" w:hRule="atLeast"/>
        </w:trPr>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 w:val="24"/>
              </w:rPr>
            </w:pPr>
            <w:r>
              <w:rPr>
                <w:rFonts w:hint="eastAsia" w:ascii="仿宋_GB2312" w:hAnsi="宋体" w:eastAsia="仿宋_GB2312" w:cs="宋体"/>
                <w:kern w:val="0"/>
                <w:sz w:val="24"/>
              </w:rPr>
              <w:t>4</w:t>
            </w:r>
          </w:p>
        </w:tc>
        <w:tc>
          <w:tcPr>
            <w:tcW w:w="133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 w:val="24"/>
              </w:rPr>
            </w:pPr>
            <w:r>
              <w:rPr>
                <w:rFonts w:hint="eastAsia" w:ascii="仿宋_GB2312" w:hAnsi="宋体" w:eastAsia="仿宋_GB2312" w:cs="宋体"/>
                <w:kern w:val="0"/>
                <w:sz w:val="24"/>
              </w:rPr>
              <w:t>4#</w:t>
            </w:r>
          </w:p>
        </w:tc>
        <w:tc>
          <w:tcPr>
            <w:tcW w:w="1552" w:type="dxa"/>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A1</w:t>
            </w:r>
          </w:p>
        </w:tc>
        <w:tc>
          <w:tcPr>
            <w:tcW w:w="9002" w:type="dxa"/>
            <w:tcBorders>
              <w:top w:val="single" w:color="auto" w:sz="4" w:space="0"/>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eastAsia="仿宋_GB2312"/>
                <w:color w:val="000000"/>
              </w:rPr>
              <w:t>多为原始地形，</w:t>
            </w:r>
            <w:r>
              <w:rPr>
                <w:rFonts w:hint="eastAsia" w:ascii="仿宋_GB2312" w:eastAsia="仿宋_GB2312"/>
                <w:szCs w:val="36"/>
              </w:rPr>
              <w:t>地形总体坡角＜15°，</w:t>
            </w:r>
            <w:r>
              <w:rPr>
                <w:rFonts w:hint="eastAsia" w:ascii="仿宋_GB2312" w:eastAsia="仿宋_GB2312"/>
                <w:color w:val="000000"/>
              </w:rPr>
              <w:t>局部属施工整平区，地形总体较平缓，未见滑坡、泥石流、危岩、崩塌、地表塌陷等不良地质现象，</w:t>
            </w:r>
            <w:r>
              <w:rPr>
                <w:rFonts w:hint="eastAsia" w:ascii="仿宋_GB2312" w:hAnsi="宋体" w:eastAsia="仿宋_GB2312" w:cs="宋体"/>
                <w:kern w:val="0"/>
                <w:sz w:val="24"/>
              </w:rPr>
              <w:t>场地现状稳定。</w:t>
            </w:r>
          </w:p>
        </w:tc>
        <w:tc>
          <w:tcPr>
            <w:tcW w:w="4691" w:type="dxa"/>
            <w:tcBorders>
              <w:top w:val="single" w:color="auto" w:sz="4" w:space="0"/>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仿宋_GB2312"/>
                <w:color w:val="000000"/>
                <w:kern w:val="0"/>
                <w:sz w:val="24"/>
                <w:lang w:bidi="ar"/>
              </w:rPr>
              <w:t>在道路西侧形成挖方边坡</w:t>
            </w:r>
          </w:p>
        </w:tc>
        <w:tc>
          <w:tcPr>
            <w:tcW w:w="3657" w:type="dxa"/>
            <w:tcBorders>
              <w:top w:val="single" w:color="auto" w:sz="4" w:space="0"/>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建设过程中形成的边坡应放坡或修建挡墙。</w:t>
            </w:r>
          </w:p>
        </w:tc>
      </w:tr>
      <w:tr>
        <w:tblPrEx>
          <w:tblCellMar>
            <w:top w:w="15" w:type="dxa"/>
            <w:left w:w="15" w:type="dxa"/>
            <w:bottom w:w="15" w:type="dxa"/>
            <w:right w:w="15" w:type="dxa"/>
          </w:tblCellMar>
        </w:tblPrEx>
        <w:trPr>
          <w:trHeight w:val="857" w:hRule="atLeast"/>
        </w:trPr>
        <w:tc>
          <w:tcPr>
            <w:tcW w:w="84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 w:val="24"/>
              </w:rPr>
            </w:pPr>
            <w:r>
              <w:rPr>
                <w:rFonts w:hint="eastAsia" w:ascii="仿宋_GB2312" w:hAnsi="宋体" w:eastAsia="仿宋_GB2312" w:cs="宋体"/>
                <w:kern w:val="0"/>
                <w:sz w:val="24"/>
              </w:rPr>
              <w:t>5</w:t>
            </w:r>
          </w:p>
        </w:tc>
        <w:tc>
          <w:tcPr>
            <w:tcW w:w="133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 w:val="24"/>
              </w:rPr>
            </w:pPr>
            <w:r>
              <w:rPr>
                <w:rFonts w:hint="eastAsia" w:ascii="仿宋_GB2312" w:hAnsi="宋体" w:eastAsia="仿宋_GB2312" w:cs="宋体"/>
                <w:kern w:val="0"/>
                <w:sz w:val="24"/>
              </w:rPr>
              <w:t>5#</w:t>
            </w:r>
          </w:p>
        </w:tc>
        <w:tc>
          <w:tcPr>
            <w:tcW w:w="1552" w:type="dxa"/>
            <w:tcBorders>
              <w:top w:val="single" w:color="auto" w:sz="4" w:space="0"/>
              <w:left w:val="single" w:color="auto" w:sz="4" w:space="0"/>
              <w:bottom w:val="single" w:color="000000" w:sz="4" w:space="0"/>
              <w:right w:val="single" w:color="000000" w:sz="4" w:space="0"/>
            </w:tcBorders>
            <w:vAlign w:val="center"/>
          </w:tcPr>
          <w:p>
            <w:pPr>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A1</w:t>
            </w:r>
          </w:p>
        </w:tc>
        <w:tc>
          <w:tcPr>
            <w:tcW w:w="9002" w:type="dxa"/>
            <w:tcBorders>
              <w:top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eastAsia="仿宋_GB2312"/>
                <w:color w:val="000000"/>
              </w:rPr>
              <w:t>多为原始地形，</w:t>
            </w:r>
            <w:r>
              <w:rPr>
                <w:rFonts w:hint="eastAsia" w:ascii="仿宋_GB2312" w:eastAsia="仿宋_GB2312"/>
                <w:szCs w:val="36"/>
              </w:rPr>
              <w:t>地形总体坡角＜15°，</w:t>
            </w:r>
            <w:r>
              <w:rPr>
                <w:rFonts w:hint="eastAsia" w:ascii="仿宋_GB2312" w:eastAsia="仿宋_GB2312"/>
                <w:color w:val="000000"/>
              </w:rPr>
              <w:t>局部属施工整平区，地形总体较平缓，未见滑坡、泥石流、危岩、崩塌、地表塌陷等不良地质现象，</w:t>
            </w:r>
            <w:r>
              <w:rPr>
                <w:rFonts w:hint="eastAsia" w:ascii="仿宋_GB2312" w:hAnsi="宋体" w:eastAsia="仿宋_GB2312" w:cs="宋体"/>
                <w:kern w:val="0"/>
                <w:sz w:val="24"/>
              </w:rPr>
              <w:t>场地现状稳定。</w:t>
            </w:r>
          </w:p>
        </w:tc>
        <w:tc>
          <w:tcPr>
            <w:tcW w:w="4691" w:type="dxa"/>
            <w:tcBorders>
              <w:top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仿宋_GB2312"/>
                <w:color w:val="000000"/>
                <w:kern w:val="0"/>
                <w:sz w:val="24"/>
                <w:lang w:bidi="ar"/>
              </w:rPr>
              <w:t>在道路南侧和北侧形成填方边坡</w:t>
            </w:r>
          </w:p>
        </w:tc>
        <w:tc>
          <w:tcPr>
            <w:tcW w:w="3657" w:type="dxa"/>
            <w:tcBorders>
              <w:top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建设过程中形成的边坡应放坡或修建挡墙。</w:t>
            </w:r>
          </w:p>
        </w:tc>
      </w:tr>
      <w:tr>
        <w:tblPrEx>
          <w:tblCellMar>
            <w:top w:w="15" w:type="dxa"/>
            <w:left w:w="15" w:type="dxa"/>
            <w:bottom w:w="15" w:type="dxa"/>
            <w:right w:w="15" w:type="dxa"/>
          </w:tblCellMar>
        </w:tblPrEx>
        <w:trPr>
          <w:trHeight w:val="857" w:hRule="atLeast"/>
        </w:trPr>
        <w:tc>
          <w:tcPr>
            <w:tcW w:w="844"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6</w:t>
            </w:r>
          </w:p>
        </w:tc>
        <w:tc>
          <w:tcPr>
            <w:tcW w:w="1331" w:type="dxa"/>
            <w:tcBorders>
              <w:top w:val="single" w:color="auto" w:sz="4" w:space="0"/>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6#</w:t>
            </w:r>
          </w:p>
        </w:tc>
        <w:tc>
          <w:tcPr>
            <w:tcW w:w="1552" w:type="dxa"/>
            <w:tcBorders>
              <w:bottom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A1</w:t>
            </w:r>
          </w:p>
        </w:tc>
        <w:tc>
          <w:tcPr>
            <w:tcW w:w="9002" w:type="dxa"/>
            <w:tcBorders>
              <w:top w:val="single" w:color="000000" w:sz="4" w:space="0"/>
              <w:left w:val="single" w:color="000000" w:sz="4" w:space="0"/>
              <w:bottom w:val="single" w:color="000000"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eastAsia="仿宋_GB2312"/>
                <w:color w:val="000000"/>
              </w:rPr>
              <w:t>多为原始地形，</w:t>
            </w:r>
            <w:r>
              <w:rPr>
                <w:rFonts w:hint="eastAsia" w:ascii="仿宋_GB2312" w:eastAsia="仿宋_GB2312"/>
                <w:szCs w:val="36"/>
              </w:rPr>
              <w:t>地形总体坡角＜15°，</w:t>
            </w:r>
            <w:r>
              <w:rPr>
                <w:rFonts w:hint="eastAsia" w:ascii="仿宋_GB2312" w:eastAsia="仿宋_GB2312"/>
                <w:color w:val="000000"/>
              </w:rPr>
              <w:t>局部属施工整平区，地形总体较平缓，未见滑坡、泥石流、危岩、崩塌、地表塌陷等不良地质现象，</w:t>
            </w:r>
            <w:r>
              <w:rPr>
                <w:rFonts w:hint="eastAsia" w:ascii="仿宋_GB2312" w:hAnsi="宋体" w:eastAsia="仿宋_GB2312" w:cs="宋体"/>
                <w:kern w:val="0"/>
                <w:sz w:val="24"/>
              </w:rPr>
              <w:t>场地现状稳定。</w:t>
            </w:r>
          </w:p>
        </w:tc>
        <w:tc>
          <w:tcPr>
            <w:tcW w:w="46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仿宋_GB2312"/>
                <w:color w:val="000000"/>
                <w:kern w:val="0"/>
                <w:sz w:val="24"/>
                <w:lang w:bidi="ar"/>
              </w:rPr>
              <w:t>在道路东侧形成挖方边坡</w:t>
            </w:r>
          </w:p>
        </w:tc>
        <w:tc>
          <w:tcPr>
            <w:tcW w:w="3657" w:type="dxa"/>
            <w:tcBorders>
              <w:top w:val="single" w:color="000000" w:sz="4" w:space="0"/>
              <w:left w:val="single" w:color="000000" w:sz="4" w:space="0"/>
              <w:bottom w:val="single" w:color="000000"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建设过程中形成的边坡应放坡或修建挡墙。</w:t>
            </w:r>
          </w:p>
        </w:tc>
      </w:tr>
      <w:tr>
        <w:tblPrEx>
          <w:tblCellMar>
            <w:top w:w="15" w:type="dxa"/>
            <w:left w:w="15" w:type="dxa"/>
            <w:bottom w:w="15" w:type="dxa"/>
            <w:right w:w="15" w:type="dxa"/>
          </w:tblCellMar>
        </w:tblPrEx>
        <w:trPr>
          <w:trHeight w:val="857" w:hRule="atLeast"/>
        </w:trPr>
        <w:tc>
          <w:tcPr>
            <w:tcW w:w="8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7</w:t>
            </w:r>
          </w:p>
        </w:tc>
        <w:tc>
          <w:tcPr>
            <w:tcW w:w="133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7#</w:t>
            </w:r>
          </w:p>
        </w:tc>
        <w:tc>
          <w:tcPr>
            <w:tcW w:w="1552" w:type="dxa"/>
            <w:tcBorders>
              <w:left w:val="single" w:color="auto" w:sz="4" w:space="0"/>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A1</w:t>
            </w:r>
          </w:p>
        </w:tc>
        <w:tc>
          <w:tcPr>
            <w:tcW w:w="9002" w:type="dxa"/>
            <w:tcBorders>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eastAsia="仿宋_GB2312"/>
                <w:color w:val="000000"/>
              </w:rPr>
              <w:t>多为原始地形，</w:t>
            </w:r>
            <w:r>
              <w:rPr>
                <w:rFonts w:hint="eastAsia" w:ascii="仿宋_GB2312" w:eastAsia="仿宋_GB2312"/>
                <w:szCs w:val="36"/>
              </w:rPr>
              <w:t>地形总体坡角＜15°，</w:t>
            </w:r>
            <w:r>
              <w:rPr>
                <w:rFonts w:hint="eastAsia" w:ascii="仿宋_GB2312" w:eastAsia="仿宋_GB2312"/>
                <w:color w:val="000000"/>
              </w:rPr>
              <w:t>局部属施工整平区，地形总体较平缓，未见滑坡、泥石流、危岩、崩塌、地表塌陷等不良地质现象，</w:t>
            </w:r>
            <w:r>
              <w:rPr>
                <w:rFonts w:hint="eastAsia" w:ascii="仿宋_GB2312" w:hAnsi="宋体" w:eastAsia="仿宋_GB2312" w:cs="宋体"/>
                <w:kern w:val="0"/>
                <w:sz w:val="24"/>
              </w:rPr>
              <w:t>场地现状稳定。</w:t>
            </w:r>
          </w:p>
        </w:tc>
        <w:tc>
          <w:tcPr>
            <w:tcW w:w="4691" w:type="dxa"/>
            <w:tcBorders>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仿宋_GB2312"/>
                <w:color w:val="000000"/>
                <w:kern w:val="0"/>
                <w:sz w:val="24"/>
                <w:lang w:bidi="ar"/>
              </w:rPr>
              <w:t>在道路北侧形成挖方边坡</w:t>
            </w:r>
          </w:p>
        </w:tc>
        <w:tc>
          <w:tcPr>
            <w:tcW w:w="3657" w:type="dxa"/>
            <w:tcBorders>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建设过程中形成的边坡应放坡或修建挡墙。</w:t>
            </w:r>
          </w:p>
        </w:tc>
      </w:tr>
      <w:tr>
        <w:tblPrEx>
          <w:tblCellMar>
            <w:top w:w="15" w:type="dxa"/>
            <w:left w:w="15" w:type="dxa"/>
            <w:bottom w:w="15" w:type="dxa"/>
            <w:right w:w="15" w:type="dxa"/>
          </w:tblCellMar>
        </w:tblPrEx>
        <w:trPr>
          <w:trHeight w:val="939" w:hRule="atLeast"/>
        </w:trPr>
        <w:tc>
          <w:tcPr>
            <w:tcW w:w="844"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8</w:t>
            </w:r>
          </w:p>
        </w:tc>
        <w:tc>
          <w:tcPr>
            <w:tcW w:w="1331"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8#</w:t>
            </w:r>
          </w:p>
        </w:tc>
        <w:tc>
          <w:tcPr>
            <w:tcW w:w="1552" w:type="dxa"/>
            <w:tcBorders>
              <w:left w:val="single" w:color="auto" w:sz="4" w:space="0"/>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A1</w:t>
            </w:r>
          </w:p>
        </w:tc>
        <w:tc>
          <w:tcPr>
            <w:tcW w:w="9002" w:type="dxa"/>
            <w:tcBorders>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eastAsia="仿宋_GB2312"/>
                <w:color w:val="000000"/>
              </w:rPr>
              <w:t>多为原始地形，</w:t>
            </w:r>
            <w:r>
              <w:rPr>
                <w:rFonts w:hint="eastAsia" w:ascii="仿宋_GB2312" w:eastAsia="仿宋_GB2312"/>
                <w:szCs w:val="36"/>
              </w:rPr>
              <w:t>地形总体坡角＜15°，</w:t>
            </w:r>
            <w:r>
              <w:rPr>
                <w:rFonts w:hint="eastAsia" w:ascii="仿宋_GB2312" w:eastAsia="仿宋_GB2312"/>
                <w:color w:val="000000"/>
              </w:rPr>
              <w:t>局部属施工整平区，地形总体较平缓，未见滑坡、泥石流、危岩、崩塌、地表塌陷等不良地质现象，</w:t>
            </w:r>
            <w:r>
              <w:rPr>
                <w:rFonts w:hint="eastAsia" w:ascii="仿宋_GB2312" w:hAnsi="宋体" w:eastAsia="仿宋_GB2312" w:cs="宋体"/>
                <w:kern w:val="0"/>
                <w:sz w:val="24"/>
              </w:rPr>
              <w:t>场地现状稳定。</w:t>
            </w:r>
          </w:p>
        </w:tc>
        <w:tc>
          <w:tcPr>
            <w:tcW w:w="4691" w:type="dxa"/>
            <w:tcBorders>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ascii="仿宋_GB2312" w:hAnsi="宋体" w:eastAsia="仿宋_GB2312" w:cs="仿宋_GB2312"/>
                <w:color w:val="000000"/>
                <w:kern w:val="0"/>
                <w:sz w:val="24"/>
                <w:lang w:bidi="ar"/>
              </w:rPr>
              <w:t>工程建设形成</w:t>
            </w:r>
            <w:r>
              <w:rPr>
                <w:rFonts w:hint="eastAsia" w:ascii="仿宋_GB2312" w:hAnsi="宋体" w:eastAsia="仿宋_GB2312" w:cs="仿宋_GB2312"/>
                <w:color w:val="000000"/>
                <w:kern w:val="0"/>
                <w:sz w:val="24"/>
                <w:lang w:bidi="ar"/>
              </w:rPr>
              <w:t>挖填方</w:t>
            </w:r>
            <w:r>
              <w:rPr>
                <w:rFonts w:ascii="仿宋_GB2312" w:hAnsi="宋体" w:eastAsia="仿宋_GB2312" w:cs="仿宋_GB2312"/>
                <w:color w:val="000000"/>
                <w:kern w:val="0"/>
                <w:sz w:val="24"/>
                <w:lang w:bidi="ar"/>
              </w:rPr>
              <w:t>边坡稳定性</w:t>
            </w:r>
          </w:p>
        </w:tc>
        <w:tc>
          <w:tcPr>
            <w:tcW w:w="3657" w:type="dxa"/>
            <w:tcBorders>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建设过程中形成的环境边坡应及时放坡或修建挡墙。</w:t>
            </w:r>
          </w:p>
        </w:tc>
      </w:tr>
      <w:tr>
        <w:tblPrEx>
          <w:tblCellMar>
            <w:top w:w="15" w:type="dxa"/>
            <w:left w:w="15" w:type="dxa"/>
            <w:bottom w:w="15" w:type="dxa"/>
            <w:right w:w="15" w:type="dxa"/>
          </w:tblCellMar>
        </w:tblPrEx>
        <w:trPr>
          <w:trHeight w:val="922" w:hRule="atLeast"/>
        </w:trPr>
        <w:tc>
          <w:tcPr>
            <w:tcW w:w="844" w:type="dxa"/>
            <w:vMerge w:val="continue"/>
            <w:tcBorders>
              <w:left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p>
        </w:tc>
        <w:tc>
          <w:tcPr>
            <w:tcW w:w="1331" w:type="dxa"/>
            <w:vMerge w:val="continue"/>
            <w:tcBorders>
              <w:left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p>
        </w:tc>
        <w:tc>
          <w:tcPr>
            <w:tcW w:w="1552" w:type="dxa"/>
            <w:tcBorders>
              <w:left w:val="single" w:color="auto" w:sz="4" w:space="0"/>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B1</w:t>
            </w:r>
          </w:p>
        </w:tc>
        <w:tc>
          <w:tcPr>
            <w:tcW w:w="9002" w:type="dxa"/>
            <w:tcBorders>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等线" w:eastAsia="仿宋_GB2312"/>
                <w:szCs w:val="21"/>
              </w:rPr>
              <w:t>岩层产状一般16-22°，地形坡度角大于15°。残坡积土厚度一般1-2m，岩层面切向不临空或反向，斜坡现状稳定。</w:t>
            </w:r>
          </w:p>
        </w:tc>
        <w:tc>
          <w:tcPr>
            <w:tcW w:w="4691" w:type="dxa"/>
            <w:tcBorders>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仿宋_GB2312"/>
                <w:color w:val="000000"/>
                <w:kern w:val="0"/>
                <w:sz w:val="24"/>
                <w:lang w:bidi="ar"/>
              </w:rPr>
              <w:t>在道路南东侧形成挖方边坡</w:t>
            </w:r>
          </w:p>
        </w:tc>
        <w:tc>
          <w:tcPr>
            <w:tcW w:w="3657" w:type="dxa"/>
            <w:tcBorders>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建设过程中形成的环境边坡应及时放坡或修建挡墙。</w:t>
            </w:r>
          </w:p>
        </w:tc>
      </w:tr>
      <w:tr>
        <w:tblPrEx>
          <w:tblCellMar>
            <w:top w:w="15" w:type="dxa"/>
            <w:left w:w="15" w:type="dxa"/>
            <w:bottom w:w="15" w:type="dxa"/>
            <w:right w:w="15" w:type="dxa"/>
          </w:tblCellMar>
        </w:tblPrEx>
        <w:trPr>
          <w:trHeight w:val="922" w:hRule="atLeast"/>
        </w:trPr>
        <w:tc>
          <w:tcPr>
            <w:tcW w:w="844"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p>
        </w:tc>
        <w:tc>
          <w:tcPr>
            <w:tcW w:w="1331"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p>
        </w:tc>
        <w:tc>
          <w:tcPr>
            <w:tcW w:w="1552" w:type="dxa"/>
            <w:tcBorders>
              <w:left w:val="single" w:color="auto" w:sz="4" w:space="0"/>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B2</w:t>
            </w:r>
          </w:p>
        </w:tc>
        <w:tc>
          <w:tcPr>
            <w:tcW w:w="9002" w:type="dxa"/>
            <w:tcBorders>
              <w:bottom w:val="single" w:color="auto" w:sz="4" w:space="0"/>
              <w:right w:val="single" w:color="000000" w:sz="4" w:space="0"/>
            </w:tcBorders>
            <w:vAlign w:val="center"/>
          </w:tcPr>
          <w:p>
            <w:pPr>
              <w:widowControl/>
              <w:spacing w:before="240"/>
              <w:jc w:val="center"/>
              <w:rPr>
                <w:rFonts w:ascii="仿宋_GB2312" w:eastAsia="仿宋_GB2312"/>
                <w:color w:val="000000"/>
              </w:rPr>
            </w:pPr>
            <w:r>
              <w:rPr>
                <w:rFonts w:hint="eastAsia" w:ascii="仿宋_GB2312" w:hAnsi="等线" w:eastAsia="仿宋_GB2312"/>
                <w:szCs w:val="21"/>
              </w:rPr>
              <w:t>岩层产状一般23°，地形坡度角一般15-25°。残坡积土厚度一般1-2m，岩层面局部顺向临空，岩层倾角18°。斜坡现状稳定。</w:t>
            </w:r>
          </w:p>
        </w:tc>
        <w:tc>
          <w:tcPr>
            <w:tcW w:w="4691" w:type="dxa"/>
            <w:tcBorders>
              <w:bottom w:val="single" w:color="auto" w:sz="4" w:space="0"/>
              <w:right w:val="single" w:color="000000" w:sz="4" w:space="0"/>
            </w:tcBorders>
            <w:vAlign w:val="center"/>
          </w:tcPr>
          <w:p>
            <w:pPr>
              <w:widowControl/>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在道路南东侧形成的顺向边坡</w:t>
            </w:r>
          </w:p>
        </w:tc>
        <w:tc>
          <w:tcPr>
            <w:tcW w:w="3657" w:type="dxa"/>
            <w:tcBorders>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建议形成的顺向边坡采用抗滑支</w:t>
            </w:r>
            <w:r>
              <w:rPr>
                <w:rFonts w:hint="eastAsia" w:ascii="仿宋_GB2312" w:hAnsi="宋体" w:eastAsia="仿宋_GB2312" w:cs="宋体"/>
                <w:kern w:val="0"/>
                <w:sz w:val="24"/>
                <w:lang w:val="en-US" w:eastAsia="zh-CN"/>
              </w:rPr>
              <w:t>挡或顺层放坡</w:t>
            </w:r>
            <w:r>
              <w:rPr>
                <w:rFonts w:hint="eastAsia" w:ascii="仿宋_GB2312" w:hAnsi="宋体" w:eastAsia="仿宋_GB2312" w:cs="宋体"/>
                <w:kern w:val="0"/>
                <w:sz w:val="24"/>
              </w:rPr>
              <w:t>。</w:t>
            </w:r>
          </w:p>
        </w:tc>
      </w:tr>
      <w:tr>
        <w:tblPrEx>
          <w:tblCellMar>
            <w:top w:w="15" w:type="dxa"/>
            <w:left w:w="15" w:type="dxa"/>
            <w:bottom w:w="15" w:type="dxa"/>
            <w:right w:w="15" w:type="dxa"/>
          </w:tblCellMar>
        </w:tblPrEx>
        <w:trPr>
          <w:trHeight w:val="922" w:hRule="atLeast"/>
        </w:trPr>
        <w:tc>
          <w:tcPr>
            <w:tcW w:w="844" w:type="dxa"/>
            <w:vMerge w:val="restart"/>
            <w:tcBorders>
              <w:left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9</w:t>
            </w:r>
          </w:p>
        </w:tc>
        <w:tc>
          <w:tcPr>
            <w:tcW w:w="1331" w:type="dxa"/>
            <w:vMerge w:val="restart"/>
            <w:tcBorders>
              <w:left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9#</w:t>
            </w:r>
          </w:p>
        </w:tc>
        <w:tc>
          <w:tcPr>
            <w:tcW w:w="1552" w:type="dxa"/>
            <w:tcBorders>
              <w:left w:val="single" w:color="auto" w:sz="4" w:space="0"/>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A1</w:t>
            </w:r>
          </w:p>
        </w:tc>
        <w:tc>
          <w:tcPr>
            <w:tcW w:w="9002" w:type="dxa"/>
            <w:tcBorders>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多为原始地形，地形总体坡角＜15°，局部属施工整平区，地形总体较平缓。未见滑坡、泥石流、危岩、崩塌、地表塌陷等不良地质现象，场地现状稳定。</w:t>
            </w:r>
          </w:p>
        </w:tc>
        <w:tc>
          <w:tcPr>
            <w:tcW w:w="4691" w:type="dxa"/>
            <w:tcBorders>
              <w:bottom w:val="single" w:color="auto" w:sz="4" w:space="0"/>
              <w:right w:val="single" w:color="000000" w:sz="4" w:space="0"/>
            </w:tcBorders>
            <w:vAlign w:val="center"/>
          </w:tcPr>
          <w:p>
            <w:pPr>
              <w:widowControl/>
              <w:jc w:val="center"/>
              <w:textAlignment w:val="center"/>
              <w:rPr>
                <w:rFonts w:ascii="仿宋_GB2312" w:hAnsi="宋体" w:eastAsia="仿宋_GB2312" w:cs="仿宋_GB2312"/>
                <w:color w:val="000000"/>
                <w:kern w:val="0"/>
                <w:sz w:val="24"/>
                <w:lang w:bidi="ar"/>
              </w:rPr>
            </w:pPr>
            <w:r>
              <w:rPr>
                <w:rFonts w:ascii="仿宋_GB2312" w:hAnsi="宋体" w:eastAsia="仿宋_GB2312" w:cs="仿宋_GB2312"/>
                <w:color w:val="000000"/>
                <w:kern w:val="0"/>
                <w:sz w:val="24"/>
                <w:lang w:bidi="ar"/>
              </w:rPr>
              <w:t>工程建设形成</w:t>
            </w:r>
            <w:r>
              <w:rPr>
                <w:rFonts w:hint="eastAsia" w:ascii="仿宋_GB2312" w:hAnsi="宋体" w:eastAsia="仿宋_GB2312" w:cs="仿宋_GB2312"/>
                <w:color w:val="000000"/>
                <w:kern w:val="0"/>
                <w:sz w:val="24"/>
                <w:lang w:bidi="ar"/>
              </w:rPr>
              <w:t>挖填方</w:t>
            </w:r>
            <w:r>
              <w:rPr>
                <w:rFonts w:ascii="仿宋_GB2312" w:hAnsi="宋体" w:eastAsia="仿宋_GB2312" w:cs="仿宋_GB2312"/>
                <w:color w:val="000000"/>
                <w:kern w:val="0"/>
                <w:sz w:val="24"/>
                <w:lang w:bidi="ar"/>
              </w:rPr>
              <w:t>边坡稳定性</w:t>
            </w:r>
          </w:p>
        </w:tc>
        <w:tc>
          <w:tcPr>
            <w:tcW w:w="3657" w:type="dxa"/>
            <w:tcBorders>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建设过程中形成的环境边坡应及时放坡或修建挡墙。</w:t>
            </w:r>
          </w:p>
        </w:tc>
      </w:tr>
      <w:tr>
        <w:tblPrEx>
          <w:tblCellMar>
            <w:top w:w="15" w:type="dxa"/>
            <w:left w:w="15" w:type="dxa"/>
            <w:bottom w:w="15" w:type="dxa"/>
            <w:right w:w="15" w:type="dxa"/>
          </w:tblCellMar>
        </w:tblPrEx>
        <w:trPr>
          <w:trHeight w:val="922" w:hRule="atLeast"/>
        </w:trPr>
        <w:tc>
          <w:tcPr>
            <w:tcW w:w="844"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p>
        </w:tc>
        <w:tc>
          <w:tcPr>
            <w:tcW w:w="1331"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p>
        </w:tc>
        <w:tc>
          <w:tcPr>
            <w:tcW w:w="1552" w:type="dxa"/>
            <w:tcBorders>
              <w:left w:val="single" w:color="auto" w:sz="4" w:space="0"/>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B1</w:t>
            </w:r>
          </w:p>
        </w:tc>
        <w:tc>
          <w:tcPr>
            <w:tcW w:w="9002" w:type="dxa"/>
            <w:tcBorders>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多为原始地形，地形总体坡角≥15°，＜30°，土层厚度＜1-2m，基岩局部出露。未见滑坡、泥石流、危岩、崩塌、地表塌陷等不良地质现象，场地现状稳定。</w:t>
            </w:r>
          </w:p>
        </w:tc>
        <w:tc>
          <w:tcPr>
            <w:tcW w:w="4691" w:type="dxa"/>
            <w:tcBorders>
              <w:bottom w:val="single" w:color="auto" w:sz="4" w:space="0"/>
              <w:right w:val="single" w:color="000000" w:sz="4" w:space="0"/>
            </w:tcBorders>
            <w:vAlign w:val="center"/>
          </w:tcPr>
          <w:p>
            <w:pPr>
              <w:widowControl/>
              <w:jc w:val="center"/>
              <w:textAlignment w:val="center"/>
              <w:rPr>
                <w:rFonts w:ascii="仿宋_GB2312" w:hAnsi="宋体" w:eastAsia="仿宋_GB2312" w:cs="仿宋_GB2312"/>
                <w:color w:val="000000"/>
                <w:kern w:val="0"/>
                <w:sz w:val="24"/>
                <w:lang w:bidi="ar"/>
              </w:rPr>
            </w:pPr>
            <w:r>
              <w:rPr>
                <w:rFonts w:ascii="仿宋_GB2312" w:hAnsi="宋体" w:eastAsia="仿宋_GB2312" w:cs="仿宋_GB2312"/>
                <w:color w:val="000000"/>
                <w:kern w:val="0"/>
                <w:sz w:val="24"/>
                <w:lang w:bidi="ar"/>
              </w:rPr>
              <w:t>工程建设形成</w:t>
            </w:r>
            <w:r>
              <w:rPr>
                <w:rFonts w:hint="eastAsia" w:ascii="仿宋_GB2312" w:hAnsi="宋体" w:eastAsia="仿宋_GB2312" w:cs="仿宋_GB2312"/>
                <w:color w:val="000000"/>
                <w:kern w:val="0"/>
                <w:sz w:val="24"/>
                <w:lang w:bidi="ar"/>
              </w:rPr>
              <w:t>挖填方</w:t>
            </w:r>
            <w:r>
              <w:rPr>
                <w:rFonts w:ascii="仿宋_GB2312" w:hAnsi="宋体" w:eastAsia="仿宋_GB2312" w:cs="仿宋_GB2312"/>
                <w:color w:val="000000"/>
                <w:kern w:val="0"/>
                <w:sz w:val="24"/>
                <w:lang w:bidi="ar"/>
              </w:rPr>
              <w:t>边坡稳定性</w:t>
            </w:r>
          </w:p>
        </w:tc>
        <w:tc>
          <w:tcPr>
            <w:tcW w:w="3657" w:type="dxa"/>
            <w:tcBorders>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建设过程中形成的环境边坡应及时放坡或修建挡墙。</w:t>
            </w:r>
          </w:p>
        </w:tc>
      </w:tr>
      <w:tr>
        <w:tblPrEx>
          <w:tblCellMar>
            <w:top w:w="15" w:type="dxa"/>
            <w:left w:w="15" w:type="dxa"/>
            <w:bottom w:w="15" w:type="dxa"/>
            <w:right w:w="15" w:type="dxa"/>
          </w:tblCellMar>
        </w:tblPrEx>
        <w:trPr>
          <w:trHeight w:val="922" w:hRule="atLeast"/>
        </w:trPr>
        <w:tc>
          <w:tcPr>
            <w:tcW w:w="844" w:type="dxa"/>
            <w:tcBorders>
              <w:left w:val="single" w:color="auto" w:sz="4" w:space="0"/>
              <w:bottom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10</w:t>
            </w:r>
          </w:p>
        </w:tc>
        <w:tc>
          <w:tcPr>
            <w:tcW w:w="1331" w:type="dxa"/>
            <w:tcBorders>
              <w:left w:val="single" w:color="auto" w:sz="4" w:space="0"/>
              <w:bottom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10#</w:t>
            </w:r>
          </w:p>
        </w:tc>
        <w:tc>
          <w:tcPr>
            <w:tcW w:w="1552" w:type="dxa"/>
            <w:tcBorders>
              <w:left w:val="single" w:color="auto" w:sz="4" w:space="0"/>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B2</w:t>
            </w:r>
          </w:p>
        </w:tc>
        <w:tc>
          <w:tcPr>
            <w:tcW w:w="9002" w:type="dxa"/>
            <w:tcBorders>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多为原始地形，地形总体坡角≥15°，＜30°，土层厚度1-2m，基岩局部出露，存在外倾临空结构面，外倾临空，倾角＜20°，≥10°。未见滑坡、泥石流、危岩、崩塌、地表塌陷等不良地质现象，场地现状稳定。</w:t>
            </w:r>
          </w:p>
        </w:tc>
        <w:tc>
          <w:tcPr>
            <w:tcW w:w="4691" w:type="dxa"/>
            <w:tcBorders>
              <w:bottom w:val="single" w:color="auto" w:sz="4" w:space="0"/>
              <w:right w:val="single" w:color="000000" w:sz="4" w:space="0"/>
            </w:tcBorders>
            <w:vAlign w:val="center"/>
          </w:tcPr>
          <w:p>
            <w:pPr>
              <w:widowControl/>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在道路南西侧形成的挖方边坡</w:t>
            </w:r>
          </w:p>
        </w:tc>
        <w:tc>
          <w:tcPr>
            <w:tcW w:w="3657" w:type="dxa"/>
            <w:tcBorders>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建议形成的挖方边坡采用放坡或挡墙支护。</w:t>
            </w:r>
          </w:p>
        </w:tc>
      </w:tr>
      <w:tr>
        <w:tblPrEx>
          <w:tblCellMar>
            <w:top w:w="15" w:type="dxa"/>
            <w:left w:w="15" w:type="dxa"/>
            <w:bottom w:w="15" w:type="dxa"/>
            <w:right w:w="15" w:type="dxa"/>
          </w:tblCellMar>
        </w:tblPrEx>
        <w:trPr>
          <w:trHeight w:val="922" w:hRule="atLeast"/>
        </w:trPr>
        <w:tc>
          <w:tcPr>
            <w:tcW w:w="844" w:type="dxa"/>
            <w:tcBorders>
              <w:left w:val="single" w:color="auto" w:sz="4" w:space="0"/>
              <w:bottom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11</w:t>
            </w:r>
          </w:p>
        </w:tc>
        <w:tc>
          <w:tcPr>
            <w:tcW w:w="1331" w:type="dxa"/>
            <w:tcBorders>
              <w:left w:val="single" w:color="auto" w:sz="4" w:space="0"/>
              <w:bottom w:val="single" w:color="auto" w:sz="4" w:space="0"/>
              <w:right w:val="single" w:color="auto"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11#</w:t>
            </w:r>
          </w:p>
        </w:tc>
        <w:tc>
          <w:tcPr>
            <w:tcW w:w="1552" w:type="dxa"/>
            <w:tcBorders>
              <w:left w:val="single" w:color="auto" w:sz="4" w:space="0"/>
              <w:bottom w:val="single" w:color="auto" w:sz="4" w:space="0"/>
              <w:right w:val="single" w:color="000000" w:sz="4" w:space="0"/>
            </w:tcBorders>
            <w:vAlign w:val="center"/>
          </w:tcPr>
          <w:p>
            <w:pPr>
              <w:widowControl/>
              <w:jc w:val="center"/>
              <w:textAlignment w:val="center"/>
              <w:rPr>
                <w:rFonts w:ascii="仿宋_GB2312" w:hAnsi="宋体" w:eastAsia="仿宋_GB2312" w:cs="宋体"/>
                <w:kern w:val="0"/>
                <w:sz w:val="24"/>
              </w:rPr>
            </w:pPr>
            <w:r>
              <w:rPr>
                <w:rFonts w:hint="eastAsia" w:ascii="仿宋_GB2312" w:hAnsi="宋体" w:eastAsia="仿宋_GB2312" w:cs="宋体"/>
                <w:kern w:val="0"/>
                <w:sz w:val="24"/>
              </w:rPr>
              <w:t>B2</w:t>
            </w:r>
          </w:p>
        </w:tc>
        <w:tc>
          <w:tcPr>
            <w:tcW w:w="9002" w:type="dxa"/>
            <w:tcBorders>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多为原始地形，地形总体坡角≥15°，＜30°，土层厚度1-2m，基岩局部出露，存在外倾临空结构面，外倾临空，倾角＜20°，≥10°。未见滑坡、泥石流、危岩、崩塌、地表塌陷等不良地质现象，场地现状稳定。</w:t>
            </w:r>
          </w:p>
        </w:tc>
        <w:tc>
          <w:tcPr>
            <w:tcW w:w="4691" w:type="dxa"/>
            <w:tcBorders>
              <w:bottom w:val="single" w:color="auto" w:sz="4" w:space="0"/>
              <w:right w:val="single" w:color="000000" w:sz="4" w:space="0"/>
            </w:tcBorders>
            <w:vAlign w:val="center"/>
          </w:tcPr>
          <w:p>
            <w:pPr>
              <w:widowControl/>
              <w:jc w:val="center"/>
              <w:textAlignment w:val="center"/>
              <w:rPr>
                <w:rFonts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在道路南东侧形成的顺向边坡</w:t>
            </w:r>
          </w:p>
        </w:tc>
        <w:tc>
          <w:tcPr>
            <w:tcW w:w="3657" w:type="dxa"/>
            <w:tcBorders>
              <w:bottom w:val="single" w:color="auto" w:sz="4" w:space="0"/>
              <w:right w:val="single" w:color="000000" w:sz="4" w:space="0"/>
            </w:tcBorders>
            <w:vAlign w:val="center"/>
          </w:tcPr>
          <w:p>
            <w:pPr>
              <w:widowControl/>
              <w:spacing w:before="240"/>
              <w:jc w:val="center"/>
              <w:rPr>
                <w:rFonts w:ascii="仿宋_GB2312" w:hAnsi="宋体" w:eastAsia="仿宋_GB2312" w:cs="宋体"/>
                <w:kern w:val="0"/>
                <w:sz w:val="24"/>
              </w:rPr>
            </w:pPr>
            <w:r>
              <w:rPr>
                <w:rFonts w:hint="eastAsia" w:ascii="仿宋_GB2312" w:hAnsi="宋体" w:eastAsia="仿宋_GB2312" w:cs="宋体"/>
                <w:kern w:val="0"/>
                <w:sz w:val="24"/>
              </w:rPr>
              <w:t>建议形成的顺向边坡采用抗滑支</w:t>
            </w:r>
            <w:r>
              <w:rPr>
                <w:rFonts w:hint="eastAsia" w:ascii="仿宋_GB2312" w:hAnsi="宋体" w:eastAsia="仿宋_GB2312" w:cs="宋体"/>
                <w:kern w:val="0"/>
                <w:sz w:val="24"/>
                <w:lang w:val="en-US" w:eastAsia="zh-CN"/>
              </w:rPr>
              <w:t>挡或顺层放坡</w:t>
            </w:r>
            <w:r>
              <w:rPr>
                <w:rFonts w:hint="eastAsia" w:ascii="仿宋_GB2312" w:hAnsi="宋体" w:eastAsia="仿宋_GB2312" w:cs="宋体"/>
                <w:kern w:val="0"/>
                <w:sz w:val="24"/>
              </w:rPr>
              <w:t>。</w:t>
            </w:r>
          </w:p>
        </w:tc>
      </w:tr>
      <w:tr>
        <w:tblPrEx>
          <w:tblCellMar>
            <w:top w:w="15" w:type="dxa"/>
            <w:left w:w="15" w:type="dxa"/>
            <w:bottom w:w="15" w:type="dxa"/>
            <w:right w:w="15" w:type="dxa"/>
          </w:tblCellMar>
        </w:tblPrEx>
        <w:trPr>
          <w:trHeight w:val="2345" w:hRule="atLeast"/>
        </w:trPr>
        <w:tc>
          <w:tcPr>
            <w:tcW w:w="21077" w:type="dxa"/>
            <w:gridSpan w:val="6"/>
            <w:tcBorders>
              <w:left w:val="single" w:color="000000" w:sz="4" w:space="0"/>
              <w:bottom w:val="single" w:color="000000" w:sz="4" w:space="0"/>
              <w:right w:val="single" w:color="000000" w:sz="4" w:space="0"/>
            </w:tcBorders>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备注：</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1、加强工程勘察、工程测量等前期相关工作，查明评估区内工程设计影响深度内岩土体的空间分布及其物理力学性质；</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2、对评估区内的不良地质现象进行处理时，应结合地块属性进行，有威胁对象的地灾体应进行治理；</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3、对勘察中可能揭露的深厚填土地段，应注意不均匀沉降问题和桩侧负摩阻力问题；</w:t>
            </w:r>
          </w:p>
          <w:p>
            <w:pPr>
              <w:widowControl/>
              <w:jc w:val="left"/>
              <w:rPr>
                <w:rFonts w:ascii="仿宋_GB2312" w:hAnsi="宋体" w:eastAsia="仿宋_GB2312" w:cs="宋体"/>
                <w:kern w:val="0"/>
                <w:sz w:val="24"/>
              </w:rPr>
            </w:pPr>
            <w:r>
              <w:rPr>
                <w:rFonts w:hint="eastAsia" w:ascii="仿宋_GB2312" w:hAnsi="宋体" w:eastAsia="仿宋_GB2312" w:cs="宋体"/>
                <w:kern w:val="0"/>
                <w:sz w:val="24"/>
              </w:rPr>
              <w:t>4、相邻已建道路的地块，在修建本地块项目时应作好对相邻道路的保护；涉及轨道交通和高速公路保护范围的地块，在修建项目前须征得相应交通主管部门书面同意；</w:t>
            </w:r>
          </w:p>
          <w:p>
            <w:pPr>
              <w:widowControl/>
              <w:jc w:val="left"/>
              <w:rPr>
                <w:rFonts w:ascii="仿宋_GB2312" w:hAnsi="宋体" w:eastAsia="仿宋_GB2312" w:cs="宋体"/>
                <w:kern w:val="0"/>
                <w:sz w:val="24"/>
              </w:rPr>
            </w:pPr>
            <w:r>
              <w:rPr>
                <w:rFonts w:hint="eastAsia" w:ascii="仿宋_GB2312" w:hAnsi="宋体" w:eastAsia="仿宋_GB2312" w:cs="宋体"/>
                <w:b/>
                <w:kern w:val="0"/>
                <w:sz w:val="24"/>
              </w:rPr>
              <w:t>5、以上所有道路在进行布局时，应避免深挖高填，确需设计高边坡时，应对高边坡进行治理；</w:t>
            </w:r>
            <w:r>
              <w:rPr>
                <w:rFonts w:hint="eastAsia" w:ascii="仿宋_GB2312" w:hAnsi="宋体" w:eastAsia="仿宋_GB2312" w:cs="宋体"/>
                <w:kern w:val="0"/>
                <w:sz w:val="24"/>
              </w:rPr>
              <w:t xml:space="preserve">                                                                                                                                                                     6、本表应结合“规划道路地质灾害危险性平面图”使用；</w:t>
            </w:r>
          </w:p>
          <w:p>
            <w:pPr>
              <w:widowControl/>
              <w:jc w:val="left"/>
              <w:textAlignment w:val="center"/>
              <w:rPr>
                <w:rFonts w:ascii="仿宋_GB2312" w:hAnsi="宋体" w:eastAsia="仿宋_GB2312" w:cs="宋体"/>
                <w:kern w:val="0"/>
                <w:sz w:val="24"/>
              </w:rPr>
            </w:pPr>
            <w:r>
              <w:rPr>
                <w:rFonts w:hint="eastAsia" w:ascii="仿宋_GB2312" w:hAnsi="宋体" w:eastAsia="仿宋_GB2312" w:cs="宋体"/>
                <w:b/>
                <w:kern w:val="0"/>
                <w:sz w:val="24"/>
              </w:rPr>
              <w:t>7、以上地块编号1#-11#路为自编号。</w:t>
            </w:r>
          </w:p>
        </w:tc>
      </w:tr>
    </w:tbl>
    <w:p>
      <w:pPr>
        <w:pStyle w:val="27"/>
        <w:ind w:firstLine="0"/>
        <w:rPr>
          <w:rFonts w:ascii="仿宋_GB2312" w:eastAsia="仿宋_GB2312"/>
          <w:color w:val="000000"/>
        </w:rPr>
      </w:pPr>
    </w:p>
    <w:p>
      <w:pPr>
        <w:widowControl/>
        <w:jc w:val="left"/>
        <w:rPr>
          <w:rFonts w:ascii="仿宋_GB2312" w:eastAsia="仿宋_GB2312"/>
          <w:color w:val="FF0000"/>
          <w:sz w:val="2"/>
          <w:szCs w:val="2"/>
        </w:rPr>
      </w:pPr>
    </w:p>
    <w:sectPr>
      <w:type w:val="continuous"/>
      <w:pgSz w:w="23814" w:h="16840" w:orient="landscape"/>
      <w:pgMar w:top="1797" w:right="1701" w:bottom="1797" w:left="1701" w:header="851" w:footer="992" w:gutter="0"/>
      <w:cols w:space="1366" w:num="1"/>
      <w:docGrid w:linePitch="312" w:charSpace="-36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51E2DBD-0C52-43DF-AA88-41578D23951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3343581-7B49-45D5-9241-122A80191B86}"/>
  </w:font>
  <w:font w:name="仿宋_GB2312">
    <w:panose1 w:val="02010609030101010101"/>
    <w:charset w:val="86"/>
    <w:family w:val="auto"/>
    <w:pitch w:val="default"/>
    <w:sig w:usb0="00000001" w:usb1="080E0000" w:usb2="00000000" w:usb3="00000000" w:csb0="00040000" w:csb1="00000000"/>
    <w:embedRegular r:id="rId3" w:fontKey="{231A6204-7285-48D0-8637-0A95CBC59418}"/>
  </w:font>
  <w:font w:name="Arial Unicode MS">
    <w:altName w:val="宋体"/>
    <w:panose1 w:val="020B0604020202020204"/>
    <w:charset w:val="86"/>
    <w:family w:val="swiss"/>
    <w:pitch w:val="default"/>
    <w:sig w:usb0="00000000" w:usb1="00000000" w:usb2="0000007F" w:usb3="00000000" w:csb0="203F01FF" w:csb1="DFFF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embedRegular r:id="rId4" w:fontKey="{F00548D9-9F3C-4DAA-B425-5F7BEE943C69}"/>
  </w:font>
  <w:font w:name="方正魏碑_GBK">
    <w:altName w:val="微软雅黑"/>
    <w:panose1 w:val="00000000000000000000"/>
    <w:charset w:val="86"/>
    <w:family w:val="script"/>
    <w:pitch w:val="default"/>
    <w:sig w:usb0="00000000" w:usb1="00000000" w:usb2="00000010" w:usb3="00000000" w:csb0="00040000" w:csb1="00000000"/>
    <w:embedRegular r:id="rId5" w:fontKey="{E12C9D5A-F322-49BA-8C19-8EB97B31C008}"/>
  </w:font>
  <w:font w:name="等线">
    <w:panose1 w:val="02010600030101010101"/>
    <w:charset w:val="86"/>
    <w:family w:val="auto"/>
    <w:pitch w:val="default"/>
    <w:sig w:usb0="A00002BF" w:usb1="38CF7CFA" w:usb2="00000016" w:usb3="00000000" w:csb0="0004000F" w:csb1="00000000"/>
    <w:embedRegular r:id="rId6" w:fontKey="{B0D59C29-1956-4471-861D-795014E15101}"/>
  </w:font>
  <w:font w:name="华文中宋">
    <w:panose1 w:val="02010600040101010101"/>
    <w:charset w:val="86"/>
    <w:family w:val="auto"/>
    <w:pitch w:val="default"/>
    <w:sig w:usb0="00000287" w:usb1="080F0000" w:usb2="00000000" w:usb3="00000000" w:csb0="0004009F" w:csb1="DFD70000"/>
    <w:embedRegular r:id="rId7" w:fontKey="{1B66B89D-EFE4-456A-8AA0-627B14AEE4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3"/>
      </w:rPr>
    </w:pPr>
    <w:r>
      <w:fldChar w:fldCharType="begin"/>
    </w:r>
    <w:r>
      <w:rPr>
        <w:rStyle w:val="33"/>
      </w:rPr>
      <w:instrText xml:space="preserve">PAGE  </w:instrText>
    </w:r>
    <w:r>
      <w:fldChar w:fldCharType="end"/>
    </w:r>
  </w:p>
  <w:p>
    <w:pPr>
      <w:pStyle w:val="2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4620" w:firstLineChars="2200"/>
      <w:rPr>
        <w:rFonts w:ascii="仿宋_GB2312" w:eastAsia="仿宋_GB2312"/>
        <w:sz w:val="21"/>
        <w:szCs w:val="21"/>
      </w:rPr>
    </w:pPr>
    <w:r>
      <w:rPr>
        <w:rFonts w:hint="eastAsia" w:ascii="仿宋_GB2312" w:eastAsia="仿宋_GB2312"/>
        <w:sz w:val="21"/>
        <w:szCs w:val="21"/>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sz w:val="24"/>
      </w:rPr>
    </w:pPr>
    <w:r>
      <w:rPr>
        <w:rFonts w:hint="eastAsia"/>
      </w:rPr>
      <w:t xml:space="preserve">                                                                                                             </w:t>
    </w:r>
    <w:r>
      <w:rPr>
        <w:sz w:val="24"/>
      </w:rPr>
      <w:fldChar w:fldCharType="begin"/>
    </w:r>
    <w:r>
      <w:rPr>
        <w:sz w:val="24"/>
      </w:rPr>
      <w:instrText xml:space="preserve"> PAGE   \* MERGEFORMAT </w:instrText>
    </w:r>
    <w:r>
      <w:rPr>
        <w:sz w:val="24"/>
      </w:rPr>
      <w:fldChar w:fldCharType="separate"/>
    </w:r>
    <w:r>
      <w:rPr>
        <w:sz w:val="24"/>
        <w:lang w:val="zh-CN"/>
      </w:rPr>
      <w:t>1</w:t>
    </w:r>
    <w:r>
      <w:rPr>
        <w:sz w:val="24"/>
      </w:rPr>
      <w:fldChar w:fldCharType="end"/>
    </w:r>
  </w:p>
  <w:p>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sz w:val="24"/>
      </w:rPr>
    </w:pPr>
    <w:r>
      <w:rPr>
        <w:rFonts w:hint="eastAsia"/>
      </w:rPr>
      <w:t xml:space="preserve">                                                                                                             </w:t>
    </w:r>
    <w:r>
      <w:rPr>
        <w:rFonts w:hint="eastAsia"/>
        <w:sz w:val="24"/>
      </w:rPr>
      <w:t xml:space="preserve">  </w:t>
    </w:r>
    <w:r>
      <w:rPr>
        <w:sz w:val="24"/>
      </w:rPr>
      <w:fldChar w:fldCharType="begin"/>
    </w:r>
    <w:r>
      <w:rPr>
        <w:sz w:val="24"/>
      </w:rPr>
      <w:instrText xml:space="preserve"> PAGE   \* MERGEFORMAT </w:instrText>
    </w:r>
    <w:r>
      <w:rPr>
        <w:sz w:val="24"/>
      </w:rPr>
      <w:fldChar w:fldCharType="separate"/>
    </w:r>
    <w:r>
      <w:rPr>
        <w:sz w:val="24"/>
        <w:lang w:val="zh-CN"/>
      </w:rPr>
      <w:t>23</w:t>
    </w:r>
    <w:r>
      <w:rPr>
        <w:sz w:val="24"/>
      </w:rPr>
      <w:fldChar w:fldCharType="end"/>
    </w:r>
  </w:p>
  <w:p>
    <w:pPr>
      <w:pStyle w:val="2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r>
      <w:rPr>
        <w:rFonts w:hint="eastAsia" w:ascii="方正魏碑_GBK" w:eastAsia="方正魏碑_GBK"/>
        <w:sz w:val="44"/>
        <w:szCs w:val="4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left"/>
    </w:pPr>
    <w:r>
      <w:rPr>
        <w:rFonts w:hint="eastAsia" w:ascii="仿宋_GB2312" w:eastAsia="仿宋_GB2312"/>
        <w:bCs/>
        <w:color w:val="000000"/>
      </w:rPr>
      <w:t>重庆綦江工业园区建设开发股份有限公司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DZlZDFmYTBjOGMxNjA5YmQwNTU5NGZlYTNjZmM5ZjcifQ=="/>
  </w:docVars>
  <w:rsids>
    <w:rsidRoot w:val="00172A27"/>
    <w:rsid w:val="00000F9B"/>
    <w:rsid w:val="00001BD4"/>
    <w:rsid w:val="00003016"/>
    <w:rsid w:val="00003C99"/>
    <w:rsid w:val="0000725C"/>
    <w:rsid w:val="000074D6"/>
    <w:rsid w:val="00014652"/>
    <w:rsid w:val="00021872"/>
    <w:rsid w:val="000358D3"/>
    <w:rsid w:val="00037875"/>
    <w:rsid w:val="00045FD1"/>
    <w:rsid w:val="00056E54"/>
    <w:rsid w:val="00060B17"/>
    <w:rsid w:val="00060F13"/>
    <w:rsid w:val="00073FCF"/>
    <w:rsid w:val="0007405C"/>
    <w:rsid w:val="00075220"/>
    <w:rsid w:val="00076BD9"/>
    <w:rsid w:val="00083F7E"/>
    <w:rsid w:val="00087B17"/>
    <w:rsid w:val="00090C1A"/>
    <w:rsid w:val="00092C17"/>
    <w:rsid w:val="00092E48"/>
    <w:rsid w:val="00093DBD"/>
    <w:rsid w:val="000969B2"/>
    <w:rsid w:val="000B0056"/>
    <w:rsid w:val="000B43BE"/>
    <w:rsid w:val="000B7430"/>
    <w:rsid w:val="000B7F4E"/>
    <w:rsid w:val="000C5CCA"/>
    <w:rsid w:val="000D7F61"/>
    <w:rsid w:val="000E107A"/>
    <w:rsid w:val="000E10F3"/>
    <w:rsid w:val="000E17A0"/>
    <w:rsid w:val="000E2D02"/>
    <w:rsid w:val="000E3C35"/>
    <w:rsid w:val="000E7CFE"/>
    <w:rsid w:val="000E7F11"/>
    <w:rsid w:val="000F32A7"/>
    <w:rsid w:val="00101C67"/>
    <w:rsid w:val="0010489C"/>
    <w:rsid w:val="001050BF"/>
    <w:rsid w:val="001054FB"/>
    <w:rsid w:val="0010608D"/>
    <w:rsid w:val="00107930"/>
    <w:rsid w:val="00115A55"/>
    <w:rsid w:val="00120E3F"/>
    <w:rsid w:val="00121664"/>
    <w:rsid w:val="001248F0"/>
    <w:rsid w:val="00125729"/>
    <w:rsid w:val="00133BDC"/>
    <w:rsid w:val="0013644A"/>
    <w:rsid w:val="00143335"/>
    <w:rsid w:val="00146578"/>
    <w:rsid w:val="00155C04"/>
    <w:rsid w:val="00156B43"/>
    <w:rsid w:val="00157085"/>
    <w:rsid w:val="0015740D"/>
    <w:rsid w:val="0016090D"/>
    <w:rsid w:val="00164279"/>
    <w:rsid w:val="0016507B"/>
    <w:rsid w:val="00172A27"/>
    <w:rsid w:val="001767E8"/>
    <w:rsid w:val="00180F15"/>
    <w:rsid w:val="00183FA9"/>
    <w:rsid w:val="00186D73"/>
    <w:rsid w:val="00187763"/>
    <w:rsid w:val="00190E0C"/>
    <w:rsid w:val="0019118F"/>
    <w:rsid w:val="0019139B"/>
    <w:rsid w:val="001915F7"/>
    <w:rsid w:val="00195B93"/>
    <w:rsid w:val="00197746"/>
    <w:rsid w:val="001A0D19"/>
    <w:rsid w:val="001A1BDF"/>
    <w:rsid w:val="001A21AB"/>
    <w:rsid w:val="001A6661"/>
    <w:rsid w:val="001B47FA"/>
    <w:rsid w:val="001B7A82"/>
    <w:rsid w:val="001C3CD1"/>
    <w:rsid w:val="001C4BB5"/>
    <w:rsid w:val="001C5D49"/>
    <w:rsid w:val="001D02D1"/>
    <w:rsid w:val="001D1B4C"/>
    <w:rsid w:val="001D6D2F"/>
    <w:rsid w:val="001F06B6"/>
    <w:rsid w:val="001F1522"/>
    <w:rsid w:val="001F18AB"/>
    <w:rsid w:val="0020281F"/>
    <w:rsid w:val="002139CD"/>
    <w:rsid w:val="00215C5D"/>
    <w:rsid w:val="002161C9"/>
    <w:rsid w:val="0022192B"/>
    <w:rsid w:val="00225F4D"/>
    <w:rsid w:val="00231736"/>
    <w:rsid w:val="0023281E"/>
    <w:rsid w:val="00236D40"/>
    <w:rsid w:val="002374E4"/>
    <w:rsid w:val="00240198"/>
    <w:rsid w:val="0024181E"/>
    <w:rsid w:val="00242CFC"/>
    <w:rsid w:val="0024435D"/>
    <w:rsid w:val="0024471C"/>
    <w:rsid w:val="00244F8B"/>
    <w:rsid w:val="0025044A"/>
    <w:rsid w:val="00250640"/>
    <w:rsid w:val="002510BC"/>
    <w:rsid w:val="00264C39"/>
    <w:rsid w:val="00264FC2"/>
    <w:rsid w:val="00267934"/>
    <w:rsid w:val="002705E4"/>
    <w:rsid w:val="00270B15"/>
    <w:rsid w:val="00270BB3"/>
    <w:rsid w:val="00280F7A"/>
    <w:rsid w:val="00286CFD"/>
    <w:rsid w:val="00291856"/>
    <w:rsid w:val="002A3C98"/>
    <w:rsid w:val="002A5D9B"/>
    <w:rsid w:val="002B068E"/>
    <w:rsid w:val="002B40DE"/>
    <w:rsid w:val="002C1C8D"/>
    <w:rsid w:val="002C37D9"/>
    <w:rsid w:val="002C6B5B"/>
    <w:rsid w:val="002D31A0"/>
    <w:rsid w:val="002D42EB"/>
    <w:rsid w:val="002E2187"/>
    <w:rsid w:val="002E2C87"/>
    <w:rsid w:val="002E4277"/>
    <w:rsid w:val="002E4D56"/>
    <w:rsid w:val="002F023C"/>
    <w:rsid w:val="002F41A4"/>
    <w:rsid w:val="00304896"/>
    <w:rsid w:val="00304B63"/>
    <w:rsid w:val="003061E9"/>
    <w:rsid w:val="00311686"/>
    <w:rsid w:val="0031539F"/>
    <w:rsid w:val="00316572"/>
    <w:rsid w:val="00317887"/>
    <w:rsid w:val="00320F4F"/>
    <w:rsid w:val="003225AD"/>
    <w:rsid w:val="00323022"/>
    <w:rsid w:val="00326464"/>
    <w:rsid w:val="0033550C"/>
    <w:rsid w:val="003357A8"/>
    <w:rsid w:val="00336157"/>
    <w:rsid w:val="00341C13"/>
    <w:rsid w:val="00346E73"/>
    <w:rsid w:val="00350B52"/>
    <w:rsid w:val="00356F7D"/>
    <w:rsid w:val="00362CA8"/>
    <w:rsid w:val="00376B3A"/>
    <w:rsid w:val="00376DBF"/>
    <w:rsid w:val="00377DFE"/>
    <w:rsid w:val="0038651C"/>
    <w:rsid w:val="003877C3"/>
    <w:rsid w:val="003905B9"/>
    <w:rsid w:val="003925BA"/>
    <w:rsid w:val="003931E2"/>
    <w:rsid w:val="00396D0C"/>
    <w:rsid w:val="003971AF"/>
    <w:rsid w:val="003A090C"/>
    <w:rsid w:val="003A13D0"/>
    <w:rsid w:val="003A2360"/>
    <w:rsid w:val="003A6E9F"/>
    <w:rsid w:val="003A7CF6"/>
    <w:rsid w:val="003B0170"/>
    <w:rsid w:val="003B0558"/>
    <w:rsid w:val="003B32F3"/>
    <w:rsid w:val="003B3BBD"/>
    <w:rsid w:val="003C0F2E"/>
    <w:rsid w:val="003C27D6"/>
    <w:rsid w:val="003C4C25"/>
    <w:rsid w:val="003C5CD4"/>
    <w:rsid w:val="003D508B"/>
    <w:rsid w:val="003D5A45"/>
    <w:rsid w:val="003E32CC"/>
    <w:rsid w:val="003E35BA"/>
    <w:rsid w:val="003E4FDD"/>
    <w:rsid w:val="003E533E"/>
    <w:rsid w:val="003E6544"/>
    <w:rsid w:val="003E752B"/>
    <w:rsid w:val="003F2E0F"/>
    <w:rsid w:val="003F399A"/>
    <w:rsid w:val="003F67BF"/>
    <w:rsid w:val="00403A0B"/>
    <w:rsid w:val="00404728"/>
    <w:rsid w:val="004057B4"/>
    <w:rsid w:val="0041107B"/>
    <w:rsid w:val="00415DE7"/>
    <w:rsid w:val="00417E8C"/>
    <w:rsid w:val="00420295"/>
    <w:rsid w:val="00421D14"/>
    <w:rsid w:val="004233A9"/>
    <w:rsid w:val="00427338"/>
    <w:rsid w:val="004316D6"/>
    <w:rsid w:val="00432A58"/>
    <w:rsid w:val="0044222E"/>
    <w:rsid w:val="00444AB7"/>
    <w:rsid w:val="004453D4"/>
    <w:rsid w:val="00445498"/>
    <w:rsid w:val="004460DE"/>
    <w:rsid w:val="00452CF7"/>
    <w:rsid w:val="00455B22"/>
    <w:rsid w:val="00456C63"/>
    <w:rsid w:val="00461BF7"/>
    <w:rsid w:val="00464CEF"/>
    <w:rsid w:val="00470213"/>
    <w:rsid w:val="00470BF2"/>
    <w:rsid w:val="004747DF"/>
    <w:rsid w:val="0048290D"/>
    <w:rsid w:val="00490F30"/>
    <w:rsid w:val="0049711E"/>
    <w:rsid w:val="004A2160"/>
    <w:rsid w:val="004A3786"/>
    <w:rsid w:val="004A434E"/>
    <w:rsid w:val="004B079C"/>
    <w:rsid w:val="004B5461"/>
    <w:rsid w:val="004B638F"/>
    <w:rsid w:val="004C744F"/>
    <w:rsid w:val="004D19AD"/>
    <w:rsid w:val="004D27BB"/>
    <w:rsid w:val="004D52F1"/>
    <w:rsid w:val="004E2BC0"/>
    <w:rsid w:val="004F4916"/>
    <w:rsid w:val="00500C33"/>
    <w:rsid w:val="00501BCE"/>
    <w:rsid w:val="005025B6"/>
    <w:rsid w:val="00504907"/>
    <w:rsid w:val="005244EF"/>
    <w:rsid w:val="00534C5B"/>
    <w:rsid w:val="0053547B"/>
    <w:rsid w:val="0053646F"/>
    <w:rsid w:val="0054539E"/>
    <w:rsid w:val="005473D4"/>
    <w:rsid w:val="005502DC"/>
    <w:rsid w:val="00561B07"/>
    <w:rsid w:val="005629E7"/>
    <w:rsid w:val="00564D8A"/>
    <w:rsid w:val="00565213"/>
    <w:rsid w:val="00566895"/>
    <w:rsid w:val="00570123"/>
    <w:rsid w:val="0057027B"/>
    <w:rsid w:val="00581A24"/>
    <w:rsid w:val="00581F89"/>
    <w:rsid w:val="0058692D"/>
    <w:rsid w:val="0059455A"/>
    <w:rsid w:val="005A710A"/>
    <w:rsid w:val="005A7AEA"/>
    <w:rsid w:val="005B099B"/>
    <w:rsid w:val="005B41DF"/>
    <w:rsid w:val="005B5AAD"/>
    <w:rsid w:val="005B66B6"/>
    <w:rsid w:val="005C037C"/>
    <w:rsid w:val="005C3828"/>
    <w:rsid w:val="005C6A5D"/>
    <w:rsid w:val="005C7360"/>
    <w:rsid w:val="005C784C"/>
    <w:rsid w:val="005D1047"/>
    <w:rsid w:val="005D20A2"/>
    <w:rsid w:val="005D4809"/>
    <w:rsid w:val="005D58B2"/>
    <w:rsid w:val="005E1288"/>
    <w:rsid w:val="005E260E"/>
    <w:rsid w:val="005E2A70"/>
    <w:rsid w:val="005E4432"/>
    <w:rsid w:val="005E5923"/>
    <w:rsid w:val="005F2411"/>
    <w:rsid w:val="005F6800"/>
    <w:rsid w:val="00600A32"/>
    <w:rsid w:val="006036DD"/>
    <w:rsid w:val="006066A0"/>
    <w:rsid w:val="00607515"/>
    <w:rsid w:val="006104EE"/>
    <w:rsid w:val="00610A53"/>
    <w:rsid w:val="0061592B"/>
    <w:rsid w:val="0061662E"/>
    <w:rsid w:val="00632702"/>
    <w:rsid w:val="00635B70"/>
    <w:rsid w:val="006419B1"/>
    <w:rsid w:val="006430C5"/>
    <w:rsid w:val="00650974"/>
    <w:rsid w:val="00650995"/>
    <w:rsid w:val="00652E4B"/>
    <w:rsid w:val="00653B92"/>
    <w:rsid w:val="0065402E"/>
    <w:rsid w:val="00656149"/>
    <w:rsid w:val="00656C14"/>
    <w:rsid w:val="0066488D"/>
    <w:rsid w:val="00667B0E"/>
    <w:rsid w:val="006734D1"/>
    <w:rsid w:val="00682A36"/>
    <w:rsid w:val="00687CF8"/>
    <w:rsid w:val="00690058"/>
    <w:rsid w:val="00691139"/>
    <w:rsid w:val="00696323"/>
    <w:rsid w:val="006A0226"/>
    <w:rsid w:val="006A2582"/>
    <w:rsid w:val="006A2FD4"/>
    <w:rsid w:val="006A5627"/>
    <w:rsid w:val="006A7055"/>
    <w:rsid w:val="006B0725"/>
    <w:rsid w:val="006B2E0C"/>
    <w:rsid w:val="006C0040"/>
    <w:rsid w:val="006C2414"/>
    <w:rsid w:val="006D206C"/>
    <w:rsid w:val="006D3BF2"/>
    <w:rsid w:val="006D51FE"/>
    <w:rsid w:val="006E4A73"/>
    <w:rsid w:val="006E50B2"/>
    <w:rsid w:val="006F0CCA"/>
    <w:rsid w:val="006F2545"/>
    <w:rsid w:val="006F2548"/>
    <w:rsid w:val="006F4850"/>
    <w:rsid w:val="00700F8D"/>
    <w:rsid w:val="007028BA"/>
    <w:rsid w:val="0070364C"/>
    <w:rsid w:val="007042EF"/>
    <w:rsid w:val="0070480D"/>
    <w:rsid w:val="00705A49"/>
    <w:rsid w:val="007066B5"/>
    <w:rsid w:val="007066D3"/>
    <w:rsid w:val="00706D33"/>
    <w:rsid w:val="0071131E"/>
    <w:rsid w:val="00713E7E"/>
    <w:rsid w:val="007147C5"/>
    <w:rsid w:val="00716BF1"/>
    <w:rsid w:val="00717681"/>
    <w:rsid w:val="00721EDD"/>
    <w:rsid w:val="00727621"/>
    <w:rsid w:val="00732BC5"/>
    <w:rsid w:val="00734722"/>
    <w:rsid w:val="00736FB6"/>
    <w:rsid w:val="00737621"/>
    <w:rsid w:val="00743CEC"/>
    <w:rsid w:val="007475F1"/>
    <w:rsid w:val="00752F9D"/>
    <w:rsid w:val="00753A7E"/>
    <w:rsid w:val="00753D1A"/>
    <w:rsid w:val="00755737"/>
    <w:rsid w:val="007913C9"/>
    <w:rsid w:val="007938DE"/>
    <w:rsid w:val="00795C36"/>
    <w:rsid w:val="007973F0"/>
    <w:rsid w:val="007A1658"/>
    <w:rsid w:val="007A1B52"/>
    <w:rsid w:val="007A21FC"/>
    <w:rsid w:val="007B05B3"/>
    <w:rsid w:val="007B31C0"/>
    <w:rsid w:val="007B58DE"/>
    <w:rsid w:val="007C2888"/>
    <w:rsid w:val="007D019C"/>
    <w:rsid w:val="007D11C6"/>
    <w:rsid w:val="007D58F2"/>
    <w:rsid w:val="007D66CB"/>
    <w:rsid w:val="007E0C69"/>
    <w:rsid w:val="007E6BFC"/>
    <w:rsid w:val="007E7032"/>
    <w:rsid w:val="007E7E2C"/>
    <w:rsid w:val="00802012"/>
    <w:rsid w:val="00803801"/>
    <w:rsid w:val="008045A2"/>
    <w:rsid w:val="008143E7"/>
    <w:rsid w:val="00820F70"/>
    <w:rsid w:val="00823B09"/>
    <w:rsid w:val="0083459B"/>
    <w:rsid w:val="00842E11"/>
    <w:rsid w:val="00842F15"/>
    <w:rsid w:val="00843A6D"/>
    <w:rsid w:val="00852A6E"/>
    <w:rsid w:val="00852A8D"/>
    <w:rsid w:val="008538F9"/>
    <w:rsid w:val="0086255E"/>
    <w:rsid w:val="00871242"/>
    <w:rsid w:val="00877F1C"/>
    <w:rsid w:val="008863CC"/>
    <w:rsid w:val="00887076"/>
    <w:rsid w:val="00890EE5"/>
    <w:rsid w:val="00894E67"/>
    <w:rsid w:val="008A0EB8"/>
    <w:rsid w:val="008A13BF"/>
    <w:rsid w:val="008A3735"/>
    <w:rsid w:val="008A5162"/>
    <w:rsid w:val="008A681C"/>
    <w:rsid w:val="008A6EDA"/>
    <w:rsid w:val="008A7517"/>
    <w:rsid w:val="008B0566"/>
    <w:rsid w:val="008B0809"/>
    <w:rsid w:val="008B22A1"/>
    <w:rsid w:val="008B50E0"/>
    <w:rsid w:val="008B7FEC"/>
    <w:rsid w:val="008C0C08"/>
    <w:rsid w:val="008C2BDA"/>
    <w:rsid w:val="008C63E9"/>
    <w:rsid w:val="008C7C78"/>
    <w:rsid w:val="008D49D8"/>
    <w:rsid w:val="008D7709"/>
    <w:rsid w:val="008E0D60"/>
    <w:rsid w:val="008E2319"/>
    <w:rsid w:val="008E2684"/>
    <w:rsid w:val="008E62BD"/>
    <w:rsid w:val="008F6383"/>
    <w:rsid w:val="008F7728"/>
    <w:rsid w:val="00900667"/>
    <w:rsid w:val="00905D1F"/>
    <w:rsid w:val="009060A5"/>
    <w:rsid w:val="00912EBA"/>
    <w:rsid w:val="00912F92"/>
    <w:rsid w:val="009154BF"/>
    <w:rsid w:val="00917C62"/>
    <w:rsid w:val="009214B0"/>
    <w:rsid w:val="009249D7"/>
    <w:rsid w:val="00924DF9"/>
    <w:rsid w:val="00942556"/>
    <w:rsid w:val="00942F47"/>
    <w:rsid w:val="00944E59"/>
    <w:rsid w:val="00945F3E"/>
    <w:rsid w:val="00946C47"/>
    <w:rsid w:val="00952CC1"/>
    <w:rsid w:val="00960467"/>
    <w:rsid w:val="00961EB7"/>
    <w:rsid w:val="00965A2E"/>
    <w:rsid w:val="009761DF"/>
    <w:rsid w:val="009846CA"/>
    <w:rsid w:val="0098684B"/>
    <w:rsid w:val="0098724A"/>
    <w:rsid w:val="00990DF0"/>
    <w:rsid w:val="00997709"/>
    <w:rsid w:val="009A12C3"/>
    <w:rsid w:val="009A4A1D"/>
    <w:rsid w:val="009A60B9"/>
    <w:rsid w:val="009B1722"/>
    <w:rsid w:val="009B2AFE"/>
    <w:rsid w:val="009C67E3"/>
    <w:rsid w:val="009D1C07"/>
    <w:rsid w:val="009E1581"/>
    <w:rsid w:val="009E35BF"/>
    <w:rsid w:val="009E5210"/>
    <w:rsid w:val="009E7F75"/>
    <w:rsid w:val="009F4EEF"/>
    <w:rsid w:val="009F7459"/>
    <w:rsid w:val="00A0551A"/>
    <w:rsid w:val="00A06B00"/>
    <w:rsid w:val="00A10396"/>
    <w:rsid w:val="00A1217B"/>
    <w:rsid w:val="00A144DD"/>
    <w:rsid w:val="00A17636"/>
    <w:rsid w:val="00A27406"/>
    <w:rsid w:val="00A326F6"/>
    <w:rsid w:val="00A32BF7"/>
    <w:rsid w:val="00A3318E"/>
    <w:rsid w:val="00A33CA5"/>
    <w:rsid w:val="00A351A1"/>
    <w:rsid w:val="00A44201"/>
    <w:rsid w:val="00A4616D"/>
    <w:rsid w:val="00A52CCA"/>
    <w:rsid w:val="00A550E6"/>
    <w:rsid w:val="00A56D69"/>
    <w:rsid w:val="00A608A6"/>
    <w:rsid w:val="00A60EDD"/>
    <w:rsid w:val="00A62C5E"/>
    <w:rsid w:val="00A660F8"/>
    <w:rsid w:val="00A66543"/>
    <w:rsid w:val="00A668D1"/>
    <w:rsid w:val="00A70E83"/>
    <w:rsid w:val="00A71D6A"/>
    <w:rsid w:val="00A727F8"/>
    <w:rsid w:val="00A73167"/>
    <w:rsid w:val="00A7317B"/>
    <w:rsid w:val="00A82988"/>
    <w:rsid w:val="00A853E3"/>
    <w:rsid w:val="00A913C5"/>
    <w:rsid w:val="00A93506"/>
    <w:rsid w:val="00A960BE"/>
    <w:rsid w:val="00A96E6D"/>
    <w:rsid w:val="00AA2F70"/>
    <w:rsid w:val="00AA47EA"/>
    <w:rsid w:val="00AB2012"/>
    <w:rsid w:val="00AB2189"/>
    <w:rsid w:val="00AC20ED"/>
    <w:rsid w:val="00AC5F69"/>
    <w:rsid w:val="00AD5015"/>
    <w:rsid w:val="00AD7956"/>
    <w:rsid w:val="00AE026D"/>
    <w:rsid w:val="00AE0F1C"/>
    <w:rsid w:val="00AE1C3B"/>
    <w:rsid w:val="00AE2957"/>
    <w:rsid w:val="00AF0BD5"/>
    <w:rsid w:val="00AF221D"/>
    <w:rsid w:val="00AF4D2E"/>
    <w:rsid w:val="00B01731"/>
    <w:rsid w:val="00B03EA7"/>
    <w:rsid w:val="00B06C32"/>
    <w:rsid w:val="00B06F79"/>
    <w:rsid w:val="00B07CE7"/>
    <w:rsid w:val="00B1023D"/>
    <w:rsid w:val="00B130B0"/>
    <w:rsid w:val="00B17BC8"/>
    <w:rsid w:val="00B20BFC"/>
    <w:rsid w:val="00B22A6A"/>
    <w:rsid w:val="00B3189C"/>
    <w:rsid w:val="00B32FCE"/>
    <w:rsid w:val="00B36035"/>
    <w:rsid w:val="00B362D7"/>
    <w:rsid w:val="00B36608"/>
    <w:rsid w:val="00B37209"/>
    <w:rsid w:val="00B43C7A"/>
    <w:rsid w:val="00B52E11"/>
    <w:rsid w:val="00B562A6"/>
    <w:rsid w:val="00B61E49"/>
    <w:rsid w:val="00B620DE"/>
    <w:rsid w:val="00B654B9"/>
    <w:rsid w:val="00B74C54"/>
    <w:rsid w:val="00B752F9"/>
    <w:rsid w:val="00B761DB"/>
    <w:rsid w:val="00B816A0"/>
    <w:rsid w:val="00B862E3"/>
    <w:rsid w:val="00B870EB"/>
    <w:rsid w:val="00B8717E"/>
    <w:rsid w:val="00B875AD"/>
    <w:rsid w:val="00B90F7D"/>
    <w:rsid w:val="00B97258"/>
    <w:rsid w:val="00B97FBD"/>
    <w:rsid w:val="00BA029B"/>
    <w:rsid w:val="00BA18CF"/>
    <w:rsid w:val="00BA2EFD"/>
    <w:rsid w:val="00BA369F"/>
    <w:rsid w:val="00BA51EB"/>
    <w:rsid w:val="00BA7C69"/>
    <w:rsid w:val="00BC3DD5"/>
    <w:rsid w:val="00BD05FC"/>
    <w:rsid w:val="00BD3470"/>
    <w:rsid w:val="00BD5C07"/>
    <w:rsid w:val="00BD5F11"/>
    <w:rsid w:val="00BE0E2F"/>
    <w:rsid w:val="00BE6917"/>
    <w:rsid w:val="00BF0849"/>
    <w:rsid w:val="00BF33AB"/>
    <w:rsid w:val="00C04389"/>
    <w:rsid w:val="00C105B3"/>
    <w:rsid w:val="00C1143D"/>
    <w:rsid w:val="00C25ADF"/>
    <w:rsid w:val="00C3006F"/>
    <w:rsid w:val="00C343C9"/>
    <w:rsid w:val="00C35A88"/>
    <w:rsid w:val="00C40329"/>
    <w:rsid w:val="00C40955"/>
    <w:rsid w:val="00C40A7A"/>
    <w:rsid w:val="00C41029"/>
    <w:rsid w:val="00C479F7"/>
    <w:rsid w:val="00C50E40"/>
    <w:rsid w:val="00C51568"/>
    <w:rsid w:val="00C54CBE"/>
    <w:rsid w:val="00C5737B"/>
    <w:rsid w:val="00C57881"/>
    <w:rsid w:val="00C65550"/>
    <w:rsid w:val="00C65AD2"/>
    <w:rsid w:val="00C65DCF"/>
    <w:rsid w:val="00C671A1"/>
    <w:rsid w:val="00C80BA4"/>
    <w:rsid w:val="00C86339"/>
    <w:rsid w:val="00C91EFA"/>
    <w:rsid w:val="00C951F1"/>
    <w:rsid w:val="00C97548"/>
    <w:rsid w:val="00CA09F9"/>
    <w:rsid w:val="00CA0AC9"/>
    <w:rsid w:val="00CA0C9F"/>
    <w:rsid w:val="00CA4118"/>
    <w:rsid w:val="00CA4706"/>
    <w:rsid w:val="00CB6148"/>
    <w:rsid w:val="00CB6B14"/>
    <w:rsid w:val="00CC239D"/>
    <w:rsid w:val="00CD2AB5"/>
    <w:rsid w:val="00CD2C1B"/>
    <w:rsid w:val="00CD617F"/>
    <w:rsid w:val="00CE2D43"/>
    <w:rsid w:val="00CE4CED"/>
    <w:rsid w:val="00CE5288"/>
    <w:rsid w:val="00CE5600"/>
    <w:rsid w:val="00CE58D6"/>
    <w:rsid w:val="00CE72F0"/>
    <w:rsid w:val="00D01E7F"/>
    <w:rsid w:val="00D11975"/>
    <w:rsid w:val="00D11C8E"/>
    <w:rsid w:val="00D12917"/>
    <w:rsid w:val="00D12DF0"/>
    <w:rsid w:val="00D144B1"/>
    <w:rsid w:val="00D16A9C"/>
    <w:rsid w:val="00D218A1"/>
    <w:rsid w:val="00D22AC4"/>
    <w:rsid w:val="00D233C8"/>
    <w:rsid w:val="00D271B4"/>
    <w:rsid w:val="00D412A8"/>
    <w:rsid w:val="00D41CB5"/>
    <w:rsid w:val="00D4288D"/>
    <w:rsid w:val="00D43835"/>
    <w:rsid w:val="00D473E3"/>
    <w:rsid w:val="00D5611A"/>
    <w:rsid w:val="00D569C0"/>
    <w:rsid w:val="00D6127E"/>
    <w:rsid w:val="00D65025"/>
    <w:rsid w:val="00D72BE2"/>
    <w:rsid w:val="00D747EE"/>
    <w:rsid w:val="00D75B52"/>
    <w:rsid w:val="00D77544"/>
    <w:rsid w:val="00D77679"/>
    <w:rsid w:val="00D836EB"/>
    <w:rsid w:val="00D84BB9"/>
    <w:rsid w:val="00D8771B"/>
    <w:rsid w:val="00D92EC2"/>
    <w:rsid w:val="00D97726"/>
    <w:rsid w:val="00D978E3"/>
    <w:rsid w:val="00DA3244"/>
    <w:rsid w:val="00DA41B3"/>
    <w:rsid w:val="00DA48FE"/>
    <w:rsid w:val="00DA76CE"/>
    <w:rsid w:val="00DB169F"/>
    <w:rsid w:val="00DB2E51"/>
    <w:rsid w:val="00DB39A0"/>
    <w:rsid w:val="00DB4DA3"/>
    <w:rsid w:val="00DB578B"/>
    <w:rsid w:val="00DB6477"/>
    <w:rsid w:val="00DC0220"/>
    <w:rsid w:val="00DC3938"/>
    <w:rsid w:val="00DC4089"/>
    <w:rsid w:val="00DC6B92"/>
    <w:rsid w:val="00DC77E1"/>
    <w:rsid w:val="00DC7C38"/>
    <w:rsid w:val="00DD33D7"/>
    <w:rsid w:val="00DD3E5D"/>
    <w:rsid w:val="00DD4D6F"/>
    <w:rsid w:val="00DD531C"/>
    <w:rsid w:val="00DE2788"/>
    <w:rsid w:val="00DE2DFC"/>
    <w:rsid w:val="00DE5FA5"/>
    <w:rsid w:val="00DE64CF"/>
    <w:rsid w:val="00DF287C"/>
    <w:rsid w:val="00DF5E68"/>
    <w:rsid w:val="00E11478"/>
    <w:rsid w:val="00E1259C"/>
    <w:rsid w:val="00E24169"/>
    <w:rsid w:val="00E2656A"/>
    <w:rsid w:val="00E27F60"/>
    <w:rsid w:val="00E3315D"/>
    <w:rsid w:val="00E3393D"/>
    <w:rsid w:val="00E44171"/>
    <w:rsid w:val="00E46544"/>
    <w:rsid w:val="00E51082"/>
    <w:rsid w:val="00E5162C"/>
    <w:rsid w:val="00E622DA"/>
    <w:rsid w:val="00E739EE"/>
    <w:rsid w:val="00E7710A"/>
    <w:rsid w:val="00E77E02"/>
    <w:rsid w:val="00E82765"/>
    <w:rsid w:val="00E82F42"/>
    <w:rsid w:val="00E84E51"/>
    <w:rsid w:val="00E8777A"/>
    <w:rsid w:val="00E95590"/>
    <w:rsid w:val="00E97CB0"/>
    <w:rsid w:val="00EA058C"/>
    <w:rsid w:val="00EA2E14"/>
    <w:rsid w:val="00EA47FF"/>
    <w:rsid w:val="00EA53A4"/>
    <w:rsid w:val="00EA57FA"/>
    <w:rsid w:val="00EB2291"/>
    <w:rsid w:val="00EB4A43"/>
    <w:rsid w:val="00EC0BD8"/>
    <w:rsid w:val="00EC2B3C"/>
    <w:rsid w:val="00EC5A68"/>
    <w:rsid w:val="00ED1C2E"/>
    <w:rsid w:val="00ED3DB9"/>
    <w:rsid w:val="00EE58AF"/>
    <w:rsid w:val="00EF2B70"/>
    <w:rsid w:val="00EF6E33"/>
    <w:rsid w:val="00F04459"/>
    <w:rsid w:val="00F13210"/>
    <w:rsid w:val="00F20BED"/>
    <w:rsid w:val="00F238D9"/>
    <w:rsid w:val="00F24B0A"/>
    <w:rsid w:val="00F26CA7"/>
    <w:rsid w:val="00F27ABA"/>
    <w:rsid w:val="00F35F75"/>
    <w:rsid w:val="00F37942"/>
    <w:rsid w:val="00F42DB0"/>
    <w:rsid w:val="00F431B9"/>
    <w:rsid w:val="00F4585B"/>
    <w:rsid w:val="00F53266"/>
    <w:rsid w:val="00F5779B"/>
    <w:rsid w:val="00F63910"/>
    <w:rsid w:val="00F7100A"/>
    <w:rsid w:val="00F728D6"/>
    <w:rsid w:val="00F729B0"/>
    <w:rsid w:val="00F72BA3"/>
    <w:rsid w:val="00F73706"/>
    <w:rsid w:val="00F75F41"/>
    <w:rsid w:val="00F810C4"/>
    <w:rsid w:val="00F94573"/>
    <w:rsid w:val="00F95DF4"/>
    <w:rsid w:val="00FA0A44"/>
    <w:rsid w:val="00FB0677"/>
    <w:rsid w:val="00FB3A06"/>
    <w:rsid w:val="00FC5FA2"/>
    <w:rsid w:val="00FD0B2F"/>
    <w:rsid w:val="00FD1263"/>
    <w:rsid w:val="00FE1348"/>
    <w:rsid w:val="00FE1AF6"/>
    <w:rsid w:val="00FE44B3"/>
    <w:rsid w:val="00FE7427"/>
    <w:rsid w:val="00FF708D"/>
    <w:rsid w:val="01521561"/>
    <w:rsid w:val="01AC3A93"/>
    <w:rsid w:val="01E11D7C"/>
    <w:rsid w:val="026B1259"/>
    <w:rsid w:val="02866093"/>
    <w:rsid w:val="028E13EB"/>
    <w:rsid w:val="029540EB"/>
    <w:rsid w:val="02C47DCF"/>
    <w:rsid w:val="02CE534C"/>
    <w:rsid w:val="03405081"/>
    <w:rsid w:val="036B01B3"/>
    <w:rsid w:val="03F07FB7"/>
    <w:rsid w:val="03FD515B"/>
    <w:rsid w:val="04025C4A"/>
    <w:rsid w:val="043B42C5"/>
    <w:rsid w:val="043D2801"/>
    <w:rsid w:val="0442423B"/>
    <w:rsid w:val="044B1342"/>
    <w:rsid w:val="04A647CA"/>
    <w:rsid w:val="04CE426F"/>
    <w:rsid w:val="050551FA"/>
    <w:rsid w:val="052902F6"/>
    <w:rsid w:val="053A5FAA"/>
    <w:rsid w:val="05687CD1"/>
    <w:rsid w:val="05F43C80"/>
    <w:rsid w:val="06087AF2"/>
    <w:rsid w:val="060D1231"/>
    <w:rsid w:val="067A1386"/>
    <w:rsid w:val="06873796"/>
    <w:rsid w:val="06B20DFA"/>
    <w:rsid w:val="06CD4C18"/>
    <w:rsid w:val="06E40ED8"/>
    <w:rsid w:val="07723089"/>
    <w:rsid w:val="07785178"/>
    <w:rsid w:val="07BD3E0F"/>
    <w:rsid w:val="081922B4"/>
    <w:rsid w:val="085B0381"/>
    <w:rsid w:val="086724C2"/>
    <w:rsid w:val="08674270"/>
    <w:rsid w:val="092E6281"/>
    <w:rsid w:val="099A2423"/>
    <w:rsid w:val="09B34523"/>
    <w:rsid w:val="09E53DBD"/>
    <w:rsid w:val="0A177AAC"/>
    <w:rsid w:val="0A441A30"/>
    <w:rsid w:val="0A9935F5"/>
    <w:rsid w:val="0AE633BB"/>
    <w:rsid w:val="0B316DB7"/>
    <w:rsid w:val="0B367266"/>
    <w:rsid w:val="0BA61553"/>
    <w:rsid w:val="0BC419DA"/>
    <w:rsid w:val="0C1110C3"/>
    <w:rsid w:val="0C2E1176"/>
    <w:rsid w:val="0C465E82"/>
    <w:rsid w:val="0C51111B"/>
    <w:rsid w:val="0C673E11"/>
    <w:rsid w:val="0CAF4438"/>
    <w:rsid w:val="0CC72184"/>
    <w:rsid w:val="0CF34325"/>
    <w:rsid w:val="0CF86BBA"/>
    <w:rsid w:val="0D2E1801"/>
    <w:rsid w:val="0D4B2781"/>
    <w:rsid w:val="0D904269"/>
    <w:rsid w:val="0DAC4BAD"/>
    <w:rsid w:val="0E19425F"/>
    <w:rsid w:val="0E2055ED"/>
    <w:rsid w:val="0E4662D7"/>
    <w:rsid w:val="0E550ABC"/>
    <w:rsid w:val="0E6A17AC"/>
    <w:rsid w:val="0E9160F6"/>
    <w:rsid w:val="0EAE6050"/>
    <w:rsid w:val="0EBA7016"/>
    <w:rsid w:val="0EBF241E"/>
    <w:rsid w:val="0ED974FC"/>
    <w:rsid w:val="0EEA1AE3"/>
    <w:rsid w:val="0EFB5712"/>
    <w:rsid w:val="0F1B2509"/>
    <w:rsid w:val="0F3E4514"/>
    <w:rsid w:val="0F710CD6"/>
    <w:rsid w:val="0F977B31"/>
    <w:rsid w:val="0F9D4A1B"/>
    <w:rsid w:val="0FBD2A6A"/>
    <w:rsid w:val="0FD77F2D"/>
    <w:rsid w:val="0FF54858"/>
    <w:rsid w:val="0FFC5BE6"/>
    <w:rsid w:val="10544A45"/>
    <w:rsid w:val="106612B1"/>
    <w:rsid w:val="10863702"/>
    <w:rsid w:val="10AD36C9"/>
    <w:rsid w:val="10C25B03"/>
    <w:rsid w:val="10D17073"/>
    <w:rsid w:val="10E04EA0"/>
    <w:rsid w:val="10F31D2B"/>
    <w:rsid w:val="11174B65"/>
    <w:rsid w:val="111B6196"/>
    <w:rsid w:val="11403339"/>
    <w:rsid w:val="11785740"/>
    <w:rsid w:val="11DC7A7D"/>
    <w:rsid w:val="11DD2A16"/>
    <w:rsid w:val="11EB795B"/>
    <w:rsid w:val="11ED4330"/>
    <w:rsid w:val="12081474"/>
    <w:rsid w:val="12704C63"/>
    <w:rsid w:val="12751C80"/>
    <w:rsid w:val="12A30723"/>
    <w:rsid w:val="13516249"/>
    <w:rsid w:val="135D6BCD"/>
    <w:rsid w:val="138A3B99"/>
    <w:rsid w:val="1444190A"/>
    <w:rsid w:val="14522CA5"/>
    <w:rsid w:val="146D13A6"/>
    <w:rsid w:val="14705EC9"/>
    <w:rsid w:val="14942891"/>
    <w:rsid w:val="14A81E98"/>
    <w:rsid w:val="14B03E95"/>
    <w:rsid w:val="14CC45D1"/>
    <w:rsid w:val="14D40EDF"/>
    <w:rsid w:val="14EF450D"/>
    <w:rsid w:val="15B33203"/>
    <w:rsid w:val="16175528"/>
    <w:rsid w:val="166638AC"/>
    <w:rsid w:val="16807300"/>
    <w:rsid w:val="16AB5C70"/>
    <w:rsid w:val="16E82A20"/>
    <w:rsid w:val="174D4F79"/>
    <w:rsid w:val="177711B5"/>
    <w:rsid w:val="17777CB5"/>
    <w:rsid w:val="17A30564"/>
    <w:rsid w:val="17E372BA"/>
    <w:rsid w:val="17E502B0"/>
    <w:rsid w:val="182A472E"/>
    <w:rsid w:val="18420856"/>
    <w:rsid w:val="188D13B2"/>
    <w:rsid w:val="189424E2"/>
    <w:rsid w:val="18F93FF4"/>
    <w:rsid w:val="191044B0"/>
    <w:rsid w:val="199E4970"/>
    <w:rsid w:val="1A044015"/>
    <w:rsid w:val="1A204BC7"/>
    <w:rsid w:val="1A2A15A2"/>
    <w:rsid w:val="1A4B1C44"/>
    <w:rsid w:val="1A616E2C"/>
    <w:rsid w:val="1A703458"/>
    <w:rsid w:val="1B324BB2"/>
    <w:rsid w:val="1B440441"/>
    <w:rsid w:val="1B9D57BD"/>
    <w:rsid w:val="1B9E5DA3"/>
    <w:rsid w:val="1BCF2401"/>
    <w:rsid w:val="1BF41E67"/>
    <w:rsid w:val="1C024264"/>
    <w:rsid w:val="1C150C84"/>
    <w:rsid w:val="1C4C525F"/>
    <w:rsid w:val="1C6E5783"/>
    <w:rsid w:val="1C722868"/>
    <w:rsid w:val="1CB6536F"/>
    <w:rsid w:val="1CC40B0B"/>
    <w:rsid w:val="1CDC4DD5"/>
    <w:rsid w:val="1CEF211D"/>
    <w:rsid w:val="1D0916F7"/>
    <w:rsid w:val="1DA06936"/>
    <w:rsid w:val="1E151430"/>
    <w:rsid w:val="1E1F724D"/>
    <w:rsid w:val="1E200F5D"/>
    <w:rsid w:val="1E611201"/>
    <w:rsid w:val="1E7E0C52"/>
    <w:rsid w:val="1EAC4C7B"/>
    <w:rsid w:val="1EC91389"/>
    <w:rsid w:val="1F145F91"/>
    <w:rsid w:val="1F3A01E1"/>
    <w:rsid w:val="202A52D8"/>
    <w:rsid w:val="20495523"/>
    <w:rsid w:val="206375BB"/>
    <w:rsid w:val="20923F96"/>
    <w:rsid w:val="20A428F9"/>
    <w:rsid w:val="20B9542D"/>
    <w:rsid w:val="20C444FE"/>
    <w:rsid w:val="20C462AC"/>
    <w:rsid w:val="21036295"/>
    <w:rsid w:val="21273609"/>
    <w:rsid w:val="214271D1"/>
    <w:rsid w:val="21534753"/>
    <w:rsid w:val="21701A33"/>
    <w:rsid w:val="217D54C3"/>
    <w:rsid w:val="218E28CC"/>
    <w:rsid w:val="21B73A67"/>
    <w:rsid w:val="21C83B7A"/>
    <w:rsid w:val="22543DA3"/>
    <w:rsid w:val="2257232F"/>
    <w:rsid w:val="226513C9"/>
    <w:rsid w:val="22877591"/>
    <w:rsid w:val="22AC6FF8"/>
    <w:rsid w:val="22B61495"/>
    <w:rsid w:val="22B660C8"/>
    <w:rsid w:val="22C970D5"/>
    <w:rsid w:val="23965C78"/>
    <w:rsid w:val="24171C6B"/>
    <w:rsid w:val="245526E1"/>
    <w:rsid w:val="245B0CD5"/>
    <w:rsid w:val="2492794A"/>
    <w:rsid w:val="24975A86"/>
    <w:rsid w:val="24AB5773"/>
    <w:rsid w:val="24FC1DA9"/>
    <w:rsid w:val="24FE5B05"/>
    <w:rsid w:val="25FB42B4"/>
    <w:rsid w:val="265566DE"/>
    <w:rsid w:val="26802C75"/>
    <w:rsid w:val="26AC2595"/>
    <w:rsid w:val="26DE31EC"/>
    <w:rsid w:val="26E2748C"/>
    <w:rsid w:val="273D46C2"/>
    <w:rsid w:val="273F48DE"/>
    <w:rsid w:val="27565140"/>
    <w:rsid w:val="27893274"/>
    <w:rsid w:val="278B57CE"/>
    <w:rsid w:val="27CF049B"/>
    <w:rsid w:val="281D65E0"/>
    <w:rsid w:val="28382F4A"/>
    <w:rsid w:val="286F11F3"/>
    <w:rsid w:val="28AA3FD9"/>
    <w:rsid w:val="28B37AEE"/>
    <w:rsid w:val="292875F4"/>
    <w:rsid w:val="296E2798"/>
    <w:rsid w:val="29D15B84"/>
    <w:rsid w:val="2A2D7079"/>
    <w:rsid w:val="2A314286"/>
    <w:rsid w:val="2A4144C9"/>
    <w:rsid w:val="2B312790"/>
    <w:rsid w:val="2B473D61"/>
    <w:rsid w:val="2B55729A"/>
    <w:rsid w:val="2B7803BF"/>
    <w:rsid w:val="2C602C01"/>
    <w:rsid w:val="2C6C351A"/>
    <w:rsid w:val="2C9A4112"/>
    <w:rsid w:val="2CB15AA3"/>
    <w:rsid w:val="2CBA3D86"/>
    <w:rsid w:val="2CC32661"/>
    <w:rsid w:val="2CF51FD3"/>
    <w:rsid w:val="2D151C3D"/>
    <w:rsid w:val="2D6C5D01"/>
    <w:rsid w:val="2D856DC3"/>
    <w:rsid w:val="2D8764C7"/>
    <w:rsid w:val="2D8D3ECA"/>
    <w:rsid w:val="2DBE7B0E"/>
    <w:rsid w:val="2E015CA6"/>
    <w:rsid w:val="2E7D7A9A"/>
    <w:rsid w:val="2E8826BE"/>
    <w:rsid w:val="2ECD5889"/>
    <w:rsid w:val="2ED726AB"/>
    <w:rsid w:val="2EE56ACA"/>
    <w:rsid w:val="2EF835C5"/>
    <w:rsid w:val="2F370CE9"/>
    <w:rsid w:val="2F3740ED"/>
    <w:rsid w:val="2F73718F"/>
    <w:rsid w:val="2F9B4F20"/>
    <w:rsid w:val="2FC55B9D"/>
    <w:rsid w:val="2FDB37AA"/>
    <w:rsid w:val="2FE0380F"/>
    <w:rsid w:val="301306B6"/>
    <w:rsid w:val="301D1535"/>
    <w:rsid w:val="303560C9"/>
    <w:rsid w:val="307B7C06"/>
    <w:rsid w:val="30BB36C4"/>
    <w:rsid w:val="30D509BD"/>
    <w:rsid w:val="30E3277E"/>
    <w:rsid w:val="31200FC7"/>
    <w:rsid w:val="313C28D3"/>
    <w:rsid w:val="319B3764"/>
    <w:rsid w:val="31B40372"/>
    <w:rsid w:val="31BD2FCF"/>
    <w:rsid w:val="31C003CA"/>
    <w:rsid w:val="31EA18EB"/>
    <w:rsid w:val="31F724B8"/>
    <w:rsid w:val="3260395B"/>
    <w:rsid w:val="327E3730"/>
    <w:rsid w:val="329D6759"/>
    <w:rsid w:val="333870E5"/>
    <w:rsid w:val="33857B1D"/>
    <w:rsid w:val="341E6C53"/>
    <w:rsid w:val="34750134"/>
    <w:rsid w:val="347F022C"/>
    <w:rsid w:val="34A009B9"/>
    <w:rsid w:val="35211A5D"/>
    <w:rsid w:val="35531555"/>
    <w:rsid w:val="35877F3D"/>
    <w:rsid w:val="35A41DB0"/>
    <w:rsid w:val="35AE7952"/>
    <w:rsid w:val="36672E14"/>
    <w:rsid w:val="366A124C"/>
    <w:rsid w:val="368202D2"/>
    <w:rsid w:val="369270E1"/>
    <w:rsid w:val="378105FB"/>
    <w:rsid w:val="37926057"/>
    <w:rsid w:val="37C34FC7"/>
    <w:rsid w:val="37D93797"/>
    <w:rsid w:val="38037262"/>
    <w:rsid w:val="384C6E5B"/>
    <w:rsid w:val="385C099B"/>
    <w:rsid w:val="38F004FE"/>
    <w:rsid w:val="3902576C"/>
    <w:rsid w:val="392D6EF0"/>
    <w:rsid w:val="3938118D"/>
    <w:rsid w:val="397455D6"/>
    <w:rsid w:val="39A700C1"/>
    <w:rsid w:val="39D72754"/>
    <w:rsid w:val="3A393586"/>
    <w:rsid w:val="3A4C2CC8"/>
    <w:rsid w:val="3A4D4B7F"/>
    <w:rsid w:val="3A4E7998"/>
    <w:rsid w:val="3B2F038B"/>
    <w:rsid w:val="3C090989"/>
    <w:rsid w:val="3C616EAB"/>
    <w:rsid w:val="3C945797"/>
    <w:rsid w:val="3CB054DF"/>
    <w:rsid w:val="3CF950D8"/>
    <w:rsid w:val="3D2F28A7"/>
    <w:rsid w:val="3D347D3D"/>
    <w:rsid w:val="3D4D76D9"/>
    <w:rsid w:val="3E00245E"/>
    <w:rsid w:val="3E1B5E09"/>
    <w:rsid w:val="3E9641BB"/>
    <w:rsid w:val="3EFC0EA3"/>
    <w:rsid w:val="3F080BD2"/>
    <w:rsid w:val="3F150081"/>
    <w:rsid w:val="3F2D72BA"/>
    <w:rsid w:val="3F805828"/>
    <w:rsid w:val="3F823162"/>
    <w:rsid w:val="3F982986"/>
    <w:rsid w:val="4021297B"/>
    <w:rsid w:val="407C1648"/>
    <w:rsid w:val="40953369"/>
    <w:rsid w:val="411B1F17"/>
    <w:rsid w:val="41262471"/>
    <w:rsid w:val="41A644CB"/>
    <w:rsid w:val="427F60A8"/>
    <w:rsid w:val="433E3844"/>
    <w:rsid w:val="43550F72"/>
    <w:rsid w:val="435E5C94"/>
    <w:rsid w:val="436E2DBD"/>
    <w:rsid w:val="43F3462F"/>
    <w:rsid w:val="43FB34E3"/>
    <w:rsid w:val="442073EE"/>
    <w:rsid w:val="445D7CFA"/>
    <w:rsid w:val="44836DE6"/>
    <w:rsid w:val="44932800"/>
    <w:rsid w:val="44AC2EC1"/>
    <w:rsid w:val="44AE67A8"/>
    <w:rsid w:val="44F1761E"/>
    <w:rsid w:val="45093AA8"/>
    <w:rsid w:val="45104F1F"/>
    <w:rsid w:val="45170B21"/>
    <w:rsid w:val="45336CAD"/>
    <w:rsid w:val="454F3495"/>
    <w:rsid w:val="45A6672F"/>
    <w:rsid w:val="45BF2352"/>
    <w:rsid w:val="45D16BF2"/>
    <w:rsid w:val="45F17881"/>
    <w:rsid w:val="467977C5"/>
    <w:rsid w:val="468C2286"/>
    <w:rsid w:val="46A25D6F"/>
    <w:rsid w:val="46B471CC"/>
    <w:rsid w:val="46FE1AA9"/>
    <w:rsid w:val="47A61E03"/>
    <w:rsid w:val="47CF53B3"/>
    <w:rsid w:val="47ED662D"/>
    <w:rsid w:val="483671E0"/>
    <w:rsid w:val="48384D06"/>
    <w:rsid w:val="48480CC1"/>
    <w:rsid w:val="48542C55"/>
    <w:rsid w:val="48594F75"/>
    <w:rsid w:val="48FC2A49"/>
    <w:rsid w:val="49137521"/>
    <w:rsid w:val="49341D31"/>
    <w:rsid w:val="49B05263"/>
    <w:rsid w:val="49B065B3"/>
    <w:rsid w:val="4A2A68D0"/>
    <w:rsid w:val="4A2D724C"/>
    <w:rsid w:val="4A307643"/>
    <w:rsid w:val="4A491296"/>
    <w:rsid w:val="4A820FA2"/>
    <w:rsid w:val="4AA3675C"/>
    <w:rsid w:val="4AB96197"/>
    <w:rsid w:val="4B331EBB"/>
    <w:rsid w:val="4B347140"/>
    <w:rsid w:val="4B4E4840"/>
    <w:rsid w:val="4B6776B0"/>
    <w:rsid w:val="4B6D477F"/>
    <w:rsid w:val="4B78532E"/>
    <w:rsid w:val="4B896C69"/>
    <w:rsid w:val="4B8B69BE"/>
    <w:rsid w:val="4BDE5BC4"/>
    <w:rsid w:val="4C03562B"/>
    <w:rsid w:val="4C0F5D7E"/>
    <w:rsid w:val="4C443EC1"/>
    <w:rsid w:val="4CD82614"/>
    <w:rsid w:val="4CE47C0E"/>
    <w:rsid w:val="4D7D140D"/>
    <w:rsid w:val="4DB74867"/>
    <w:rsid w:val="4E2E3A0D"/>
    <w:rsid w:val="4E3803C7"/>
    <w:rsid w:val="4E9272DC"/>
    <w:rsid w:val="4EBC6E6C"/>
    <w:rsid w:val="4F1D07B2"/>
    <w:rsid w:val="4F2D0B44"/>
    <w:rsid w:val="4F8C3B89"/>
    <w:rsid w:val="4FAC2353"/>
    <w:rsid w:val="4FFC254D"/>
    <w:rsid w:val="50444875"/>
    <w:rsid w:val="50570E14"/>
    <w:rsid w:val="50B44A61"/>
    <w:rsid w:val="50B45146"/>
    <w:rsid w:val="516E453B"/>
    <w:rsid w:val="518014CC"/>
    <w:rsid w:val="51D92F0B"/>
    <w:rsid w:val="51EE6435"/>
    <w:rsid w:val="51EF1AF6"/>
    <w:rsid w:val="52500E9E"/>
    <w:rsid w:val="52635075"/>
    <w:rsid w:val="526B217C"/>
    <w:rsid w:val="528D081C"/>
    <w:rsid w:val="52C06024"/>
    <w:rsid w:val="52DD4E28"/>
    <w:rsid w:val="5305612D"/>
    <w:rsid w:val="531445C2"/>
    <w:rsid w:val="535160EA"/>
    <w:rsid w:val="536A07B5"/>
    <w:rsid w:val="539C06A3"/>
    <w:rsid w:val="53C25DCC"/>
    <w:rsid w:val="53EC2E48"/>
    <w:rsid w:val="540C5299"/>
    <w:rsid w:val="54236340"/>
    <w:rsid w:val="544B5DC1"/>
    <w:rsid w:val="547C5F7A"/>
    <w:rsid w:val="54C629CE"/>
    <w:rsid w:val="54C94F38"/>
    <w:rsid w:val="54F77CF7"/>
    <w:rsid w:val="54FC530D"/>
    <w:rsid w:val="552E3950"/>
    <w:rsid w:val="55334136"/>
    <w:rsid w:val="558F0311"/>
    <w:rsid w:val="55CF47D0"/>
    <w:rsid w:val="55EF25AA"/>
    <w:rsid w:val="56157C54"/>
    <w:rsid w:val="56242D6E"/>
    <w:rsid w:val="5650479B"/>
    <w:rsid w:val="56534DE4"/>
    <w:rsid w:val="567A27D0"/>
    <w:rsid w:val="567A473C"/>
    <w:rsid w:val="569972B8"/>
    <w:rsid w:val="57783371"/>
    <w:rsid w:val="57C276F1"/>
    <w:rsid w:val="57D21B81"/>
    <w:rsid w:val="57EA6DA8"/>
    <w:rsid w:val="584A2F07"/>
    <w:rsid w:val="59237134"/>
    <w:rsid w:val="593908DE"/>
    <w:rsid w:val="59443342"/>
    <w:rsid w:val="597933D0"/>
    <w:rsid w:val="5979517E"/>
    <w:rsid w:val="599C7F9A"/>
    <w:rsid w:val="59C85CBE"/>
    <w:rsid w:val="59E26C3A"/>
    <w:rsid w:val="5A030AA6"/>
    <w:rsid w:val="5A3D6A16"/>
    <w:rsid w:val="5A6D4E3C"/>
    <w:rsid w:val="5AB0240C"/>
    <w:rsid w:val="5B287439"/>
    <w:rsid w:val="5BEF690A"/>
    <w:rsid w:val="5C102657"/>
    <w:rsid w:val="5C797243"/>
    <w:rsid w:val="5C9C18B0"/>
    <w:rsid w:val="5CCE3A33"/>
    <w:rsid w:val="5D4F5DE0"/>
    <w:rsid w:val="5D5623E2"/>
    <w:rsid w:val="5DC0337C"/>
    <w:rsid w:val="5DD92690"/>
    <w:rsid w:val="5DE60909"/>
    <w:rsid w:val="5DEE04B2"/>
    <w:rsid w:val="5E0F1C0D"/>
    <w:rsid w:val="5E280F21"/>
    <w:rsid w:val="5E9079F6"/>
    <w:rsid w:val="5E9155BC"/>
    <w:rsid w:val="5E9D190F"/>
    <w:rsid w:val="5EC50DA8"/>
    <w:rsid w:val="5F1E5321"/>
    <w:rsid w:val="5F223BC2"/>
    <w:rsid w:val="5FF7504F"/>
    <w:rsid w:val="60061F3F"/>
    <w:rsid w:val="601B6F8F"/>
    <w:rsid w:val="60326D48"/>
    <w:rsid w:val="604F21D9"/>
    <w:rsid w:val="611018C9"/>
    <w:rsid w:val="61C4086B"/>
    <w:rsid w:val="61F555BE"/>
    <w:rsid w:val="620C741D"/>
    <w:rsid w:val="622F0267"/>
    <w:rsid w:val="62427099"/>
    <w:rsid w:val="62544225"/>
    <w:rsid w:val="629B6165"/>
    <w:rsid w:val="629E5C56"/>
    <w:rsid w:val="62BB67CF"/>
    <w:rsid w:val="62E418BB"/>
    <w:rsid w:val="62E55633"/>
    <w:rsid w:val="63C06767"/>
    <w:rsid w:val="63FA510E"/>
    <w:rsid w:val="640C3D93"/>
    <w:rsid w:val="644A6A0A"/>
    <w:rsid w:val="644B7773"/>
    <w:rsid w:val="64D56C6D"/>
    <w:rsid w:val="654D72FD"/>
    <w:rsid w:val="656C3DE9"/>
    <w:rsid w:val="65766A16"/>
    <w:rsid w:val="65E75098"/>
    <w:rsid w:val="66E51F8A"/>
    <w:rsid w:val="66E8749F"/>
    <w:rsid w:val="672A3F5C"/>
    <w:rsid w:val="675452FF"/>
    <w:rsid w:val="67613F08"/>
    <w:rsid w:val="67873B24"/>
    <w:rsid w:val="67AE693B"/>
    <w:rsid w:val="67BC2E06"/>
    <w:rsid w:val="67D61F57"/>
    <w:rsid w:val="694E2184"/>
    <w:rsid w:val="697B4A5C"/>
    <w:rsid w:val="697E12A2"/>
    <w:rsid w:val="69A022B3"/>
    <w:rsid w:val="69AE0348"/>
    <w:rsid w:val="69B45CE5"/>
    <w:rsid w:val="69EE1271"/>
    <w:rsid w:val="6A605FF8"/>
    <w:rsid w:val="6A70612A"/>
    <w:rsid w:val="6A971908"/>
    <w:rsid w:val="6AAC3386"/>
    <w:rsid w:val="6B083515"/>
    <w:rsid w:val="6B0A20DA"/>
    <w:rsid w:val="6B116574"/>
    <w:rsid w:val="6B144D07"/>
    <w:rsid w:val="6B3D24B0"/>
    <w:rsid w:val="6B6056C1"/>
    <w:rsid w:val="6B826D49"/>
    <w:rsid w:val="6BBE31AF"/>
    <w:rsid w:val="6BC524A5"/>
    <w:rsid w:val="6BF531DA"/>
    <w:rsid w:val="6C172D01"/>
    <w:rsid w:val="6C913E4E"/>
    <w:rsid w:val="6D1C36EF"/>
    <w:rsid w:val="6D2D02A9"/>
    <w:rsid w:val="6D355E35"/>
    <w:rsid w:val="6D5B6C1D"/>
    <w:rsid w:val="6D5C2995"/>
    <w:rsid w:val="6DAA272A"/>
    <w:rsid w:val="6DB35745"/>
    <w:rsid w:val="6DCB069A"/>
    <w:rsid w:val="6DD16EDF"/>
    <w:rsid w:val="6E361438"/>
    <w:rsid w:val="6F413E27"/>
    <w:rsid w:val="6F693201"/>
    <w:rsid w:val="6F6F69B0"/>
    <w:rsid w:val="6FA45556"/>
    <w:rsid w:val="6FD75554"/>
    <w:rsid w:val="6FE729EA"/>
    <w:rsid w:val="6FEB5AF5"/>
    <w:rsid w:val="6FF309B5"/>
    <w:rsid w:val="702E23C7"/>
    <w:rsid w:val="70553F89"/>
    <w:rsid w:val="70F32CE3"/>
    <w:rsid w:val="712B6B74"/>
    <w:rsid w:val="717C3606"/>
    <w:rsid w:val="71B66B18"/>
    <w:rsid w:val="71DD1D77"/>
    <w:rsid w:val="72372ABF"/>
    <w:rsid w:val="72912719"/>
    <w:rsid w:val="72C621C9"/>
    <w:rsid w:val="73130605"/>
    <w:rsid w:val="73213E8F"/>
    <w:rsid w:val="73AD3F4B"/>
    <w:rsid w:val="73C626D0"/>
    <w:rsid w:val="74404DBF"/>
    <w:rsid w:val="746861C6"/>
    <w:rsid w:val="746F1200"/>
    <w:rsid w:val="74A0760B"/>
    <w:rsid w:val="74E44D99"/>
    <w:rsid w:val="74EC09F2"/>
    <w:rsid w:val="7512624A"/>
    <w:rsid w:val="75B330F7"/>
    <w:rsid w:val="7641097A"/>
    <w:rsid w:val="76871BE8"/>
    <w:rsid w:val="768C28DD"/>
    <w:rsid w:val="76AE4262"/>
    <w:rsid w:val="76C172BD"/>
    <w:rsid w:val="76C344EE"/>
    <w:rsid w:val="771A36A5"/>
    <w:rsid w:val="773E407D"/>
    <w:rsid w:val="779E18D2"/>
    <w:rsid w:val="77A6318B"/>
    <w:rsid w:val="77BF345C"/>
    <w:rsid w:val="77D27B85"/>
    <w:rsid w:val="77F12E44"/>
    <w:rsid w:val="78853427"/>
    <w:rsid w:val="78BE1514"/>
    <w:rsid w:val="78E005F3"/>
    <w:rsid w:val="79077C59"/>
    <w:rsid w:val="796B18FD"/>
    <w:rsid w:val="799A1C2F"/>
    <w:rsid w:val="799C2EA6"/>
    <w:rsid w:val="79BF0A45"/>
    <w:rsid w:val="79CA1CBC"/>
    <w:rsid w:val="79D517CA"/>
    <w:rsid w:val="79E306C6"/>
    <w:rsid w:val="79E84256"/>
    <w:rsid w:val="79F04B91"/>
    <w:rsid w:val="7A4C2567"/>
    <w:rsid w:val="7A644042"/>
    <w:rsid w:val="7A8B0F3E"/>
    <w:rsid w:val="7A9C3342"/>
    <w:rsid w:val="7A9D2951"/>
    <w:rsid w:val="7AE92BB4"/>
    <w:rsid w:val="7B673675"/>
    <w:rsid w:val="7B8E2F7E"/>
    <w:rsid w:val="7B9A6B62"/>
    <w:rsid w:val="7BB2786F"/>
    <w:rsid w:val="7BF75C07"/>
    <w:rsid w:val="7C0B3561"/>
    <w:rsid w:val="7C1A14B5"/>
    <w:rsid w:val="7CAF47D9"/>
    <w:rsid w:val="7CBC1E16"/>
    <w:rsid w:val="7CDB439D"/>
    <w:rsid w:val="7CE3278B"/>
    <w:rsid w:val="7D075E3B"/>
    <w:rsid w:val="7D27100F"/>
    <w:rsid w:val="7D342FE7"/>
    <w:rsid w:val="7D532B0D"/>
    <w:rsid w:val="7D5812BB"/>
    <w:rsid w:val="7D8C24CC"/>
    <w:rsid w:val="7DA737B9"/>
    <w:rsid w:val="7DBF6D54"/>
    <w:rsid w:val="7DE22EE2"/>
    <w:rsid w:val="7DF74740"/>
    <w:rsid w:val="7E3D1B83"/>
    <w:rsid w:val="7E4075FF"/>
    <w:rsid w:val="7EAE0FA1"/>
    <w:rsid w:val="7EB3661F"/>
    <w:rsid w:val="7EF26CB5"/>
    <w:rsid w:val="7F3D7C53"/>
    <w:rsid w:val="7F542E62"/>
    <w:rsid w:val="7FDE16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qFormat/>
    <w:uiPriority w:val="0"/>
    <w:pPr>
      <w:keepNext/>
      <w:spacing w:line="600" w:lineRule="atLeast"/>
      <w:ind w:firstLine="570"/>
      <w:outlineLvl w:val="0"/>
    </w:pPr>
    <w:rPr>
      <w:i/>
      <w:iCs/>
      <w:color w:val="000000"/>
      <w:sz w:val="28"/>
    </w:rPr>
  </w:style>
  <w:style w:type="paragraph" w:styleId="3">
    <w:name w:val="heading 2"/>
    <w:basedOn w:val="1"/>
    <w:next w:val="1"/>
    <w:link w:val="4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7"/>
    <w:basedOn w:val="1"/>
    <w:next w:val="1"/>
    <w:link w:val="42"/>
    <w:qFormat/>
    <w:uiPriority w:val="0"/>
    <w:pPr>
      <w:keepNext/>
      <w:keepLines/>
      <w:spacing w:before="240" w:after="64" w:line="320" w:lineRule="auto"/>
      <w:outlineLvl w:val="6"/>
    </w:pPr>
    <w:rPr>
      <w:b/>
      <w:bCs/>
      <w:sz w:val="24"/>
    </w:rPr>
  </w:style>
  <w:style w:type="paragraph" w:styleId="7">
    <w:name w:val="heading 8"/>
    <w:basedOn w:val="1"/>
    <w:next w:val="1"/>
    <w:link w:val="43"/>
    <w:qFormat/>
    <w:uiPriority w:val="0"/>
    <w:pPr>
      <w:keepNext/>
      <w:keepLines/>
      <w:spacing w:before="240" w:after="64" w:line="320" w:lineRule="auto"/>
      <w:outlineLvl w:val="7"/>
    </w:pPr>
    <w:rPr>
      <w:rFonts w:ascii="Arial" w:hAnsi="Arial" w:eastAsia="黑体"/>
      <w:sz w:val="24"/>
    </w:rPr>
  </w:style>
  <w:style w:type="paragraph" w:styleId="8">
    <w:name w:val="heading 9"/>
    <w:basedOn w:val="1"/>
    <w:next w:val="1"/>
    <w:link w:val="44"/>
    <w:qFormat/>
    <w:uiPriority w:val="0"/>
    <w:pPr>
      <w:keepNext/>
      <w:keepLines/>
      <w:spacing w:before="240" w:after="64" w:line="320" w:lineRule="auto"/>
      <w:outlineLvl w:val="8"/>
    </w:pPr>
    <w:rPr>
      <w:rFonts w:ascii="Arial" w:hAnsi="Arial" w:eastAsia="黑体"/>
      <w:szCs w:val="21"/>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semiHidden/>
    <w:qFormat/>
    <w:uiPriority w:val="0"/>
    <w:pPr>
      <w:ind w:left="2520" w:leftChars="1200"/>
    </w:pPr>
  </w:style>
  <w:style w:type="paragraph" w:styleId="10">
    <w:name w:val="Normal Indent"/>
    <w:basedOn w:val="1"/>
    <w:qFormat/>
    <w:uiPriority w:val="0"/>
    <w:pPr>
      <w:ind w:firstLine="420"/>
    </w:pPr>
    <w:rPr>
      <w:sz w:val="28"/>
      <w:szCs w:val="20"/>
    </w:rPr>
  </w:style>
  <w:style w:type="paragraph" w:styleId="11">
    <w:name w:val="Document Map"/>
    <w:basedOn w:val="1"/>
    <w:link w:val="58"/>
    <w:qFormat/>
    <w:uiPriority w:val="0"/>
    <w:rPr>
      <w:rFonts w:ascii="宋体"/>
      <w:sz w:val="18"/>
      <w:szCs w:val="18"/>
    </w:rPr>
  </w:style>
  <w:style w:type="paragraph" w:styleId="12">
    <w:name w:val="Body Text"/>
    <w:basedOn w:val="1"/>
    <w:qFormat/>
    <w:uiPriority w:val="0"/>
    <w:pPr>
      <w:tabs>
        <w:tab w:val="left" w:pos="8750"/>
      </w:tabs>
      <w:spacing w:line="360" w:lineRule="auto"/>
    </w:pPr>
    <w:rPr>
      <w:spacing w:val="20"/>
      <w:kern w:val="44"/>
      <w:sz w:val="28"/>
    </w:rPr>
  </w:style>
  <w:style w:type="paragraph" w:styleId="13">
    <w:name w:val="Body Text Indent"/>
    <w:basedOn w:val="1"/>
    <w:link w:val="45"/>
    <w:qFormat/>
    <w:uiPriority w:val="0"/>
    <w:pPr>
      <w:spacing w:line="720" w:lineRule="atLeast"/>
      <w:ind w:right="31" w:rightChars="15" w:firstLine="560" w:firstLineChars="200"/>
    </w:pPr>
    <w:rPr>
      <w:rFonts w:ascii="宋体" w:hAnsi="宋体"/>
      <w:sz w:val="28"/>
      <w:szCs w:val="28"/>
    </w:rPr>
  </w:style>
  <w:style w:type="paragraph" w:styleId="14">
    <w:name w:val="toc 5"/>
    <w:basedOn w:val="1"/>
    <w:next w:val="1"/>
    <w:semiHidden/>
    <w:qFormat/>
    <w:uiPriority w:val="0"/>
    <w:pPr>
      <w:ind w:left="1680" w:leftChars="800"/>
    </w:pPr>
  </w:style>
  <w:style w:type="paragraph" w:styleId="15">
    <w:name w:val="toc 3"/>
    <w:basedOn w:val="1"/>
    <w:next w:val="1"/>
    <w:semiHidden/>
    <w:qFormat/>
    <w:uiPriority w:val="0"/>
    <w:pPr>
      <w:ind w:left="840" w:leftChars="400"/>
    </w:pPr>
  </w:style>
  <w:style w:type="paragraph" w:styleId="16">
    <w:name w:val="Plain Text"/>
    <w:basedOn w:val="1"/>
    <w:link w:val="54"/>
    <w:qFormat/>
    <w:uiPriority w:val="0"/>
    <w:rPr>
      <w:rFonts w:ascii="宋体" w:hAnsi="Courier New" w:eastAsiaTheme="minorEastAsia" w:cstheme="minorBidi"/>
      <w:szCs w:val="22"/>
    </w:rPr>
  </w:style>
  <w:style w:type="paragraph" w:styleId="17">
    <w:name w:val="toc 8"/>
    <w:basedOn w:val="1"/>
    <w:next w:val="1"/>
    <w:semiHidden/>
    <w:qFormat/>
    <w:uiPriority w:val="0"/>
    <w:pPr>
      <w:ind w:left="2940" w:leftChars="1400"/>
    </w:pPr>
  </w:style>
  <w:style w:type="paragraph" w:styleId="18">
    <w:name w:val="Date"/>
    <w:basedOn w:val="1"/>
    <w:next w:val="1"/>
    <w:link w:val="47"/>
    <w:qFormat/>
    <w:uiPriority w:val="0"/>
    <w:pPr>
      <w:ind w:left="100" w:leftChars="2500"/>
    </w:pPr>
    <w:rPr>
      <w:color w:val="000000"/>
      <w:sz w:val="28"/>
    </w:rPr>
  </w:style>
  <w:style w:type="paragraph" w:styleId="19">
    <w:name w:val="Body Text Indent 2"/>
    <w:basedOn w:val="1"/>
    <w:link w:val="46"/>
    <w:qFormat/>
    <w:uiPriority w:val="0"/>
    <w:pPr>
      <w:spacing w:line="720" w:lineRule="atLeast"/>
      <w:ind w:firstLine="600" w:firstLineChars="200"/>
    </w:pPr>
    <w:rPr>
      <w:rFonts w:ascii="宋体"/>
      <w:spacing w:val="10"/>
      <w:sz w:val="28"/>
      <w:szCs w:val="20"/>
    </w:rPr>
  </w:style>
  <w:style w:type="paragraph" w:styleId="20">
    <w:name w:val="Balloon Text"/>
    <w:basedOn w:val="1"/>
    <w:link w:val="50"/>
    <w:semiHidden/>
    <w:qFormat/>
    <w:uiPriority w:val="0"/>
    <w:rPr>
      <w:sz w:val="18"/>
      <w:szCs w:val="18"/>
    </w:rPr>
  </w:style>
  <w:style w:type="paragraph" w:styleId="21">
    <w:name w:val="footer"/>
    <w:basedOn w:val="1"/>
    <w:link w:val="38"/>
    <w:unhideWhenUsed/>
    <w:qFormat/>
    <w:uiPriority w:val="99"/>
    <w:pPr>
      <w:tabs>
        <w:tab w:val="center" w:pos="4153"/>
        <w:tab w:val="right" w:pos="8306"/>
      </w:tabs>
      <w:snapToGrid w:val="0"/>
      <w:jc w:val="left"/>
    </w:pPr>
    <w:rPr>
      <w:sz w:val="18"/>
      <w:szCs w:val="18"/>
    </w:rPr>
  </w:style>
  <w:style w:type="paragraph" w:styleId="22">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8505"/>
      </w:tabs>
      <w:spacing w:line="276" w:lineRule="auto"/>
    </w:pPr>
    <w:rPr>
      <w:rFonts w:ascii="仿宋_GB2312" w:hAnsi="宋体" w:eastAsia="仿宋_GB2312"/>
      <w:b/>
      <w:bCs/>
      <w:sz w:val="28"/>
    </w:rPr>
  </w:style>
  <w:style w:type="paragraph" w:styleId="24">
    <w:name w:val="toc 4"/>
    <w:basedOn w:val="1"/>
    <w:next w:val="1"/>
    <w:semiHidden/>
    <w:qFormat/>
    <w:uiPriority w:val="0"/>
    <w:pPr>
      <w:ind w:left="1260" w:leftChars="600"/>
    </w:pPr>
  </w:style>
  <w:style w:type="paragraph" w:styleId="25">
    <w:name w:val="footnote text"/>
    <w:basedOn w:val="1"/>
    <w:link w:val="60"/>
    <w:semiHidden/>
    <w:unhideWhenUsed/>
    <w:qFormat/>
    <w:uiPriority w:val="99"/>
    <w:pPr>
      <w:snapToGrid w:val="0"/>
      <w:jc w:val="left"/>
    </w:pPr>
    <w:rPr>
      <w:sz w:val="18"/>
      <w:szCs w:val="18"/>
    </w:rPr>
  </w:style>
  <w:style w:type="paragraph" w:styleId="26">
    <w:name w:val="toc 6"/>
    <w:basedOn w:val="1"/>
    <w:next w:val="1"/>
    <w:semiHidden/>
    <w:qFormat/>
    <w:uiPriority w:val="0"/>
    <w:pPr>
      <w:ind w:left="2100" w:leftChars="1000"/>
    </w:pPr>
  </w:style>
  <w:style w:type="paragraph" w:styleId="27">
    <w:name w:val="Body Text Indent 3"/>
    <w:basedOn w:val="1"/>
    <w:link w:val="48"/>
    <w:qFormat/>
    <w:uiPriority w:val="0"/>
    <w:pPr>
      <w:spacing w:line="600" w:lineRule="atLeast"/>
      <w:ind w:firstLine="570"/>
    </w:pPr>
    <w:rPr>
      <w:sz w:val="28"/>
    </w:rPr>
  </w:style>
  <w:style w:type="paragraph" w:styleId="28">
    <w:name w:val="toc 2"/>
    <w:basedOn w:val="1"/>
    <w:next w:val="1"/>
    <w:qFormat/>
    <w:uiPriority w:val="39"/>
    <w:pPr>
      <w:tabs>
        <w:tab w:val="center" w:leader="dot" w:pos="8352"/>
      </w:tabs>
      <w:adjustRightInd w:val="0"/>
      <w:snapToGrid w:val="0"/>
      <w:spacing w:line="520" w:lineRule="atLeast"/>
      <w:ind w:left="420" w:leftChars="200"/>
      <w:jc w:val="left"/>
    </w:pPr>
    <w:rPr>
      <w:rFonts w:ascii="仿宋_GB2312" w:hAnsi="宋体" w:eastAsia="仿宋_GB2312"/>
      <w:kern w:val="0"/>
      <w:sz w:val="30"/>
    </w:rPr>
  </w:style>
  <w:style w:type="paragraph" w:styleId="29">
    <w:name w:val="toc 9"/>
    <w:basedOn w:val="1"/>
    <w:next w:val="1"/>
    <w:semiHidden/>
    <w:qFormat/>
    <w:uiPriority w:val="0"/>
    <w:pPr>
      <w:ind w:left="3360" w:leftChars="1600"/>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qFormat/>
    <w:uiPriority w:val="0"/>
  </w:style>
  <w:style w:type="character" w:styleId="34">
    <w:name w:val="FollowedHyperlink"/>
    <w:qFormat/>
    <w:uiPriority w:val="99"/>
    <w:rPr>
      <w:color w:val="800080"/>
      <w:u w:val="single"/>
    </w:rPr>
  </w:style>
  <w:style w:type="character" w:styleId="35">
    <w:name w:val="Hyperlink"/>
    <w:qFormat/>
    <w:uiPriority w:val="99"/>
    <w:rPr>
      <w:color w:val="0000FF"/>
      <w:u w:val="single"/>
    </w:rPr>
  </w:style>
  <w:style w:type="character" w:styleId="36">
    <w:name w:val="footnote reference"/>
    <w:basedOn w:val="32"/>
    <w:semiHidden/>
    <w:unhideWhenUsed/>
    <w:qFormat/>
    <w:uiPriority w:val="99"/>
    <w:rPr>
      <w:vertAlign w:val="superscript"/>
    </w:rPr>
  </w:style>
  <w:style w:type="character" w:customStyle="1" w:styleId="37">
    <w:name w:val="页眉 字符"/>
    <w:basedOn w:val="32"/>
    <w:link w:val="22"/>
    <w:qFormat/>
    <w:uiPriority w:val="99"/>
    <w:rPr>
      <w:sz w:val="18"/>
      <w:szCs w:val="18"/>
    </w:rPr>
  </w:style>
  <w:style w:type="character" w:customStyle="1" w:styleId="38">
    <w:name w:val="页脚 字符"/>
    <w:basedOn w:val="32"/>
    <w:link w:val="21"/>
    <w:qFormat/>
    <w:uiPriority w:val="99"/>
    <w:rPr>
      <w:sz w:val="18"/>
      <w:szCs w:val="18"/>
    </w:rPr>
  </w:style>
  <w:style w:type="character" w:customStyle="1" w:styleId="39">
    <w:name w:val="标题 1 字符"/>
    <w:basedOn w:val="32"/>
    <w:link w:val="2"/>
    <w:qFormat/>
    <w:uiPriority w:val="0"/>
    <w:rPr>
      <w:rFonts w:ascii="Times New Roman" w:hAnsi="Times New Roman" w:eastAsia="宋体" w:cs="Times New Roman"/>
      <w:i/>
      <w:iCs/>
      <w:color w:val="000000"/>
      <w:sz w:val="28"/>
      <w:szCs w:val="24"/>
    </w:rPr>
  </w:style>
  <w:style w:type="character" w:customStyle="1" w:styleId="40">
    <w:name w:val="标题 2 字符"/>
    <w:basedOn w:val="32"/>
    <w:link w:val="3"/>
    <w:qFormat/>
    <w:uiPriority w:val="0"/>
    <w:rPr>
      <w:rFonts w:ascii="Arial" w:hAnsi="Arial" w:eastAsia="黑体" w:cs="Times New Roman"/>
      <w:b/>
      <w:bCs/>
      <w:sz w:val="32"/>
      <w:szCs w:val="32"/>
    </w:rPr>
  </w:style>
  <w:style w:type="character" w:customStyle="1" w:styleId="41">
    <w:name w:val="标题 3 字符"/>
    <w:basedOn w:val="32"/>
    <w:link w:val="4"/>
    <w:qFormat/>
    <w:uiPriority w:val="0"/>
    <w:rPr>
      <w:rFonts w:ascii="Times New Roman" w:hAnsi="Times New Roman" w:eastAsia="宋体" w:cs="Times New Roman"/>
      <w:b/>
      <w:bCs/>
      <w:sz w:val="32"/>
      <w:szCs w:val="32"/>
    </w:rPr>
  </w:style>
  <w:style w:type="character" w:customStyle="1" w:styleId="42">
    <w:name w:val="标题 7 字符"/>
    <w:basedOn w:val="32"/>
    <w:link w:val="6"/>
    <w:qFormat/>
    <w:uiPriority w:val="0"/>
    <w:rPr>
      <w:rFonts w:ascii="Times New Roman" w:hAnsi="Times New Roman" w:eastAsia="宋体" w:cs="Times New Roman"/>
      <w:b/>
      <w:bCs/>
      <w:sz w:val="24"/>
      <w:szCs w:val="24"/>
    </w:rPr>
  </w:style>
  <w:style w:type="character" w:customStyle="1" w:styleId="43">
    <w:name w:val="标题 8 字符"/>
    <w:basedOn w:val="32"/>
    <w:link w:val="7"/>
    <w:qFormat/>
    <w:uiPriority w:val="0"/>
    <w:rPr>
      <w:rFonts w:ascii="Arial" w:hAnsi="Arial" w:eastAsia="黑体" w:cs="Times New Roman"/>
      <w:sz w:val="24"/>
      <w:szCs w:val="24"/>
    </w:rPr>
  </w:style>
  <w:style w:type="character" w:customStyle="1" w:styleId="44">
    <w:name w:val="标题 9 字符"/>
    <w:basedOn w:val="32"/>
    <w:link w:val="8"/>
    <w:qFormat/>
    <w:uiPriority w:val="0"/>
    <w:rPr>
      <w:rFonts w:ascii="Arial" w:hAnsi="Arial" w:eastAsia="黑体" w:cs="Times New Roman"/>
      <w:szCs w:val="21"/>
    </w:rPr>
  </w:style>
  <w:style w:type="character" w:customStyle="1" w:styleId="45">
    <w:name w:val="正文文本缩进 字符"/>
    <w:basedOn w:val="32"/>
    <w:link w:val="13"/>
    <w:qFormat/>
    <w:uiPriority w:val="0"/>
    <w:rPr>
      <w:rFonts w:ascii="宋体" w:hAnsi="宋体" w:eastAsia="宋体" w:cs="Times New Roman"/>
      <w:sz w:val="28"/>
      <w:szCs w:val="28"/>
    </w:rPr>
  </w:style>
  <w:style w:type="character" w:customStyle="1" w:styleId="46">
    <w:name w:val="正文文本缩进 2 字符"/>
    <w:basedOn w:val="32"/>
    <w:link w:val="19"/>
    <w:qFormat/>
    <w:uiPriority w:val="0"/>
    <w:rPr>
      <w:rFonts w:ascii="宋体" w:hAnsi="Times New Roman" w:eastAsia="宋体" w:cs="Times New Roman"/>
      <w:spacing w:val="10"/>
      <w:sz w:val="28"/>
      <w:szCs w:val="20"/>
    </w:rPr>
  </w:style>
  <w:style w:type="character" w:customStyle="1" w:styleId="47">
    <w:name w:val="日期 字符"/>
    <w:basedOn w:val="32"/>
    <w:link w:val="18"/>
    <w:qFormat/>
    <w:uiPriority w:val="0"/>
    <w:rPr>
      <w:rFonts w:ascii="Times New Roman" w:hAnsi="Times New Roman" w:eastAsia="宋体" w:cs="Times New Roman"/>
      <w:color w:val="000000"/>
      <w:sz w:val="28"/>
      <w:szCs w:val="24"/>
    </w:rPr>
  </w:style>
  <w:style w:type="character" w:customStyle="1" w:styleId="48">
    <w:name w:val="正文文本缩进 3 字符"/>
    <w:basedOn w:val="32"/>
    <w:link w:val="27"/>
    <w:qFormat/>
    <w:uiPriority w:val="0"/>
    <w:rPr>
      <w:rFonts w:ascii="Times New Roman" w:hAnsi="Times New Roman" w:eastAsia="宋体" w:cs="Times New Roman"/>
      <w:sz w:val="28"/>
      <w:szCs w:val="24"/>
    </w:rPr>
  </w:style>
  <w:style w:type="paragraph" w:customStyle="1" w:styleId="49">
    <w:name w:val="xl26"/>
    <w:basedOn w:val="1"/>
    <w:qFormat/>
    <w:uiPriority w:val="0"/>
    <w:pPr>
      <w:widowControl/>
      <w:pBdr>
        <w:right w:val="single" w:color="auto" w:sz="4" w:space="0"/>
      </w:pBdr>
      <w:spacing w:before="100" w:beforeAutospacing="1" w:after="100" w:afterAutospacing="1"/>
      <w:jc w:val="center"/>
      <w:textAlignment w:val="center"/>
    </w:pPr>
    <w:rPr>
      <w:rFonts w:hint="eastAsia" w:ascii="仿宋_GB2312" w:hAnsi="Arial Unicode MS" w:eastAsia="仿宋_GB2312"/>
      <w:kern w:val="0"/>
      <w:szCs w:val="21"/>
    </w:rPr>
  </w:style>
  <w:style w:type="character" w:customStyle="1" w:styleId="50">
    <w:name w:val="批注框文本 字符"/>
    <w:basedOn w:val="32"/>
    <w:link w:val="20"/>
    <w:semiHidden/>
    <w:qFormat/>
    <w:uiPriority w:val="0"/>
    <w:rPr>
      <w:rFonts w:ascii="Times New Roman" w:hAnsi="Times New Roman" w:eastAsia="宋体" w:cs="Times New Roman"/>
      <w:sz w:val="18"/>
      <w:szCs w:val="18"/>
    </w:rPr>
  </w:style>
  <w:style w:type="paragraph" w:customStyle="1" w:styleId="51">
    <w:name w:val="Char"/>
    <w:basedOn w:val="1"/>
    <w:qFormat/>
    <w:uiPriority w:val="0"/>
    <w:pPr>
      <w:tabs>
        <w:tab w:val="left" w:pos="720"/>
      </w:tabs>
      <w:ind w:left="720" w:hanging="720"/>
    </w:pPr>
    <w:rPr>
      <w:sz w:val="24"/>
    </w:rPr>
  </w:style>
  <w:style w:type="paragraph" w:customStyle="1" w:styleId="52">
    <w:name w:val="表心"/>
    <w:basedOn w:val="1"/>
    <w:qFormat/>
    <w:uiPriority w:val="0"/>
    <w:pPr>
      <w:widowControl/>
      <w:autoSpaceDE w:val="0"/>
      <w:autoSpaceDN w:val="0"/>
      <w:spacing w:line="0" w:lineRule="atLeast"/>
      <w:jc w:val="center"/>
      <w:outlineLvl w:val="8"/>
    </w:pPr>
    <w:rPr>
      <w:rFonts w:ascii="仿宋_GB2312" w:hAnsi="宋体" w:eastAsia="仿宋_GB2312"/>
      <w:color w:val="000000"/>
      <w:spacing w:val="-10"/>
      <w:kern w:val="0"/>
      <w:sz w:val="24"/>
    </w:rPr>
  </w:style>
  <w:style w:type="paragraph" w:customStyle="1" w:styleId="53">
    <w:name w:val="表头"/>
    <w:basedOn w:val="1"/>
    <w:qFormat/>
    <w:uiPriority w:val="0"/>
    <w:pPr>
      <w:tabs>
        <w:tab w:val="left" w:pos="3495"/>
      </w:tabs>
      <w:spacing w:line="240" w:lineRule="atLeast"/>
      <w:ind w:right="210" w:rightChars="100"/>
      <w:jc w:val="center"/>
    </w:pPr>
    <w:rPr>
      <w:rFonts w:ascii="仿宋_GB2312" w:hAnsi="宋体" w:eastAsia="仿宋_GB2312"/>
      <w:b/>
      <w:bCs/>
      <w:i/>
      <w:color w:val="000000"/>
      <w:kern w:val="0"/>
      <w:sz w:val="28"/>
      <w:szCs w:val="28"/>
    </w:rPr>
  </w:style>
  <w:style w:type="character" w:customStyle="1" w:styleId="54">
    <w:name w:val="纯文本 字符"/>
    <w:link w:val="16"/>
    <w:qFormat/>
    <w:uiPriority w:val="0"/>
    <w:rPr>
      <w:rFonts w:ascii="宋体" w:hAnsi="Courier New"/>
    </w:rPr>
  </w:style>
  <w:style w:type="character" w:customStyle="1" w:styleId="55">
    <w:name w:val="纯文本 Char1"/>
    <w:basedOn w:val="32"/>
    <w:qFormat/>
    <w:uiPriority w:val="0"/>
    <w:rPr>
      <w:rFonts w:ascii="宋体" w:hAnsi="Courier New" w:eastAsia="宋体" w:cs="Courier New"/>
      <w:szCs w:val="21"/>
    </w:rPr>
  </w:style>
  <w:style w:type="paragraph" w:styleId="56">
    <w:name w:val="List Paragraph"/>
    <w:basedOn w:val="1"/>
    <w:qFormat/>
    <w:uiPriority w:val="34"/>
    <w:pPr>
      <w:ind w:firstLine="420" w:firstLineChars="200"/>
    </w:pPr>
    <w:rPr>
      <w:rFonts w:ascii="Calibri" w:hAnsi="Calibri"/>
      <w:szCs w:val="22"/>
    </w:rPr>
  </w:style>
  <w:style w:type="paragraph" w:customStyle="1" w:styleId="57">
    <w:name w:val="表格样式"/>
    <w:basedOn w:val="1"/>
    <w:qFormat/>
    <w:uiPriority w:val="0"/>
    <w:pPr>
      <w:jc w:val="center"/>
    </w:pPr>
    <w:rPr>
      <w:rFonts w:ascii="宋体"/>
      <w:szCs w:val="20"/>
    </w:rPr>
  </w:style>
  <w:style w:type="character" w:customStyle="1" w:styleId="58">
    <w:name w:val="文档结构图 字符"/>
    <w:basedOn w:val="32"/>
    <w:link w:val="11"/>
    <w:qFormat/>
    <w:uiPriority w:val="0"/>
    <w:rPr>
      <w:rFonts w:ascii="宋体" w:hAnsi="Times New Roman" w:eastAsia="宋体" w:cs="Times New Roman"/>
      <w:sz w:val="18"/>
      <w:szCs w:val="18"/>
    </w:rPr>
  </w:style>
  <w:style w:type="paragraph" w:customStyle="1" w:styleId="59">
    <w:name w:val="表"/>
    <w:qFormat/>
    <w:uiPriority w:val="0"/>
    <w:pPr>
      <w:adjustRightInd w:val="0"/>
      <w:snapToGrid w:val="0"/>
      <w:jc w:val="center"/>
    </w:pPr>
    <w:rPr>
      <w:rFonts w:ascii="Times New Roman" w:hAnsi="Times New Roman" w:eastAsia="宋体" w:cs="Times New Roman"/>
      <w:sz w:val="24"/>
      <w:lang w:val="en-US" w:eastAsia="zh-CN" w:bidi="ar-SA"/>
    </w:rPr>
  </w:style>
  <w:style w:type="character" w:customStyle="1" w:styleId="60">
    <w:name w:val="脚注文本 字符"/>
    <w:basedOn w:val="32"/>
    <w:link w:val="25"/>
    <w:semiHidden/>
    <w:qFormat/>
    <w:uiPriority w:val="99"/>
    <w:rPr>
      <w:rFonts w:ascii="Times New Roman" w:hAnsi="Times New Roman" w:eastAsia="宋体" w:cs="Times New Roman"/>
      <w:sz w:val="18"/>
      <w:szCs w:val="18"/>
    </w:rPr>
  </w:style>
  <w:style w:type="character" w:customStyle="1" w:styleId="61">
    <w:name w:val="wrong-dom-ele"/>
    <w:basedOn w:val="32"/>
    <w:qFormat/>
    <w:uiPriority w:val="0"/>
  </w:style>
  <w:style w:type="paragraph" w:customStyle="1" w:styleId="62">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paragraph" w:customStyle="1" w:styleId="63">
    <w:name w:val="内审意见"/>
    <w:basedOn w:val="1"/>
    <w:qFormat/>
    <w:uiPriority w:val="0"/>
    <w:pPr>
      <w:widowControl/>
      <w:ind w:firstLine="566" w:firstLineChars="202"/>
      <w:jc w:val="left"/>
    </w:pPr>
    <w:rPr>
      <w:rFonts w:ascii="新宋体" w:hAnsi="新宋体" w:eastAsia="新宋体"/>
      <w:kern w:val="0"/>
      <w:sz w:val="28"/>
      <w:szCs w:val="28"/>
    </w:rPr>
  </w:style>
  <w:style w:type="paragraph" w:customStyle="1" w:styleId="64">
    <w:name w:val="T2.扉签"/>
    <w:next w:val="1"/>
    <w:qFormat/>
    <w:uiPriority w:val="0"/>
    <w:pPr>
      <w:adjustRightInd w:val="0"/>
      <w:snapToGrid w:val="0"/>
      <w:spacing w:line="360" w:lineRule="auto"/>
    </w:pPr>
    <w:rPr>
      <w:rFonts w:ascii="Times New Roman" w:hAnsi="Times New Roman" w:eastAsia="仿宋_GB2312" w:cs="Times New Roman"/>
      <w:sz w:val="28"/>
      <w:szCs w:val="24"/>
      <w:lang w:val="en-US" w:eastAsia="zh-CN" w:bidi="ar-SA"/>
    </w:rPr>
  </w:style>
  <w:style w:type="paragraph" w:customStyle="1" w:styleId="65">
    <w:name w:val="正正文"/>
    <w:basedOn w:val="1"/>
    <w:qFormat/>
    <w:uiPriority w:val="0"/>
    <w:pPr>
      <w:ind w:firstLine="566" w:firstLineChars="202"/>
    </w:pPr>
    <w:rPr>
      <w:rFonts w:ascii="仿宋_GB2312" w:eastAsia="仿宋_GB2312"/>
      <w:kern w:val="0"/>
      <w:sz w:val="28"/>
      <w:szCs w:val="28"/>
    </w:rPr>
  </w:style>
  <w:style w:type="paragraph" w:customStyle="1" w:styleId="66">
    <w:name w:val="样式 行距: 多倍行距 1.35 字行"/>
    <w:basedOn w:val="1"/>
    <w:qFormat/>
    <w:uiPriority w:val="0"/>
    <w:pPr>
      <w:spacing w:before="156" w:beforeLines="50" w:line="360" w:lineRule="auto"/>
      <w:ind w:firstLine="538" w:firstLineChars="192"/>
      <w:jc w:val="left"/>
    </w:pPr>
    <w:rPr>
      <w:rFonts w:ascii="仿宋_GB2312" w:eastAsia="仿宋_GB2312" w:cs="宋体"/>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23.emf"/><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jpeg"/><Relationship Id="rId23" Type="http://schemas.openxmlformats.org/officeDocument/2006/relationships/image" Target="media/image7.png"/><Relationship Id="rId22" Type="http://schemas.openxmlformats.org/officeDocument/2006/relationships/image" Target="media/image6.emf"/><Relationship Id="rId21" Type="http://schemas.openxmlformats.org/officeDocument/2006/relationships/image" Target="media/image5.emf"/><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image" Target="media/image2.emf"/><Relationship Id="rId17" Type="http://schemas.openxmlformats.org/officeDocument/2006/relationships/image" Target="media/image1.emf"/><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37A8A-4D0A-4611-A3E0-B80A8CBFAFD9}">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19590</Words>
  <Characters>22765</Characters>
  <Lines>227</Lines>
  <Paragraphs>64</Paragraphs>
  <TotalTime>2</TotalTime>
  <ScaleCrop>false</ScaleCrop>
  <LinksUpToDate>false</LinksUpToDate>
  <CharactersWithSpaces>23767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2019-12-26T02:48:00Z</dcterms:created>
  <dc:creator>Windows 用户</dc:creator>
  <cp:lastModifiedBy>It's me!彭渭</cp:lastModifiedBy>
  <cp:lastPrinted>2020-11-03T05:45:00Z</cp:lastPrinted>
  <dcterms:modified xsi:type="dcterms:W3CDTF">2022-09-23T02:47:38Z</dcterms:modified>
  <cp:revision>310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EC0B38FEE2D841958CA82CEDCF47FDC4</vt:lpwstr>
  </property>
</Properties>
</file>