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93004">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重庆市綦江区发展和改革委员会</w:t>
      </w:r>
    </w:p>
    <w:p w14:paraId="29522ECF">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重庆市綦江区民政局</w:t>
      </w:r>
    </w:p>
    <w:p w14:paraId="43FAD64D">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rPr>
      </w:pPr>
      <w:r>
        <w:rPr>
          <w:rFonts w:hint="eastAsia" w:ascii="方正小标宋_GBK" w:hAnsi="方正小标宋_GBK" w:eastAsia="方正小标宋_GBK" w:cs="方正小标宋_GBK"/>
          <w:sz w:val="44"/>
          <w:szCs w:val="44"/>
        </w:rPr>
        <w:t>关于重庆市綦江区龙龟山公墓收费的通知</w:t>
      </w:r>
    </w:p>
    <w:p w14:paraId="4F62663B">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rPr>
      </w:pPr>
    </w:p>
    <w:p w14:paraId="2D709ECC">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重庆龙龟山公墓有限公司：</w:t>
      </w:r>
    </w:p>
    <w:p w14:paraId="4F58AA8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加强我区殡葬收费管理，规范殡葬收费行为，维护消费者与殡葬服务机构的合法权益，根据《重庆市殡葬收费管理暂行办法》（渝办发〔2012〕149号）、《重庆市物价局重庆市民政局关于进一步加强殡葬收费管理工作的通知》（渝价〔2013〕157号）、《重庆市物价局重庆市民政局关于市石桥铺殡仪馆墓位管理费收费标准的通知》（渝价〔2013〕283号）文件及2024年区委殡葬领域专项巡察组巡视的相关要求，现就你司公墓收费有</w:t>
      </w:r>
    </w:p>
    <w:p w14:paraId="6C3FDC20">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关事项通知如下：</w:t>
      </w:r>
    </w:p>
    <w:p w14:paraId="7DE0FB3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一、墓位费</w:t>
      </w:r>
    </w:p>
    <w:p w14:paraId="1042BEB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墓位费包括墓位的土建工程费、墓材、墓碑、配套设施、植物及骨灰安葬费用。</w:t>
      </w:r>
    </w:p>
    <w:p w14:paraId="5130CDB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你司经营的墓位属于非基本服务项目中的经营性公墓，实行市场调节价管理，墓位档次应做到低、中、高档兼备，以满足群众不同层次的丧葬需求，收费标准由你司根据经营成本和市场供求状况自主制定。</w:t>
      </w:r>
    </w:p>
    <w:p w14:paraId="48E0156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二、墓位管理费</w:t>
      </w:r>
    </w:p>
    <w:p w14:paraId="16502DA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墓位管理费实行政府定价管理，含骨灰安全管理，墓体、墓碑等设施、植物和公共场所的管护保养。具体收费情况如下：</w:t>
      </w:r>
    </w:p>
    <w:p w14:paraId="2469401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（一）壁墓、树葬、花葬、草坪葬：40元/位·年之内；</w:t>
      </w:r>
    </w:p>
    <w:p w14:paraId="76D1C79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（二）地墓：80元/位·年之内；</w:t>
      </w:r>
    </w:p>
    <w:p w14:paraId="4CAFC8A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以10年或20年为使用周期一次性收取，最长不超过20年。</w:t>
      </w:r>
    </w:p>
    <w:p w14:paraId="39966B3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三、相关要求</w:t>
      </w:r>
    </w:p>
    <w:p w14:paraId="5B248D8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（一）你司要严格执行国家有关殡葬收费政策，严格按殡葬收费项目明确的服务内容开展服务，不得随意提高收费标准和强制推行服务，严禁以特殊服务之名，变相分解收</w:t>
      </w:r>
      <w:bookmarkStart w:id="0" w:name="_GoBack"/>
      <w:bookmarkEnd w:id="0"/>
      <w:r>
        <w:rPr>
          <w:rFonts w:hint="eastAsia" w:ascii="方正仿宋_GBK" w:hAnsi="方正仿宋_GBK" w:eastAsia="方正仿宋_GBK" w:cs="方正仿宋_GBK"/>
          <w:sz w:val="32"/>
          <w:szCs w:val="32"/>
        </w:rPr>
        <w:t>费项目和提高收费标准，未经批准的项目不准收费。</w:t>
      </w:r>
    </w:p>
    <w:p w14:paraId="21C9CB9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（二）你司要严格执行明码标价政策，要在收费处醒目位置将公墓收费项目、收费标准、服务程序、价格投诉举报电话内容进行长期公示，自觉接受价格、民政、市场监管等部门和社会群众的监督检查。</w:t>
      </w:r>
    </w:p>
    <w:p w14:paraId="5BE3245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四、执行时间</w:t>
      </w:r>
    </w:p>
    <w:p w14:paraId="1D01D33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本通知从文件下发之日起执行。</w:t>
      </w:r>
    </w:p>
    <w:p w14:paraId="18C733D8">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方正仿宋_GBK" w:hAnsi="方正仿宋_GBK" w:eastAsia="方正仿宋_GBK" w:cs="方正仿宋_GBK"/>
          <w:sz w:val="32"/>
          <w:szCs w:val="32"/>
        </w:rPr>
      </w:pPr>
    </w:p>
    <w:p w14:paraId="41BDD56A">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方正仿宋_GBK" w:hAnsi="方正仿宋_GBK" w:eastAsia="方正仿宋_GBK" w:cs="方正仿宋_GBK"/>
          <w:spacing w:val="-3"/>
          <w:sz w:val="32"/>
          <w:szCs w:val="32"/>
        </w:rPr>
      </w:pPr>
      <w:r>
        <w:rPr>
          <w:rFonts w:hint="eastAsia" w:ascii="方正仿宋_GBK" w:hAnsi="方正仿宋_GBK" w:eastAsia="方正仿宋_GBK" w:cs="方正仿宋_GBK"/>
          <w:spacing w:val="-3"/>
          <w:sz w:val="32"/>
          <w:szCs w:val="32"/>
        </w:rPr>
        <w:t>重庆市綦江区发展和改革委员会       重庆市綦江区民政局</w:t>
      </w:r>
    </w:p>
    <w:p w14:paraId="36ED2C22">
      <w:pPr>
        <w:keepNext w:val="0"/>
        <w:keepLines w:val="0"/>
        <w:pageBreakBefore w:val="0"/>
        <w:widowControl w:val="0"/>
        <w:kinsoku/>
        <w:wordWrap/>
        <w:overflowPunct/>
        <w:topLinePunct w:val="0"/>
        <w:autoSpaceDE/>
        <w:autoSpaceDN/>
        <w:bidi w:val="0"/>
        <w:adjustRightInd w:val="0"/>
        <w:snapToGrid w:val="0"/>
        <w:spacing w:line="576" w:lineRule="exact"/>
        <w:ind w:firstLine="5652" w:firstLineChars="1800"/>
        <w:textAlignment w:val="auto"/>
        <w:rPr>
          <w:rFonts w:hint="eastAsia" w:ascii="方正仿宋_GBK" w:hAnsi="方正仿宋_GBK" w:eastAsia="方正仿宋_GBK" w:cs="方正仿宋_GBK"/>
          <w:spacing w:val="-3"/>
          <w:sz w:val="32"/>
          <w:szCs w:val="32"/>
        </w:rPr>
      </w:pPr>
      <w:r>
        <w:rPr>
          <w:rFonts w:hint="eastAsia" w:ascii="方正仿宋_GBK" w:hAnsi="方正仿宋_GBK" w:eastAsia="方正仿宋_GBK" w:cs="方正仿宋_GBK"/>
          <w:spacing w:val="-3"/>
          <w:sz w:val="32"/>
          <w:szCs w:val="32"/>
        </w:rPr>
        <w:t>2025年</w:t>
      </w:r>
      <w:r>
        <w:rPr>
          <w:rFonts w:hint="eastAsia" w:ascii="方正仿宋_GBK" w:hAnsi="方正仿宋_GBK" w:eastAsia="方正仿宋_GBK" w:cs="方正仿宋_GBK"/>
          <w:spacing w:val="-3"/>
          <w:sz w:val="32"/>
          <w:szCs w:val="32"/>
          <w:lang w:val="en-US" w:eastAsia="zh-CN"/>
        </w:rPr>
        <w:t>3</w:t>
      </w:r>
      <w:r>
        <w:rPr>
          <w:rFonts w:hint="eastAsia" w:ascii="方正仿宋_GBK" w:hAnsi="方正仿宋_GBK" w:eastAsia="方正仿宋_GBK" w:cs="方正仿宋_GBK"/>
          <w:spacing w:val="-3"/>
          <w:sz w:val="32"/>
          <w:szCs w:val="32"/>
        </w:rPr>
        <w:t>月26日</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EF4EBE"/>
    <w:rsid w:val="1DEF4EBE"/>
    <w:rsid w:val="3C9776F3"/>
    <w:rsid w:val="5581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4f503ed-9cde-4325-b1f0-e74d99564b04}">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2026-08-20T03:29:00Z</dcterms:created>
  <dc:creator>明</dc:creator>
  <cp:lastModifiedBy>明</cp:lastModifiedBy>
  <dcterms:modified xsi:type="dcterms:W3CDTF">2026-08-20T03:32:24Z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89AD135A942047BBB1F6DF9F6C8EE304_11</vt:lpwstr>
  </property>
  <property fmtid="{D5CDD505-2E9C-101B-9397-08002B2CF9AE}" pid="4" name="KSOTemplateDocerSaveRecord">
    <vt:lpwstr>eyJoZGlkIjoiZDkwYzFlNTQ0YjgzYmJhNjM2NDA3MGFjMDIyZGNiY2IiLCJ1c2VySWQiOiI2MTM2NDMxMTYifQ==</vt:lpwstr>
  </property>
</Properties>
</file>