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32"/>
          <w:szCs w:val="20"/>
        </w:rPr>
      </w:pPr>
    </w:p>
    <w:p>
      <w:pPr>
        <w:spacing w:line="576" w:lineRule="exact"/>
        <w:rPr>
          <w:rFonts w:ascii="Times New Roman" w:hAnsi="Times New Roman" w:eastAsia="方正仿宋_GBK" w:cs="Times New Roman"/>
          <w:sz w:val="10"/>
          <w:szCs w:val="10"/>
        </w:rPr>
      </w:pPr>
    </w:p>
    <w:p>
      <w:pPr>
        <w:spacing w:line="576" w:lineRule="exact"/>
        <w:jc w:val="center"/>
        <w:rPr>
          <w:rFonts w:ascii="Times New Roman" w:hAnsi="Times New Roman" w:eastAsia="方正仿宋_GBK" w:cs="Times New Roman"/>
          <w:sz w:val="32"/>
          <w:szCs w:val="20"/>
        </w:rPr>
      </w:pPr>
      <w:r>
        <w:rPr>
          <w:rFonts w:ascii="Times New Roman" w:hAnsi="Times New Roman" w:eastAsia="方正仿宋_GBK" w:cs="Times New Roman"/>
          <w:color w:val="000000"/>
          <w:spacing w:val="20"/>
          <w:sz w:val="32"/>
          <w:szCs w:val="32"/>
        </w:rPr>
        <w:t>綦农委〔</w:t>
      </w:r>
      <w:r>
        <w:rPr>
          <w:rFonts w:hint="default" w:ascii="Times New Roman" w:hAnsi="Times New Roman" w:eastAsia="方正仿宋_GBK" w:cs="Times New Roman"/>
          <w:color w:val="000000"/>
          <w:spacing w:val="20"/>
          <w:sz w:val="32"/>
          <w:szCs w:val="32"/>
        </w:rPr>
        <w:t>202</w:t>
      </w:r>
      <w:r>
        <w:rPr>
          <w:rFonts w:hint="eastAsia" w:ascii="Times New Roman" w:hAnsi="Times New Roman" w:eastAsia="方正仿宋_GBK" w:cs="Times New Roman"/>
          <w:color w:val="000000"/>
          <w:spacing w:val="20"/>
          <w:sz w:val="32"/>
          <w:szCs w:val="32"/>
          <w:lang w:val="en-US" w:eastAsia="zh-CN"/>
        </w:rPr>
        <w:t>5</w:t>
      </w:r>
      <w:r>
        <w:rPr>
          <w:rFonts w:ascii="Times New Roman" w:hAnsi="Times New Roman" w:eastAsia="方正仿宋_GBK" w:cs="Times New Roman"/>
          <w:color w:val="000000"/>
          <w:spacing w:val="20"/>
          <w:sz w:val="32"/>
          <w:szCs w:val="32"/>
        </w:rPr>
        <w:t>〕</w:t>
      </w:r>
      <w:r>
        <w:rPr>
          <w:rFonts w:hint="eastAsia" w:ascii="Times New Roman" w:hAnsi="Times New Roman" w:eastAsia="方正仿宋_GBK" w:cs="Times New Roman"/>
          <w:color w:val="000000"/>
          <w:spacing w:val="20"/>
          <w:sz w:val="32"/>
          <w:szCs w:val="32"/>
          <w:lang w:val="en-US" w:eastAsia="zh-CN"/>
        </w:rPr>
        <w:t>6</w:t>
      </w:r>
      <w:r>
        <w:rPr>
          <w:rFonts w:ascii="Times New Roman" w:hAnsi="Times New Roman" w:eastAsia="方正仿宋_GBK" w:cs="Times New Roman"/>
          <w:color w:val="000000"/>
          <w:spacing w:val="20"/>
          <w:sz w:val="32"/>
          <w:szCs w:val="20"/>
        </w:rPr>
        <w:t>号</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_GBK" w:cs="Times New Roman"/>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Times New Roman" w:hAnsi="Times New Roman" w:eastAsia="宋体" w:cs="Times New Roman"/>
        </w:rPr>
      </w:pPr>
      <w:r>
        <w:rPr>
          <w:rFonts w:hint="default" w:ascii="Times New Roman" w:hAnsi="Times New Roman" w:eastAsia="方正小标宋_GBK" w:cs="Times New Roman"/>
          <w:sz w:val="44"/>
          <w:szCs w:val="52"/>
          <w:lang w:val="en-US" w:eastAsia="zh-CN"/>
        </w:rPr>
        <w:t>重庆市綦江区</w:t>
      </w:r>
      <w:r>
        <w:rPr>
          <w:rFonts w:hint="default" w:ascii="Times New Roman" w:hAnsi="Times New Roman" w:eastAsia="方正小标宋_GBK" w:cs="Times New Roman"/>
          <w:sz w:val="44"/>
          <w:szCs w:val="52"/>
        </w:rPr>
        <w:t>农业农村委员会</w:t>
      </w:r>
    </w:p>
    <w:p>
      <w:pPr>
        <w:pStyle w:val="2"/>
        <w:keepNext w:val="0"/>
        <w:keepLines w:val="0"/>
        <w:pageBreakBefore w:val="0"/>
        <w:widowControl w:val="0"/>
        <w:kinsoku/>
        <w:wordWrap/>
        <w:overflowPunct/>
        <w:topLinePunct w:val="0"/>
        <w:autoSpaceDE/>
        <w:autoSpaceDN/>
        <w:bidi w:val="0"/>
        <w:adjustRightInd/>
        <w:spacing w:line="720" w:lineRule="exact"/>
        <w:jc w:val="center"/>
        <w:textAlignment w:val="auto"/>
        <w:rPr>
          <w:rFonts w:hint="eastAsia" w:ascii="Times New Roman" w:hAnsi="Times New Roman" w:eastAsia="方正小标宋_GBK" w:cs="Times New Roman"/>
          <w:sz w:val="44"/>
          <w:szCs w:val="52"/>
          <w:lang w:val="en-US" w:eastAsia="zh-CN"/>
        </w:rPr>
      </w:pPr>
      <w:r>
        <w:rPr>
          <w:rFonts w:hint="eastAsia" w:ascii="Times New Roman" w:hAnsi="Times New Roman" w:eastAsia="方正小标宋_GBK" w:cs="Times New Roman"/>
          <w:sz w:val="44"/>
          <w:szCs w:val="52"/>
          <w:lang w:val="en-US" w:eastAsia="zh-CN"/>
        </w:rPr>
        <w:t>关于变更调整2023年度中央农业产业发展资金部分项目(渔业发展支持方向）的通知</w:t>
      </w:r>
    </w:p>
    <w:p>
      <w:pPr>
        <w:pStyle w:val="2"/>
        <w:rPr>
          <w:rFonts w:hint="eastAsia" w:ascii="Times New Roman" w:hAnsi="Times New Roman" w:eastAsia="宋体" w:cs="Times New Roman"/>
          <w:lang w:eastAsia="zh-CN"/>
        </w:rPr>
      </w:pPr>
    </w:p>
    <w:p>
      <w:pPr>
        <w:pStyle w:val="2"/>
        <w:rPr>
          <w:rFonts w:ascii="Times New Roman" w:hAnsi="Times New Roman" w:eastAsia="宋体" w:cs="Times New Roman"/>
        </w:rPr>
      </w:pPr>
    </w:p>
    <w:p>
      <w:pPr>
        <w:pStyle w:val="2"/>
        <w:rPr>
          <w:rFonts w:ascii="Times New Roman" w:hAnsi="Times New Roman" w:eastAsia="宋体" w:cs="Times New Roman"/>
        </w:rPr>
      </w:pPr>
    </w:p>
    <w:p>
      <w:pPr>
        <w:pStyle w:val="2"/>
        <w:rPr>
          <w:rFonts w:ascii="Times New Roman" w:hAnsi="Times New Roman" w:eastAsia="宋体" w:cs="Times New Roma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新盛街道、石壕镇及相关项目实施单位：</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为进一步规范和优化2023年度中央农业产业发展资金的使用，确保渔业发展支持方向项目的顺利实施，根据《重庆市农业农村委员会重庆市财政局关于做好2023年中央粮油生产保障等项目实施工作的通知》（渝农发〔2023〕102号）、重庆市綦江区农业农村委员会重庆市綦江区财政局关于2023年度中央农业产业发展资金项目(渔业发展支持方向）的通知綦农委〔2024〕23号及相关文件精神，结合我区渔业发展实际情况，经研究决定，对 2023 年度中央农业产业发展资金部分项目（渔业发展支持方向）进行变更调整。现将有关事项通知如下：</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一、项目变更调整背景</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原定项目名称为“重庆市綦江区锦燊生态农业股份合作社渔业养殖设施升级项目”，该项目计划投入中央农业产业发展资金45万元，用于建设现代化渔业养殖设施，包括养殖池塘标准化改造、水质监测系统安装、养殖设备购置等内容。然而，在项目推进过程中，由于锦燊生态农业股份合作社内部管理工作出现问题，导致项目资金筹集不足，项目进度严重滞后，难以按照原定计划完成建设任务。鉴于此情况，为确保资金使用的有效性和项目的可持续性，经新盛街道申请，并结合其他渔业经营主体的主动申报情况，区农业农村委员会研究决定，对部分渔业发展支持方向的项目进行变更调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二、变更调整内容</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（一）项目实施主体变更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将原项目实施主体新盛街道“重庆市綦江区锦燊生态农业股份合作社”变更为石壕镇“重庆市綦江区金祖利家庭农场”，该家庭农场具备丰富的渔业养殖经验和良好的经营管理能力，能够确保项目顺利实施。</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（二）项目建设内容调整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经过变更调整，项目建设内容主要包括以下三个方面：</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1、土建改造：投入资金33.38万元，针对家庭农场45亩鱼塘区域，进行成鱼样品展示池建造、混凝土桥及场内道路修建、排水工程和进水管道铺设等土建工程，以改善鱼塘基础设施条件。</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智能化渔业设备安装：投入资金9.68万元，为金祖利家庭农场安装网络设备、养殖水域环境监测系统、视频监控系统、精准投料系统和增氧系统等智能化渔业设备，实现渔业养殖的精准管理与监控，提升养殖效率。</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3、电力保障设施升级：投入资金3.48万元，对金祖利家庭农场现有的供电线路进行全面检查评估，更换老化破损的电线电缆，并新增2.4KW发电机1台，确保电力稳定供应，满足渔业养殖设备的用电需求。</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（三）资金预算调整</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原项目“重庆市綦江区锦燊生态农业股份合作社池塘标准化鱼塘改造项目”总投资额为45万元，其中业主自筹15万元，财政补助资金30万元。现变更为“重庆市綦江区金祖利家庭农场标准化鱼塘改造项目”，总投资额为46.54万元。其中，业主自筹资金调整为16.54万元，申请财政补助资金仍为30万元。</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三、变更调整后项目实施要求</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（一）项目实施时间：调整后的项目实施时间为2025年 1 月至2025年3月。</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二）项目管理与监督：由于项目资金使用期限即将到期，请各相关镇人民政府要加强对项目实施的监督管理，督促项目实施主体严格按照调整后的项目建设内容和时间节点推进项目实施。区农业农村委将定期组织项目检查，确保项目质量和资金使用安全。</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三）资金拨付与使用：项目资金按“先建后补”拨付，即项目实施主体先自筹资金启动项目，验收合格并按要求完善竣工资料后申请补助资金。项目实施主体须严格依资金使用规定安排款项，专款专用，严禁挪作他用，全程接受审计监督并出具相应的审计报告，保障项目顺利推进、高质量完工。</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四）项目验收与绩效评价：项目实施主体在项目建设完工并自验合格后，及时向街镇申请验收。单个实施主体单个项目财政投资在30万元以上的，街镇验收合格后向区农业农村委申请区级验收。并开展绩效评价，确保项目达到预期目标。</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eastAsia" w:ascii="方正公文黑体" w:hAnsi="方正公文黑体" w:eastAsia="方正公文黑体" w:cs="方正公文黑体"/>
          <w:sz w:val="32"/>
          <w:szCs w:val="32"/>
          <w:lang w:val="en-US" w:eastAsia="zh-CN"/>
        </w:rPr>
      </w:pPr>
      <w:r>
        <w:rPr>
          <w:rFonts w:hint="eastAsia" w:ascii="方正公文黑体" w:hAnsi="方正公文黑体" w:eastAsia="方正公文黑体" w:cs="方正公文黑体"/>
          <w:sz w:val="32"/>
          <w:szCs w:val="32"/>
          <w:lang w:val="en-US" w:eastAsia="zh-CN"/>
        </w:rPr>
        <w:t>四、公示与反馈</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本次项目变更调整公示时间为2025年1月16日至2025年1月23日（共5个工作日）。公示期间，欢迎社会各界监督，如有异议，请以电话或书面形式向区农业农村委员会反映。监督举报电话：023-85880918。</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附件：2023年度中央农业产业发展资金项目（渔业发展支持方向）变更调整实施主体及项目内容汇总表</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both"/>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此页无正文</w:t>
      </w: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textAlignment w:val="auto"/>
        <w:rPr>
          <w:rFonts w:hint="eastAsia" w:ascii="方正仿宋_GB2312" w:hAnsi="方正仿宋_GB2312" w:eastAsia="方正仿宋_GB2312" w:cs="方正仿宋_GB2312"/>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76" w:lineRule="exact"/>
        <w:ind w:firstLine="4160" w:firstLineChars="13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重庆市綦江区农业农村委</w:t>
      </w:r>
    </w:p>
    <w:p>
      <w:pPr>
        <w:pStyle w:val="2"/>
        <w:keepNext w:val="0"/>
        <w:keepLines w:val="0"/>
        <w:pageBreakBefore w:val="0"/>
        <w:widowControl w:val="0"/>
        <w:kinsoku/>
        <w:wordWrap/>
        <w:overflowPunct/>
        <w:topLinePunct w:val="0"/>
        <w:autoSpaceDE/>
        <w:autoSpaceDN/>
        <w:bidi w:val="0"/>
        <w:adjustRightInd/>
        <w:snapToGrid w:val="0"/>
        <w:spacing w:line="576" w:lineRule="exact"/>
        <w:ind w:firstLine="4800" w:firstLineChars="15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2025年1年15日</w:t>
      </w:r>
    </w:p>
    <w:p>
      <w:pPr>
        <w:pStyle w:val="2"/>
        <w:ind w:firstLine="4800" w:firstLineChars="1500"/>
        <w:rPr>
          <w:rFonts w:hint="eastAsia" w:ascii="方正仿宋_GB2312" w:hAnsi="方正仿宋_GB2312" w:eastAsia="方正仿宋_GB2312" w:cs="方正仿宋_GB2312"/>
          <w:sz w:val="32"/>
          <w:szCs w:val="32"/>
          <w:lang w:val="en-US" w:eastAsia="zh-CN"/>
        </w:rPr>
      </w:pPr>
    </w:p>
    <w:p>
      <w:pPr>
        <w:pStyle w:val="2"/>
        <w:ind w:firstLine="4800" w:firstLineChars="1500"/>
        <w:rPr>
          <w:rFonts w:hint="default" w:ascii="方正仿宋_GB2312" w:hAnsi="方正仿宋_GB2312" w:eastAsia="方正仿宋_GB2312" w:cs="方正仿宋_GB2312"/>
          <w:sz w:val="32"/>
          <w:szCs w:val="32"/>
          <w:lang w:val="en-US" w:eastAsia="zh-CN"/>
        </w:rPr>
      </w:pPr>
    </w:p>
    <w:p>
      <w:pPr>
        <w:pStyle w:val="2"/>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（此件公开</w:t>
      </w:r>
      <w:bookmarkStart w:id="0" w:name="_GoBack"/>
      <w:bookmarkEnd w:id="0"/>
      <w:r>
        <w:rPr>
          <w:rFonts w:hint="eastAsia" w:ascii="方正仿宋_GB2312" w:hAnsi="方正仿宋_GB2312" w:eastAsia="方正仿宋_GB2312" w:cs="方正仿宋_GB2312"/>
          <w:sz w:val="32"/>
          <w:szCs w:val="32"/>
          <w:lang w:val="en-US" w:eastAsia="zh-CN"/>
        </w:rPr>
        <w:t>发布）</w:t>
      </w:r>
    </w:p>
    <w:p>
      <w:pPr>
        <w:pStyle w:val="2"/>
        <w:rPr>
          <w:rFonts w:hint="default" w:ascii="Times New Roman" w:hAnsi="Times New Roman" w:cs="Times New Roman"/>
          <w:sz w:val="21"/>
          <w:szCs w:val="21"/>
          <w:lang w:val="en-US" w:eastAsia="zh-CN"/>
        </w:rPr>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8"/>
        <w:tblW w:w="166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325"/>
        <w:gridCol w:w="818"/>
        <w:gridCol w:w="646"/>
        <w:gridCol w:w="850"/>
        <w:gridCol w:w="618"/>
        <w:gridCol w:w="984"/>
        <w:gridCol w:w="3120"/>
        <w:gridCol w:w="3151"/>
        <w:gridCol w:w="3766"/>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6639" w:type="dxa"/>
            <w:gridSpan w:val="11"/>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6639"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2023年度中央农业产业发展资金项目（渔业发展支持方向）变更调整实施主体及项目内容汇总表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项目实施单位</w:t>
            </w:r>
          </w:p>
        </w:tc>
        <w:tc>
          <w:tcPr>
            <w:tcW w:w="6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项目总投资(万元）</w:t>
            </w:r>
          </w:p>
        </w:tc>
        <w:tc>
          <w:tcPr>
            <w:tcW w:w="14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财政资金</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建设地点</w:t>
            </w:r>
          </w:p>
        </w:tc>
        <w:tc>
          <w:tcPr>
            <w:tcW w:w="32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建设内容</w:t>
            </w:r>
          </w:p>
        </w:tc>
        <w:tc>
          <w:tcPr>
            <w:tcW w:w="3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申请财政补助环节</w:t>
            </w:r>
          </w:p>
        </w:tc>
        <w:tc>
          <w:tcPr>
            <w:tcW w:w="39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绩效目标</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资金文号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补助金额(万元）</w:t>
            </w: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2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39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jc w:val="center"/>
        </w:trPr>
        <w:tc>
          <w:tcPr>
            <w:tcW w:w="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金祖利家庭农场标准化鱼塘改造项目</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重庆市綦江区金祖利家庭农场</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46.54</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綦农委〔2025〕XXX号</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30</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重庆綦江区石壕镇长征村一社</w:t>
            </w:r>
          </w:p>
        </w:tc>
        <w:tc>
          <w:tcPr>
            <w:tcW w:w="32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1、土建改造：针对家庭农场45亩鱼塘区域，进行成鱼样品展示池建造、混凝土桥及场内道路修建、排水工程和进水管道铺设等土建工程，以改善鱼塘基础设施条件。</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2、智能化渔业设备安装：为农场安装网络设备、养殖水域环境监测系统、视频监控系统、精准投料系统和增氧系统等智能化渔业设备，实现渔业养殖的精准管理与监控，提升养殖效率。</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3、电力保障设施升级：对金祖利家庭农场现有的供电线路进行全面检查评估，更换老化破损的电线电缆，并新增发电机1台，确保电力稳定供应，满足渔业养殖设备的用电需求。</w:t>
            </w:r>
          </w:p>
        </w:tc>
        <w:tc>
          <w:tcPr>
            <w:tcW w:w="3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财政补助资金30万元，主要用于土建工程，该子项总投资共计33.38万元。</w:t>
            </w:r>
          </w:p>
        </w:tc>
        <w:tc>
          <w:tcPr>
            <w:tcW w:w="39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一、经济效益：数字化和智能化技术的应用，通过水质监控、增氧控制、精准投料等智能化系统，提升生产效率，降低人力成本。实时监测环境因素，减少养殖风险，初步测算每亩产值可增加1500元以上，直接提高养殖户收入。</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二、社会效益：项目实施为当地提供更多就业机会，特别是智能化系统的维护和管理岗位，助力农村经济发展和共同富裕。通过提高产量和质量，增强市场竞争力，直接增加养殖户收入，改善生活水平，促进社会和谐。泉水生态鱼养殖技术的升级为其他水产养殖业提供借鉴，推动行业整体技术进步和发展。</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三、生态效益：智能化系统实时监测水质和气候，优化养殖环境，减少对生态环境的负面影响。数字化和智能化技术推动渔业现代化，实现渔业与生态环境的协调发展，助力渔业可持续发展。</w:t>
            </w:r>
            <w:r>
              <w:rPr>
                <w:rFonts w:hint="eastAsia" w:ascii="方正仿宋_GBK" w:hAnsi="方正仿宋_GBK" w:eastAsia="方正仿宋_GBK" w:cs="方正仿宋_GBK"/>
                <w:i w:val="0"/>
                <w:iCs w:val="0"/>
                <w:color w:val="000000"/>
                <w:kern w:val="0"/>
                <w:sz w:val="16"/>
                <w:szCs w:val="16"/>
                <w:u w:val="none"/>
                <w:lang w:val="en-US" w:eastAsia="zh-CN" w:bidi="ar"/>
              </w:rPr>
              <w:br w:type="textWrapping"/>
            </w:r>
            <w:r>
              <w:rPr>
                <w:rFonts w:hint="eastAsia" w:ascii="方正仿宋_GBK" w:hAnsi="方正仿宋_GBK" w:eastAsia="方正仿宋_GBK" w:cs="方正仿宋_GBK"/>
                <w:i w:val="0"/>
                <w:iCs w:val="0"/>
                <w:color w:val="000000"/>
                <w:kern w:val="0"/>
                <w:sz w:val="16"/>
                <w:szCs w:val="16"/>
                <w:u w:val="none"/>
                <w:lang w:val="en-US" w:eastAsia="zh-CN" w:bidi="ar"/>
              </w:rPr>
              <w:t>具体指标如下：标准化改造后渔业生产效率提高20%；渔业总产值增长20%。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合计</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46.54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16"/>
                <w:szCs w:val="16"/>
                <w:u w:val="none"/>
              </w:rPr>
            </w:pPr>
            <w:r>
              <w:rPr>
                <w:rFonts w:hint="eastAsia" w:ascii="方正仿宋_GBK" w:hAnsi="方正仿宋_GBK" w:eastAsia="方正仿宋_GBK" w:cs="方正仿宋_GBK"/>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方正仿宋_GBK" w:hAnsi="方正仿宋_GBK" w:eastAsia="方正仿宋_GBK" w:cs="方正仿宋_GBK"/>
                <w:i w:val="0"/>
                <w:iCs w:val="0"/>
                <w:color w:val="000000"/>
                <w:sz w:val="16"/>
                <w:szCs w:val="16"/>
                <w:u w:val="none"/>
              </w:rPr>
            </w:pPr>
          </w:p>
        </w:tc>
      </w:tr>
    </w:tbl>
    <w:p>
      <w:pPr>
        <w:pStyle w:val="2"/>
        <w:rPr>
          <w:rFonts w:hint="default" w:ascii="Times New Roman" w:hAnsi="Times New Roman" w:cs="Times New Roman"/>
          <w:sz w:val="21"/>
          <w:szCs w:val="21"/>
          <w:lang w:val="en-US" w:eastAsia="zh-CN"/>
        </w:rPr>
      </w:pPr>
    </w:p>
    <w:sectPr>
      <w:pgSz w:w="16838" w:h="11906" w:orient="landscape"/>
      <w:pgMar w:top="1587" w:right="2098" w:bottom="1474" w:left="198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公文黑体">
    <w:altName w:val="方正黑体_GBK"/>
    <w:panose1 w:val="02000500000000000000"/>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5ZThjZTE4YzA3MTBkMjEyNDc3ZTJkYTU0NmQyODIifQ=="/>
  </w:docVars>
  <w:rsids>
    <w:rsidRoot w:val="00000000"/>
    <w:rsid w:val="02C523F4"/>
    <w:rsid w:val="08D309EA"/>
    <w:rsid w:val="22C33362"/>
    <w:rsid w:val="30B36F14"/>
    <w:rsid w:val="34C55854"/>
    <w:rsid w:val="3685749A"/>
    <w:rsid w:val="3F991BFB"/>
    <w:rsid w:val="44C7124C"/>
    <w:rsid w:val="62527A03"/>
    <w:rsid w:val="6F6B0078"/>
    <w:rsid w:val="EEDFB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Times New Roman" w:hAnsi="Times New Roman"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1743</Words>
  <Characters>1837</Characters>
  <Lines>0</Lines>
  <Paragraphs>0</Paragraphs>
  <TotalTime>31</TotalTime>
  <ScaleCrop>false</ScaleCrop>
  <LinksUpToDate>false</LinksUpToDate>
  <CharactersWithSpaces>1852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2024-10-24T17:34:00Z</dcterms:created>
  <dc:creator>Administrator</dc:creator>
  <cp:lastModifiedBy>user</cp:lastModifiedBy>
  <dcterms:modified xsi:type="dcterms:W3CDTF">2026-01-28T16:27:52Z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9D444C3FF98D4C1AB25F032E6D33F7D1_13</vt:lpwstr>
  </property>
  <property fmtid="{D5CDD505-2E9C-101B-9397-08002B2CF9AE}" pid="4" name="KSOTemplateDocerSaveRecord">
    <vt:lpwstr>eyJoZGlkIjoiZjExMWQ0ZDRiNjNhODNmMjY1NmFmZmM5ODhkMGQ5MGMiLCJ1c2VySWQiOiI3NzY5ODEzODYifQ==</vt:lpwstr>
  </property>
</Properties>
</file>