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pPr>
    </w:p>
    <w:p>
      <w:pPr>
        <w:spacing w:line="576" w:lineRule="exact"/>
      </w:pPr>
    </w:p>
    <w:p>
      <w:pPr>
        <w:spacing w:line="576" w:lineRule="exact"/>
      </w:pPr>
    </w:p>
    <w:p>
      <w:pPr>
        <w:spacing w:line="576" w:lineRule="exact"/>
      </w:pPr>
    </w:p>
    <w:p>
      <w:pPr>
        <w:spacing w:line="576" w:lineRule="exact"/>
      </w:pPr>
    </w:p>
    <w:p>
      <w:pPr>
        <w:spacing w:line="576" w:lineRule="exact"/>
      </w:pPr>
    </w:p>
    <w:p>
      <w:pPr>
        <w:spacing w:line="576" w:lineRule="exact"/>
        <w:jc w:val="center"/>
      </w:pPr>
      <w:r>
        <w:rPr>
          <w:color w:val="000000"/>
          <w:spacing w:val="20"/>
          <w:szCs w:val="32"/>
        </w:rPr>
        <w:t>綦</w:t>
      </w:r>
      <w:r>
        <w:rPr>
          <w:rFonts w:hint="eastAsia"/>
          <w:color w:val="000000"/>
          <w:spacing w:val="20"/>
          <w:szCs w:val="32"/>
        </w:rPr>
        <w:t>乡振</w:t>
      </w:r>
      <w:r>
        <w:rPr>
          <w:color w:val="000000"/>
          <w:spacing w:val="20"/>
          <w:szCs w:val="32"/>
        </w:rPr>
        <w:t>〔202</w:t>
      </w:r>
      <w:r>
        <w:rPr>
          <w:rFonts w:hint="eastAsia" w:ascii="Times New Roman" w:eastAsia="方正仿宋_GBK"/>
          <w:color w:val="000000"/>
          <w:spacing w:val="20"/>
          <w:szCs w:val="32"/>
          <w:lang w:val="en-US" w:eastAsia="zh-CN"/>
        </w:rPr>
        <w:t>5</w:t>
      </w:r>
      <w:r>
        <w:rPr>
          <w:color w:val="000000"/>
          <w:spacing w:val="20"/>
          <w:szCs w:val="32"/>
        </w:rPr>
        <w:t>〕</w:t>
      </w:r>
      <w:r>
        <w:rPr>
          <w:rFonts w:hint="eastAsia" w:ascii="Times New Roman"/>
          <w:color w:val="000000"/>
          <w:spacing w:val="20"/>
          <w:szCs w:val="32"/>
          <w:lang w:val="en-US" w:eastAsia="zh-CN"/>
        </w:rPr>
        <w:t>5</w:t>
      </w:r>
      <w:r>
        <w:rPr>
          <w:color w:val="000000"/>
          <w:spacing w:val="20"/>
        </w:rPr>
        <w:t>号</w:t>
      </w:r>
    </w:p>
    <w:p>
      <w:pPr>
        <w:spacing w:line="576" w:lineRule="exact"/>
        <w:jc w:val="center"/>
      </w:pPr>
    </w:p>
    <w:p>
      <w:pPr>
        <w:widowControl w:val="0"/>
        <w:spacing w:line="580" w:lineRule="exact"/>
        <w:ind w:firstLine="720" w:firstLineChars="200"/>
        <w:jc w:val="both"/>
        <w:rPr>
          <w:rFonts w:ascii="Times New Roman" w:hAnsi="Times New Roman" w:eastAsia="仿宋_GB2312" w:cs="Times New Roman"/>
          <w:kern w:val="2"/>
          <w:sz w:val="36"/>
          <w:lang w:val="en-US" w:eastAsia="zh-CN" w:bidi="ar-SA"/>
        </w:rPr>
      </w:pPr>
    </w:p>
    <w:p>
      <w:pPr>
        <w:snapToGrid w:val="0"/>
        <w:spacing w:line="57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重庆市綦江区乡村振兴局</w:t>
      </w:r>
    </w:p>
    <w:p>
      <w:pPr>
        <w:snapToGrid w:val="0"/>
        <w:spacing w:line="57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55"/>
          <w:kern w:val="0"/>
          <w:sz w:val="44"/>
          <w:szCs w:val="44"/>
          <w:fitText w:val="4840" w:id="-980702720"/>
        </w:rPr>
        <w:t>重庆市綦江区财政</w:t>
      </w:r>
      <w:r>
        <w:rPr>
          <w:rFonts w:hint="eastAsia" w:ascii="方正小标宋_GBK" w:hAnsi="方正小标宋_GBK" w:eastAsia="方正小标宋_GBK" w:cs="方正小标宋_GBK"/>
          <w:spacing w:val="0"/>
          <w:kern w:val="0"/>
          <w:sz w:val="44"/>
          <w:szCs w:val="44"/>
          <w:fitText w:val="4840" w:id="-980702720"/>
        </w:rPr>
        <w:t>局</w:t>
      </w:r>
    </w:p>
    <w:p>
      <w:pPr>
        <w:snapToGrid w:val="0"/>
        <w:spacing w:line="57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关于下达</w:t>
      </w:r>
      <w:r>
        <w:rPr>
          <w:rFonts w:eastAsia="方正小标宋_GBK"/>
          <w:sz w:val="44"/>
          <w:szCs w:val="44"/>
        </w:rPr>
        <w:t>202</w:t>
      </w:r>
      <w:r>
        <w:rPr>
          <w:rFonts w:hint="eastAsia" w:eastAsia="方正小标宋_GBK"/>
          <w:sz w:val="44"/>
          <w:szCs w:val="44"/>
          <w:lang w:val="en-US" w:eastAsia="zh-CN"/>
        </w:rPr>
        <w:t>5</w:t>
      </w:r>
      <w:r>
        <w:rPr>
          <w:rFonts w:hint="eastAsia" w:ascii="方正小标宋_GBK" w:hAnsi="方正小标宋_GBK" w:eastAsia="方正小标宋_GBK" w:cs="方正小标宋_GBK"/>
          <w:sz w:val="44"/>
          <w:szCs w:val="44"/>
        </w:rPr>
        <w:t>年度</w:t>
      </w:r>
      <w:r>
        <w:rPr>
          <w:rFonts w:hint="eastAsia" w:ascii="方正小标宋_GBK" w:hAnsi="方正小标宋_GBK" w:eastAsia="方正小标宋_GBK" w:cs="方正小标宋_GBK"/>
          <w:sz w:val="44"/>
          <w:szCs w:val="44"/>
          <w:lang w:eastAsia="zh-CN"/>
        </w:rPr>
        <w:t>第二批</w:t>
      </w:r>
      <w:r>
        <w:rPr>
          <w:rFonts w:hint="eastAsia" w:ascii="方正小标宋_GBK" w:hAnsi="方正小标宋_GBK" w:eastAsia="方正小标宋_GBK" w:cs="方正小标宋_GBK"/>
          <w:sz w:val="44"/>
          <w:szCs w:val="44"/>
        </w:rPr>
        <w:t>财政衔接推进</w:t>
      </w:r>
    </w:p>
    <w:p>
      <w:pPr>
        <w:snapToGrid w:val="0"/>
        <w:spacing w:line="57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乡村振兴补助资金项目计划的通知</w:t>
      </w:r>
    </w:p>
    <w:p>
      <w:pPr>
        <w:spacing w:line="576" w:lineRule="exact"/>
      </w:pPr>
    </w:p>
    <w:p>
      <w:pPr>
        <w:spacing w:line="576" w:lineRule="exact"/>
        <w:rPr>
          <w:rFonts w:hint="eastAsia" w:eastAsia="方正仿宋_GBK"/>
          <w:szCs w:val="32"/>
          <w:lang w:val="en-US" w:eastAsia="zh-CN"/>
        </w:rPr>
      </w:pPr>
      <w:r>
        <w:rPr>
          <w:rFonts w:hint="eastAsia"/>
          <w:szCs w:val="32"/>
          <w:lang w:val="en-US" w:eastAsia="zh-CN"/>
        </w:rPr>
        <w:t>区人社局、区住建委、区水利局、区农业农村委，重庆南州农文旅发展（集团）有限公司：</w:t>
      </w:r>
    </w:p>
    <w:p>
      <w:pPr>
        <w:spacing w:line="576" w:lineRule="exact"/>
        <w:ind w:firstLine="640" w:firstLineChars="200"/>
        <w:rPr>
          <w:szCs w:val="32"/>
        </w:rPr>
      </w:pPr>
      <w:r>
        <w:rPr>
          <w:szCs w:val="32"/>
        </w:rPr>
        <w:t>根据工作要求，</w:t>
      </w:r>
      <w:r>
        <w:rPr>
          <w:rFonts w:hint="eastAsia"/>
          <w:szCs w:val="32"/>
        </w:rPr>
        <w:t>本次下达</w:t>
      </w:r>
      <w:r>
        <w:rPr>
          <w:szCs w:val="32"/>
        </w:rPr>
        <w:t>202</w:t>
      </w:r>
      <w:r>
        <w:rPr>
          <w:rFonts w:hint="eastAsia"/>
          <w:szCs w:val="32"/>
          <w:lang w:val="en-US" w:eastAsia="zh-CN"/>
        </w:rPr>
        <w:t>5</w:t>
      </w:r>
      <w:r>
        <w:rPr>
          <w:rFonts w:hint="eastAsia"/>
          <w:szCs w:val="32"/>
        </w:rPr>
        <w:t>年度</w:t>
      </w:r>
      <w:r>
        <w:rPr>
          <w:rFonts w:hint="eastAsia"/>
          <w:szCs w:val="32"/>
          <w:lang w:eastAsia="zh-CN"/>
        </w:rPr>
        <w:t>第二批</w:t>
      </w:r>
      <w:r>
        <w:rPr>
          <w:rFonts w:hint="eastAsia"/>
          <w:szCs w:val="32"/>
        </w:rPr>
        <w:t>财政</w:t>
      </w:r>
      <w:r>
        <w:rPr>
          <w:szCs w:val="32"/>
        </w:rPr>
        <w:t>衔接推进乡村振兴补助</w:t>
      </w:r>
      <w:r>
        <w:rPr>
          <w:rFonts w:hint="eastAsia"/>
          <w:szCs w:val="32"/>
        </w:rPr>
        <w:t>资金（以下简称衔接资金）</w:t>
      </w:r>
      <w:r>
        <w:rPr>
          <w:rFonts w:hint="eastAsia"/>
          <w:szCs w:val="32"/>
          <w:u w:val="single"/>
          <w:lang w:val="en-US" w:eastAsia="zh-CN"/>
        </w:rPr>
        <w:t>4775</w:t>
      </w:r>
      <w:r>
        <w:rPr>
          <w:rFonts w:hint="eastAsia"/>
          <w:szCs w:val="32"/>
        </w:rPr>
        <w:t>万元，主要用于</w:t>
      </w:r>
      <w:r>
        <w:rPr>
          <w:rFonts w:hint="eastAsia"/>
          <w:szCs w:val="32"/>
          <w:u w:val="single"/>
          <w:lang w:eastAsia="zh-CN"/>
        </w:rPr>
        <w:t>2025年綦江区“雨露计划”职业教育补助项目</w:t>
      </w:r>
      <w:r>
        <w:rPr>
          <w:rFonts w:hint="eastAsia"/>
          <w:szCs w:val="32"/>
        </w:rPr>
        <w:t>（详见附件）。具体要求如下：</w:t>
      </w:r>
    </w:p>
    <w:p>
      <w:pPr>
        <w:spacing w:line="576" w:lineRule="exact"/>
        <w:ind w:firstLine="640" w:firstLineChars="200"/>
        <w:rPr>
          <w:rFonts w:eastAsia="方正黑体_GBK"/>
          <w:szCs w:val="32"/>
        </w:rPr>
      </w:pPr>
      <w:r>
        <w:rPr>
          <w:rFonts w:hint="eastAsia" w:ascii="方正黑体_GBK" w:hAnsi="方正黑体_GBK" w:eastAsia="方正黑体_GBK" w:cs="方正黑体_GBK"/>
          <w:color w:val="333333"/>
          <w:szCs w:val="32"/>
          <w:shd w:val="clear" w:color="auto" w:fill="FFFFFF"/>
        </w:rPr>
        <w:t>一、严格规范资金用途。</w:t>
      </w:r>
      <w:r>
        <w:rPr>
          <w:szCs w:val="32"/>
        </w:rPr>
        <w:t>项目实施单位要严格按照</w:t>
      </w:r>
      <w:r>
        <w:rPr>
          <w:rFonts w:hint="eastAsia"/>
          <w:szCs w:val="32"/>
        </w:rPr>
        <w:t>《重庆市綦江区财政局等</w:t>
      </w:r>
      <w:r>
        <w:rPr>
          <w:szCs w:val="32"/>
        </w:rPr>
        <w:t>6</w:t>
      </w:r>
      <w:r>
        <w:rPr>
          <w:rFonts w:hint="eastAsia"/>
          <w:szCs w:val="32"/>
        </w:rPr>
        <w:t>部门关于印发&lt;重庆市綦江区财政衔接推进乡村振兴补助资金管理实施细则&gt;的通知》</w:t>
      </w:r>
      <w:r>
        <w:rPr>
          <w:szCs w:val="32"/>
        </w:rPr>
        <w:t>（</w:t>
      </w:r>
      <w:r>
        <w:rPr>
          <w:rFonts w:hint="eastAsia"/>
          <w:szCs w:val="32"/>
        </w:rPr>
        <w:t>綦江财发</w:t>
      </w:r>
      <w:r>
        <w:rPr>
          <w:szCs w:val="32"/>
        </w:rPr>
        <w:t>〔2022〕123号）要求，规范资金使用范围，提高资金使用绩效。根据《</w:t>
      </w:r>
      <w:r>
        <w:rPr>
          <w:rFonts w:hint="eastAsia"/>
          <w:szCs w:val="32"/>
        </w:rPr>
        <w:t>关于转发&lt;关于加强财政衔接推进乡村振兴补助资金监管的意见&gt;的通知</w:t>
      </w:r>
      <w:r>
        <w:rPr>
          <w:szCs w:val="32"/>
        </w:rPr>
        <w:t>》（</w:t>
      </w:r>
      <w:r>
        <w:rPr>
          <w:rFonts w:hint="eastAsia"/>
          <w:szCs w:val="32"/>
        </w:rPr>
        <w:t>綦委农办</w:t>
      </w:r>
      <w:r>
        <w:rPr>
          <w:szCs w:val="32"/>
        </w:rPr>
        <w:t>〔2021〕33号），切实加强资金监管，</w:t>
      </w:r>
      <w:r>
        <w:rPr>
          <w:rFonts w:hint="eastAsia"/>
          <w:szCs w:val="32"/>
        </w:rPr>
        <w:t>强化绩效管理，</w:t>
      </w:r>
      <w:r>
        <w:rPr>
          <w:szCs w:val="32"/>
        </w:rPr>
        <w:t>全面落实公告公示制度，</w:t>
      </w:r>
      <w:r>
        <w:rPr>
          <w:rFonts w:hint="eastAsia"/>
          <w:szCs w:val="32"/>
        </w:rPr>
        <w:t>提高政策知晓率，确保资金安全和效益。驻村工作队所在村，</w:t>
      </w:r>
      <w:r>
        <w:rPr>
          <w:szCs w:val="32"/>
        </w:rPr>
        <w:t>驻村第一书记</w:t>
      </w:r>
      <w:r>
        <w:rPr>
          <w:rFonts w:hint="eastAsia"/>
          <w:szCs w:val="32"/>
        </w:rPr>
        <w:t>需</w:t>
      </w:r>
      <w:r>
        <w:rPr>
          <w:szCs w:val="32"/>
        </w:rPr>
        <w:t>在本村实施的项目验收单上签字，并监督资金项目的公告公示情况。</w:t>
      </w:r>
    </w:p>
    <w:p>
      <w:pPr>
        <w:pStyle w:val="8"/>
        <w:widowControl/>
        <w:spacing w:line="576" w:lineRule="exact"/>
        <w:ind w:firstLine="634"/>
        <w:jc w:val="left"/>
        <w:rPr>
          <w:color w:val="000000" w:themeColor="text1"/>
          <w:sz w:val="32"/>
          <w:szCs w:val="32"/>
        </w:rPr>
      </w:pPr>
      <w:r>
        <w:rPr>
          <w:rFonts w:hint="eastAsia" w:ascii="方正黑体_GBK" w:hAnsi="方正黑体_GBK" w:eastAsia="方正黑体_GBK" w:cs="方正黑体_GBK"/>
          <w:color w:val="000000" w:themeColor="text1"/>
          <w:sz w:val="32"/>
          <w:szCs w:val="32"/>
          <w:shd w:val="clear" w:color="auto" w:fill="FFFFFF"/>
        </w:rPr>
        <w:t>二、保质保量推进项目建设。</w:t>
      </w:r>
      <w:r>
        <w:rPr>
          <w:color w:val="000000" w:themeColor="text1"/>
          <w:sz w:val="32"/>
          <w:szCs w:val="32"/>
        </w:rPr>
        <w:t>各</w:t>
      </w:r>
      <w:r>
        <w:rPr>
          <w:rFonts w:hint="eastAsia"/>
          <w:color w:val="000000" w:themeColor="text1"/>
          <w:sz w:val="32"/>
          <w:szCs w:val="32"/>
        </w:rPr>
        <w:t>项</w:t>
      </w:r>
      <w:r>
        <w:rPr>
          <w:rFonts w:hint="eastAsia"/>
          <w:sz w:val="32"/>
          <w:szCs w:val="32"/>
        </w:rPr>
        <w:t>目实施单位强化事前事中事后全链条监管，</w:t>
      </w:r>
      <w:r>
        <w:rPr>
          <w:sz w:val="32"/>
          <w:szCs w:val="32"/>
        </w:rPr>
        <w:t>确保形象进度</w:t>
      </w:r>
      <w:r>
        <w:rPr>
          <w:rFonts w:hint="eastAsia"/>
          <w:sz w:val="32"/>
          <w:szCs w:val="32"/>
        </w:rPr>
        <w:t>质量达标，投资进度真实有效，支付进度规范及时。</w:t>
      </w:r>
      <w:r>
        <w:rPr>
          <w:rFonts w:hint="eastAsia"/>
          <w:sz w:val="32"/>
          <w:szCs w:val="32"/>
          <w:lang w:eastAsia="zh-CN"/>
        </w:rPr>
        <w:t>倒排</w:t>
      </w:r>
      <w:r>
        <w:rPr>
          <w:rFonts w:hint="eastAsia"/>
          <w:sz w:val="32"/>
          <w:szCs w:val="32"/>
        </w:rPr>
        <w:t>工期计划</w:t>
      </w:r>
      <w:r>
        <w:rPr>
          <w:rFonts w:hint="eastAsia"/>
          <w:sz w:val="32"/>
          <w:szCs w:val="32"/>
          <w:lang w:eastAsia="zh-CN"/>
        </w:rPr>
        <w:t>确保资金支付</w:t>
      </w:r>
      <w:r>
        <w:rPr>
          <w:rFonts w:hint="eastAsia"/>
          <w:sz w:val="32"/>
          <w:szCs w:val="32"/>
          <w:lang w:val="en-US" w:eastAsia="zh-CN"/>
        </w:rPr>
        <w:t>10月底</w:t>
      </w:r>
      <w:r>
        <w:rPr>
          <w:rFonts w:hint="eastAsia"/>
          <w:sz w:val="32"/>
          <w:szCs w:val="32"/>
        </w:rPr>
        <w:t>达到</w:t>
      </w:r>
      <w:r>
        <w:rPr>
          <w:rFonts w:hint="eastAsia"/>
          <w:sz w:val="32"/>
          <w:szCs w:val="32"/>
          <w:lang w:val="en-US" w:eastAsia="zh-CN"/>
        </w:rPr>
        <w:t>85%、12月</w:t>
      </w:r>
      <w:r>
        <w:rPr>
          <w:rFonts w:hint="eastAsia"/>
          <w:sz w:val="32"/>
          <w:szCs w:val="32"/>
        </w:rPr>
        <w:t>达到</w:t>
      </w:r>
      <w:r>
        <w:rPr>
          <w:rFonts w:hint="eastAsia"/>
          <w:sz w:val="32"/>
          <w:szCs w:val="32"/>
          <w:lang w:val="en-US" w:eastAsia="zh-CN"/>
        </w:rPr>
        <w:t>100%</w:t>
      </w:r>
      <w:r>
        <w:rPr>
          <w:rFonts w:hint="eastAsia"/>
          <w:sz w:val="32"/>
          <w:szCs w:val="32"/>
        </w:rPr>
        <w:t>，未达到要求将调度通报；</w:t>
      </w:r>
      <w:r>
        <w:rPr>
          <w:rFonts w:hint="eastAsia"/>
          <w:sz w:val="32"/>
          <w:szCs w:val="32"/>
          <w:lang w:eastAsia="zh-CN"/>
        </w:rPr>
        <w:t>严格</w:t>
      </w:r>
      <w:r>
        <w:rPr>
          <w:rFonts w:hint="eastAsia"/>
          <w:sz w:val="32"/>
          <w:szCs w:val="32"/>
        </w:rPr>
        <w:t>落实监督管理责任，及时发现和纠正存在的风险和问题，创新监管制度，依据风险高低实施差异化监管。</w:t>
      </w:r>
    </w:p>
    <w:p>
      <w:pPr>
        <w:autoSpaceDE w:val="0"/>
        <w:adjustRightInd w:val="0"/>
        <w:snapToGrid w:val="0"/>
        <w:spacing w:line="576" w:lineRule="exact"/>
        <w:ind w:firstLine="640" w:firstLineChars="200"/>
        <w:rPr>
          <w:color w:val="000000" w:themeColor="text1"/>
          <w:szCs w:val="32"/>
        </w:rPr>
      </w:pPr>
      <w:r>
        <w:rPr>
          <w:rFonts w:hint="eastAsia" w:ascii="方正黑体_GBK" w:hAnsi="方正黑体_GBK" w:eastAsia="方正黑体_GBK" w:cs="方正黑体_GBK"/>
          <w:color w:val="000000" w:themeColor="text1"/>
          <w:szCs w:val="32"/>
          <w:shd w:val="clear" w:color="auto" w:fill="FFFFFF"/>
        </w:rPr>
        <w:t>三、合法合规落实项目管理。</w:t>
      </w:r>
      <w:r>
        <w:rPr>
          <w:color w:val="000000" w:themeColor="text1"/>
          <w:szCs w:val="32"/>
        </w:rPr>
        <w:t>项目实施按照相关规定签订廉政合同，按规定组织好项目的</w:t>
      </w:r>
      <w:r>
        <w:rPr>
          <w:rFonts w:hint="eastAsia"/>
          <w:color w:val="000000" w:themeColor="text1"/>
          <w:szCs w:val="32"/>
        </w:rPr>
        <w:t>评审、</w:t>
      </w:r>
      <w:r>
        <w:rPr>
          <w:color w:val="000000" w:themeColor="text1"/>
          <w:szCs w:val="32"/>
        </w:rPr>
        <w:t>招投标、政府采购、工程监理、竣工验收、绩效评价、审计评估等工作。加强对项目实施过程的安全检查，并作好相关记录，确保项目实施安全。</w:t>
      </w:r>
      <w:r>
        <w:rPr>
          <w:rFonts w:hint="eastAsia"/>
          <w:color w:val="000000" w:themeColor="text1"/>
          <w:szCs w:val="32"/>
        </w:rPr>
        <w:t>各单位</w:t>
      </w:r>
      <w:r>
        <w:rPr>
          <w:bCs/>
          <w:szCs w:val="32"/>
        </w:rPr>
        <w:t>认真贯彻落实《重庆市财政衔接推进乡村振兴补助资金项目公告公示实施办法》</w:t>
      </w:r>
      <w:r>
        <w:rPr>
          <w:rFonts w:hint="eastAsia"/>
          <w:bCs/>
          <w:szCs w:val="32"/>
        </w:rPr>
        <w:t>（渝委农办〔</w:t>
      </w:r>
      <w:r>
        <w:rPr>
          <w:bCs/>
          <w:szCs w:val="32"/>
        </w:rPr>
        <w:t>2021</w:t>
      </w:r>
      <w:r>
        <w:rPr>
          <w:rFonts w:hint="eastAsia"/>
          <w:bCs/>
          <w:szCs w:val="32"/>
        </w:rPr>
        <w:t>〕</w:t>
      </w:r>
      <w:r>
        <w:rPr>
          <w:bCs/>
          <w:szCs w:val="32"/>
        </w:rPr>
        <w:t>31</w:t>
      </w:r>
      <w:r>
        <w:rPr>
          <w:rFonts w:hint="eastAsia"/>
          <w:bCs/>
          <w:szCs w:val="32"/>
        </w:rPr>
        <w:t>号）</w:t>
      </w:r>
      <w:r>
        <w:rPr>
          <w:bCs/>
          <w:szCs w:val="32"/>
        </w:rPr>
        <w:t>文件精神，全面落实区镇村三级公告公示制度，主动接受群众和社会监督。</w:t>
      </w:r>
    </w:p>
    <w:p>
      <w:pPr>
        <w:autoSpaceDE w:val="0"/>
        <w:adjustRightInd w:val="0"/>
        <w:snapToGrid w:val="0"/>
        <w:spacing w:line="576" w:lineRule="exact"/>
        <w:ind w:firstLine="640" w:firstLineChars="200"/>
        <w:rPr>
          <w:color w:val="000000" w:themeColor="text1"/>
          <w:szCs w:val="32"/>
        </w:rPr>
      </w:pPr>
      <w:r>
        <w:rPr>
          <w:rFonts w:hint="eastAsia" w:ascii="方正黑体_GBK" w:hAnsi="方正黑体_GBK" w:eastAsia="方正黑体_GBK" w:cs="方正黑体_GBK"/>
          <w:bCs/>
          <w:szCs w:val="32"/>
        </w:rPr>
        <w:t>四、严肃查处腐败和作风问题。</w:t>
      </w:r>
      <w:r>
        <w:rPr>
          <w:bCs/>
          <w:szCs w:val="32"/>
        </w:rPr>
        <w:t>畅通举报渠道，主动接受群众、社会各界监督。进一步健全监督检查机制，及时开展项目实施情况检查，督促项目实施单位限期整改，对拒不整改或整改工作不力、达不到整改效果的严肃追责问责，绝不手软。对衔接资金项目建设中存在的腐败和作风问题要加强线索搜集、重点关注，严禁套取、骗取项目资金，不得重复享受项目补助资金。若有违规违纪问题将移交纪检监察机关处理，违法行为将移送司法机关处理，确保衔接资金用到实处，保障群众利益。</w:t>
      </w:r>
    </w:p>
    <w:p>
      <w:pPr>
        <w:pStyle w:val="8"/>
        <w:widowControl/>
        <w:spacing w:line="576" w:lineRule="exact"/>
        <w:ind w:firstLine="634"/>
        <w:jc w:val="left"/>
        <w:rPr>
          <w:color w:val="000000" w:themeColor="text1"/>
          <w:sz w:val="32"/>
          <w:szCs w:val="32"/>
        </w:rPr>
      </w:pPr>
      <w:r>
        <w:rPr>
          <w:rFonts w:hint="eastAsia" w:ascii="方正黑体_GBK" w:hAnsi="方正黑体_GBK" w:eastAsia="方正黑体_GBK" w:cs="方正黑体_GBK"/>
          <w:color w:val="000000" w:themeColor="text1"/>
          <w:sz w:val="32"/>
          <w:szCs w:val="32"/>
          <w:shd w:val="clear" w:color="auto" w:fill="FFFFFF"/>
        </w:rPr>
        <w:t>五、管好用好项目库。</w:t>
      </w:r>
      <w:r>
        <w:rPr>
          <w:color w:val="000000" w:themeColor="text1"/>
          <w:sz w:val="32"/>
          <w:szCs w:val="32"/>
        </w:rPr>
        <w:t>严格按照重庆市乡村振兴局《关于加强县级巩固拓展脱贫攻坚成果和乡村振兴项目库建设管理的通知》（渝乡振发〔2021〕4号）文件要求，及时更新项目库信息，做好项目库建设和维护，实现系统录入、上报数据、实际情况，三者相符。</w:t>
      </w:r>
    </w:p>
    <w:p>
      <w:pPr>
        <w:spacing w:line="576" w:lineRule="exact"/>
        <w:ind w:left="1600" w:leftChars="200" w:hanging="960" w:hangingChars="300"/>
        <w:rPr>
          <w:color w:val="000000" w:themeColor="text1"/>
          <w:szCs w:val="32"/>
        </w:rPr>
      </w:pPr>
    </w:p>
    <w:p>
      <w:pPr>
        <w:spacing w:line="576" w:lineRule="exact"/>
        <w:ind w:left="1600" w:leftChars="200" w:hanging="960" w:hangingChars="300"/>
        <w:rPr>
          <w:rFonts w:hint="default"/>
          <w:color w:val="000000" w:themeColor="text1"/>
          <w:szCs w:val="32"/>
          <w:lang w:val="en-US" w:eastAsia="zh-CN"/>
        </w:rPr>
      </w:pPr>
      <w:r>
        <w:rPr>
          <w:color w:val="000000" w:themeColor="text1"/>
          <w:szCs w:val="32"/>
        </w:rPr>
        <w:t>附件：</w:t>
      </w:r>
      <w:r>
        <w:rPr>
          <w:rFonts w:hint="eastAsia"/>
          <w:color w:val="000000" w:themeColor="text1"/>
          <w:szCs w:val="32"/>
        </w:rPr>
        <w:t>綦江区2025年第二批财政衔接推进乡村振兴补助资金安排项目明细表</w:t>
      </w:r>
    </w:p>
    <w:p>
      <w:pPr>
        <w:spacing w:line="576" w:lineRule="exact"/>
        <w:ind w:left="1600" w:leftChars="200" w:hanging="960" w:hangingChars="300"/>
        <w:rPr>
          <w:color w:val="000000" w:themeColor="text1"/>
          <w:szCs w:val="32"/>
        </w:rPr>
      </w:pPr>
    </w:p>
    <w:p>
      <w:pPr>
        <w:spacing w:line="576" w:lineRule="exact"/>
        <w:ind w:left="1600" w:leftChars="200" w:hanging="960" w:hangingChars="300"/>
        <w:rPr>
          <w:color w:val="000000" w:themeColor="text1"/>
          <w:szCs w:val="32"/>
        </w:rPr>
      </w:pPr>
    </w:p>
    <w:p>
      <w:pPr>
        <w:spacing w:line="576" w:lineRule="exact"/>
        <w:ind w:left="1600" w:leftChars="200" w:hanging="960" w:hangingChars="300"/>
        <w:rPr>
          <w:color w:val="000000" w:themeColor="text1"/>
          <w:szCs w:val="32"/>
        </w:rPr>
      </w:pPr>
    </w:p>
    <w:p>
      <w:pPr>
        <w:spacing w:line="576" w:lineRule="exact"/>
        <w:ind w:firstLine="320" w:firstLineChars="100"/>
        <w:rPr>
          <w:szCs w:val="32"/>
        </w:rPr>
      </w:pPr>
      <w:r>
        <w:rPr>
          <w:szCs w:val="32"/>
        </w:rPr>
        <w:t xml:space="preserve">重庆市綦江区乡村振兴局      </w:t>
      </w:r>
      <w:r>
        <w:rPr>
          <w:rFonts w:hint="eastAsia"/>
          <w:szCs w:val="32"/>
        </w:rPr>
        <w:t xml:space="preserve">   </w:t>
      </w:r>
      <w:r>
        <w:rPr>
          <w:szCs w:val="32"/>
        </w:rPr>
        <w:t xml:space="preserve"> 重庆市綦江区财政局</w:t>
      </w:r>
    </w:p>
    <w:p>
      <w:pPr>
        <w:spacing w:line="576" w:lineRule="exact"/>
        <w:jc w:val="center"/>
      </w:pPr>
      <w:r>
        <w:rPr>
          <w:rFonts w:hint="eastAsia"/>
          <w:szCs w:val="32"/>
        </w:rPr>
        <w:t xml:space="preserve">                               </w:t>
      </w:r>
      <w:r>
        <w:rPr>
          <w:szCs w:val="32"/>
        </w:rPr>
        <w:t>202</w:t>
      </w:r>
      <w:r>
        <w:rPr>
          <w:rFonts w:hint="eastAsia"/>
          <w:szCs w:val="32"/>
          <w:lang w:val="en-US" w:eastAsia="zh-CN"/>
        </w:rPr>
        <w:t>5</w:t>
      </w:r>
      <w:r>
        <w:rPr>
          <w:szCs w:val="32"/>
        </w:rPr>
        <w:t>年</w:t>
      </w:r>
      <w:r>
        <w:rPr>
          <w:rFonts w:hint="eastAsia"/>
          <w:szCs w:val="32"/>
          <w:lang w:val="en-US" w:eastAsia="zh-CN"/>
        </w:rPr>
        <w:t>9</w:t>
      </w:r>
      <w:r>
        <w:rPr>
          <w:szCs w:val="32"/>
        </w:rPr>
        <w:t>月</w:t>
      </w:r>
      <w:r>
        <w:rPr>
          <w:rFonts w:hint="eastAsia"/>
          <w:szCs w:val="32"/>
          <w:lang w:val="en-US" w:eastAsia="zh-CN"/>
        </w:rPr>
        <w:t>5</w:t>
      </w:r>
      <w:r>
        <w:rPr>
          <w:szCs w:val="32"/>
        </w:rPr>
        <w:t>日</w:t>
      </w:r>
    </w:p>
    <w:p>
      <w:pPr>
        <w:pStyle w:val="6"/>
        <w:spacing w:line="576" w:lineRule="exact"/>
        <w:rPr>
          <w:sz w:val="32"/>
          <w:szCs w:val="32"/>
        </w:rPr>
      </w:pPr>
    </w:p>
    <w:p>
      <w:pPr>
        <w:pStyle w:val="6"/>
        <w:spacing w:line="576" w:lineRule="exact"/>
        <w:rPr>
          <w:sz w:val="32"/>
          <w:szCs w:val="32"/>
        </w:rPr>
      </w:pPr>
      <w:bookmarkStart w:id="0" w:name="_GoBack"/>
      <w:bookmarkEnd w:id="0"/>
    </w:p>
    <w:sectPr>
      <w:footerReference r:id="rId5" w:type="first"/>
      <w:footerReference r:id="rId3" w:type="default"/>
      <w:footerReference r:id="rId4" w:type="even"/>
      <w:pgSz w:w="11906" w:h="16838"/>
      <w:pgMar w:top="2098" w:right="1474" w:bottom="1985" w:left="1588" w:header="851" w:footer="992" w:gutter="0"/>
      <w:pgNumType w:fmt="decimal"/>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r>
                  <w:rPr>
                    <w:sz w:val="28"/>
                    <w:szCs w:val="28"/>
                  </w:rPr>
                  <w:t xml:space="preserve"> —</w:t>
                </w:r>
              </w:p>
            </w:txbxContent>
          </v:textbox>
        </v:shape>
      </w:pic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ascii="宋体" w:hAnsi="宋体" w:eastAsia="宋体"/>
        <w:sz w:val="28"/>
        <w:szCs w:val="28"/>
      </w:rPr>
    </w:pPr>
    <w:r>
      <w:rPr>
        <w:sz w:val="28"/>
      </w:rP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3075" o:spid="_x0000_s3075"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5MjYwYzI2ZjgzNDIzYTU2ODhjMGE0NmZhYzYxYmYifQ=="/>
  </w:docVars>
  <w:rsids>
    <w:rsidRoot w:val="0CF66C67"/>
    <w:rsid w:val="00096F9B"/>
    <w:rsid w:val="002F3B0D"/>
    <w:rsid w:val="00323146"/>
    <w:rsid w:val="00364B97"/>
    <w:rsid w:val="00654395"/>
    <w:rsid w:val="006B054E"/>
    <w:rsid w:val="006E0C5D"/>
    <w:rsid w:val="0078001B"/>
    <w:rsid w:val="009C2E8D"/>
    <w:rsid w:val="00E36F95"/>
    <w:rsid w:val="00E52EE6"/>
    <w:rsid w:val="02EC4BD2"/>
    <w:rsid w:val="05997B72"/>
    <w:rsid w:val="06A9677E"/>
    <w:rsid w:val="0785502B"/>
    <w:rsid w:val="0BE35E8C"/>
    <w:rsid w:val="0C525237"/>
    <w:rsid w:val="0C8D50C5"/>
    <w:rsid w:val="0CF66C67"/>
    <w:rsid w:val="0D005DD4"/>
    <w:rsid w:val="0DA7060E"/>
    <w:rsid w:val="0E28553B"/>
    <w:rsid w:val="0F36499C"/>
    <w:rsid w:val="0F416EF1"/>
    <w:rsid w:val="10C46534"/>
    <w:rsid w:val="1220319B"/>
    <w:rsid w:val="133F4149"/>
    <w:rsid w:val="14B16142"/>
    <w:rsid w:val="17832749"/>
    <w:rsid w:val="17F233ED"/>
    <w:rsid w:val="187F1162"/>
    <w:rsid w:val="19761967"/>
    <w:rsid w:val="1B4E755A"/>
    <w:rsid w:val="1BB867BB"/>
    <w:rsid w:val="1BFC713A"/>
    <w:rsid w:val="1CDB7931"/>
    <w:rsid w:val="1DEB3B60"/>
    <w:rsid w:val="1E1F5300"/>
    <w:rsid w:val="219854FD"/>
    <w:rsid w:val="225A66CA"/>
    <w:rsid w:val="24455956"/>
    <w:rsid w:val="24817B1A"/>
    <w:rsid w:val="261C543B"/>
    <w:rsid w:val="26C42C90"/>
    <w:rsid w:val="282E78D1"/>
    <w:rsid w:val="28B47CB5"/>
    <w:rsid w:val="28E25ED4"/>
    <w:rsid w:val="2A99258B"/>
    <w:rsid w:val="2A9C6EB6"/>
    <w:rsid w:val="2BBE7BDE"/>
    <w:rsid w:val="2CD65B36"/>
    <w:rsid w:val="2E1A4012"/>
    <w:rsid w:val="2EE84B58"/>
    <w:rsid w:val="2F184319"/>
    <w:rsid w:val="306E3962"/>
    <w:rsid w:val="30C55B94"/>
    <w:rsid w:val="325E6787"/>
    <w:rsid w:val="330E722D"/>
    <w:rsid w:val="33AE7A82"/>
    <w:rsid w:val="344B5016"/>
    <w:rsid w:val="35446B8C"/>
    <w:rsid w:val="36E80F76"/>
    <w:rsid w:val="3753537C"/>
    <w:rsid w:val="37FB5B3E"/>
    <w:rsid w:val="3B716BD9"/>
    <w:rsid w:val="3B9E2AC2"/>
    <w:rsid w:val="3BA11222"/>
    <w:rsid w:val="3BD8100B"/>
    <w:rsid w:val="3CC24F3A"/>
    <w:rsid w:val="3D7E1BA8"/>
    <w:rsid w:val="3E153786"/>
    <w:rsid w:val="3EFB03E1"/>
    <w:rsid w:val="3F1051F8"/>
    <w:rsid w:val="3F3F5FE6"/>
    <w:rsid w:val="3FA90E98"/>
    <w:rsid w:val="408D092B"/>
    <w:rsid w:val="41924BBB"/>
    <w:rsid w:val="458B06FC"/>
    <w:rsid w:val="46803F69"/>
    <w:rsid w:val="481E005F"/>
    <w:rsid w:val="49F96AA4"/>
    <w:rsid w:val="4D1F6494"/>
    <w:rsid w:val="4D4D021B"/>
    <w:rsid w:val="4E073294"/>
    <w:rsid w:val="4EEA13A7"/>
    <w:rsid w:val="4FC14B44"/>
    <w:rsid w:val="5085007B"/>
    <w:rsid w:val="50F157F3"/>
    <w:rsid w:val="51123B3B"/>
    <w:rsid w:val="52B30FA2"/>
    <w:rsid w:val="5351521C"/>
    <w:rsid w:val="53E01762"/>
    <w:rsid w:val="55C55E66"/>
    <w:rsid w:val="55FA157E"/>
    <w:rsid w:val="571903F8"/>
    <w:rsid w:val="58AC4CBD"/>
    <w:rsid w:val="5B617016"/>
    <w:rsid w:val="5C381321"/>
    <w:rsid w:val="5C46675C"/>
    <w:rsid w:val="5C4C2333"/>
    <w:rsid w:val="5CCB5B64"/>
    <w:rsid w:val="5E08087F"/>
    <w:rsid w:val="5EA52572"/>
    <w:rsid w:val="5F0E7453"/>
    <w:rsid w:val="5FEB53D3"/>
    <w:rsid w:val="60F47630"/>
    <w:rsid w:val="61323457"/>
    <w:rsid w:val="61725814"/>
    <w:rsid w:val="61A60ADB"/>
    <w:rsid w:val="61BD395C"/>
    <w:rsid w:val="624F2451"/>
    <w:rsid w:val="643D33AB"/>
    <w:rsid w:val="64A416DE"/>
    <w:rsid w:val="650302C0"/>
    <w:rsid w:val="65037775"/>
    <w:rsid w:val="66C570D1"/>
    <w:rsid w:val="68475FF6"/>
    <w:rsid w:val="690A420D"/>
    <w:rsid w:val="69240F89"/>
    <w:rsid w:val="693E3C75"/>
    <w:rsid w:val="698D3155"/>
    <w:rsid w:val="69F952DD"/>
    <w:rsid w:val="6A10568B"/>
    <w:rsid w:val="6D9B752A"/>
    <w:rsid w:val="73633E72"/>
    <w:rsid w:val="74FFC357"/>
    <w:rsid w:val="787459B6"/>
    <w:rsid w:val="791B1D53"/>
    <w:rsid w:val="793312E5"/>
    <w:rsid w:val="794964C4"/>
    <w:rsid w:val="79A84CF6"/>
    <w:rsid w:val="79F646B1"/>
    <w:rsid w:val="7BEB05BF"/>
    <w:rsid w:val="7C275F73"/>
    <w:rsid w:val="7C5622C9"/>
    <w:rsid w:val="7CCF314A"/>
    <w:rsid w:val="7CD73DE6"/>
    <w:rsid w:val="7D8D6F68"/>
    <w:rsid w:val="7F5E48E8"/>
    <w:rsid w:val="7FA75CF2"/>
    <w:rsid w:val="8BB26DAA"/>
    <w:rsid w:val="FC7755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sz w:val="21"/>
      <w:szCs w:val="24"/>
    </w:rPr>
  </w:style>
  <w:style w:type="paragraph" w:styleId="3">
    <w:name w:val="Body Text Indent 2"/>
    <w:basedOn w:val="1"/>
    <w:qFormat/>
    <w:uiPriority w:val="99"/>
    <w:pPr>
      <w:widowControl w:val="0"/>
      <w:tabs>
        <w:tab w:val="left" w:pos="8085"/>
      </w:tabs>
      <w:spacing w:line="480" w:lineRule="auto"/>
      <w:ind w:left="420" w:leftChars="200"/>
      <w:jc w:val="both"/>
    </w:pPr>
    <w:rPr>
      <w:rFonts w:ascii="Times New Roman" w:hAnsi="Times New Roman" w:eastAsia="方正仿宋_GBK" w:cs="Times New Roman"/>
      <w:kern w:val="2"/>
      <w:sz w:val="32"/>
      <w:lang w:val="en-US" w:eastAsia="zh-CN" w:bidi="ar-SA"/>
    </w:rPr>
  </w:style>
  <w:style w:type="paragraph" w:styleId="4">
    <w:name w:val="toc 5"/>
    <w:basedOn w:val="1"/>
    <w:next w:val="1"/>
    <w:unhideWhenUsed/>
    <w:qFormat/>
    <w:uiPriority w:val="39"/>
    <w:pPr>
      <w:jc w:val="center"/>
    </w:pPr>
    <w:rPr>
      <w:rFonts w:ascii="方正小标宋_GBK" w:hAnsi="方正小标宋_GBK" w:eastAsia="方正小标宋_GBK"/>
      <w:sz w:val="36"/>
    </w:rPr>
  </w:style>
  <w:style w:type="paragraph" w:styleId="5">
    <w:name w:val="Date"/>
    <w:basedOn w:val="1"/>
    <w:next w:val="1"/>
    <w:link w:val="34"/>
    <w:qFormat/>
    <w:uiPriority w:val="0"/>
    <w:pPr>
      <w:ind w:left="100" w:leftChars="2500"/>
    </w:pPr>
  </w:style>
  <w:style w:type="paragraph" w:styleId="6">
    <w:name w:val="footer"/>
    <w:basedOn w:val="1"/>
    <w:link w:val="35"/>
    <w:qFormat/>
    <w:uiPriority w:val="0"/>
    <w:pPr>
      <w:tabs>
        <w:tab w:val="center" w:pos="4153"/>
        <w:tab w:val="right" w:pos="8306"/>
      </w:tabs>
      <w:snapToGrid w:val="0"/>
      <w:jc w:val="left"/>
    </w:pPr>
    <w:rPr>
      <w:sz w:val="18"/>
      <w:szCs w:val="18"/>
    </w:rPr>
  </w:style>
  <w:style w:type="paragraph" w:styleId="7">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character" w:styleId="11">
    <w:name w:val="FollowedHyperlink"/>
    <w:basedOn w:val="10"/>
    <w:qFormat/>
    <w:uiPriority w:val="0"/>
    <w:rPr>
      <w:color w:val="333333"/>
      <w:u w:val="none"/>
    </w:rPr>
  </w:style>
  <w:style w:type="character" w:styleId="12">
    <w:name w:val="Hyperlink"/>
    <w:basedOn w:val="10"/>
    <w:qFormat/>
    <w:uiPriority w:val="0"/>
    <w:rPr>
      <w:color w:val="333333"/>
      <w:u w:val="none"/>
    </w:rPr>
  </w:style>
  <w:style w:type="character" w:customStyle="1" w:styleId="13">
    <w:name w:val="w100"/>
    <w:basedOn w:val="10"/>
    <w:qFormat/>
    <w:uiPriority w:val="0"/>
  </w:style>
  <w:style w:type="character" w:customStyle="1" w:styleId="14">
    <w:name w:val="yjl"/>
    <w:basedOn w:val="10"/>
    <w:qFormat/>
    <w:uiPriority w:val="0"/>
    <w:rPr>
      <w:color w:val="999999"/>
    </w:rPr>
  </w:style>
  <w:style w:type="character" w:customStyle="1" w:styleId="15">
    <w:name w:val="tit36"/>
    <w:basedOn w:val="10"/>
    <w:qFormat/>
    <w:uiPriority w:val="0"/>
    <w:rPr>
      <w:b/>
      <w:bCs/>
      <w:color w:val="333333"/>
      <w:sz w:val="31"/>
      <w:szCs w:val="31"/>
    </w:rPr>
  </w:style>
  <w:style w:type="character" w:customStyle="1" w:styleId="16">
    <w:name w:val="red"/>
    <w:basedOn w:val="10"/>
    <w:qFormat/>
    <w:uiPriority w:val="0"/>
    <w:rPr>
      <w:color w:val="E1211F"/>
    </w:rPr>
  </w:style>
  <w:style w:type="character" w:customStyle="1" w:styleId="17">
    <w:name w:val="red1"/>
    <w:basedOn w:val="10"/>
    <w:qFormat/>
    <w:uiPriority w:val="0"/>
    <w:rPr>
      <w:color w:val="E1211F"/>
    </w:rPr>
  </w:style>
  <w:style w:type="character" w:customStyle="1" w:styleId="18">
    <w:name w:val="red2"/>
    <w:basedOn w:val="10"/>
    <w:qFormat/>
    <w:uiPriority w:val="0"/>
    <w:rPr>
      <w:color w:val="E33938"/>
      <w:u w:val="single"/>
    </w:rPr>
  </w:style>
  <w:style w:type="character" w:customStyle="1" w:styleId="19">
    <w:name w:val="red3"/>
    <w:basedOn w:val="10"/>
    <w:qFormat/>
    <w:uiPriority w:val="0"/>
    <w:rPr>
      <w:color w:val="E1211F"/>
      <w:u w:val="single"/>
    </w:rPr>
  </w:style>
  <w:style w:type="character" w:customStyle="1" w:styleId="20">
    <w:name w:val="red4"/>
    <w:basedOn w:val="10"/>
    <w:qFormat/>
    <w:uiPriority w:val="0"/>
    <w:rPr>
      <w:color w:val="E1211F"/>
    </w:rPr>
  </w:style>
  <w:style w:type="character" w:customStyle="1" w:styleId="21">
    <w:name w:val="red5"/>
    <w:basedOn w:val="10"/>
    <w:qFormat/>
    <w:uiPriority w:val="0"/>
    <w:rPr>
      <w:color w:val="E1211F"/>
    </w:rPr>
  </w:style>
  <w:style w:type="character" w:customStyle="1" w:styleId="22">
    <w:name w:val="arrow"/>
    <w:basedOn w:val="10"/>
    <w:qFormat/>
    <w:uiPriority w:val="0"/>
  </w:style>
  <w:style w:type="character" w:customStyle="1" w:styleId="23">
    <w:name w:val="con8"/>
    <w:basedOn w:val="10"/>
    <w:qFormat/>
    <w:uiPriority w:val="0"/>
  </w:style>
  <w:style w:type="character" w:customStyle="1" w:styleId="24">
    <w:name w:val="cur8"/>
    <w:basedOn w:val="10"/>
    <w:qFormat/>
    <w:uiPriority w:val="0"/>
    <w:rPr>
      <w:color w:val="3354A2"/>
    </w:rPr>
  </w:style>
  <w:style w:type="character" w:customStyle="1" w:styleId="25">
    <w:name w:val="cur9"/>
    <w:basedOn w:val="10"/>
    <w:qFormat/>
    <w:uiPriority w:val="0"/>
    <w:rPr>
      <w:shd w:val="clear" w:color="auto" w:fill="448FE2"/>
    </w:rPr>
  </w:style>
  <w:style w:type="character" w:customStyle="1" w:styleId="26">
    <w:name w:val="hover77"/>
    <w:basedOn w:val="10"/>
    <w:qFormat/>
    <w:uiPriority w:val="0"/>
    <w:rPr>
      <w:b/>
      <w:bCs/>
    </w:rPr>
  </w:style>
  <w:style w:type="character" w:customStyle="1" w:styleId="27">
    <w:name w:val="yj-time"/>
    <w:basedOn w:val="10"/>
    <w:qFormat/>
    <w:uiPriority w:val="0"/>
    <w:rPr>
      <w:color w:val="AAAAAA"/>
      <w:sz w:val="14"/>
      <w:szCs w:val="14"/>
    </w:rPr>
  </w:style>
  <w:style w:type="character" w:customStyle="1" w:styleId="28">
    <w:name w:val="name"/>
    <w:basedOn w:val="10"/>
    <w:qFormat/>
    <w:uiPriority w:val="0"/>
    <w:rPr>
      <w:color w:val="2760B7"/>
    </w:rPr>
  </w:style>
  <w:style w:type="character" w:customStyle="1" w:styleId="29">
    <w:name w:val="yj-blue"/>
    <w:basedOn w:val="10"/>
    <w:qFormat/>
    <w:uiPriority w:val="0"/>
    <w:rPr>
      <w:b/>
      <w:bCs/>
      <w:color w:val="FFFFFF"/>
      <w:sz w:val="16"/>
      <w:szCs w:val="16"/>
      <w:shd w:val="clear" w:color="auto" w:fill="1E84CB"/>
    </w:rPr>
  </w:style>
  <w:style w:type="character" w:customStyle="1" w:styleId="30">
    <w:name w:val="yjr"/>
    <w:basedOn w:val="10"/>
    <w:qFormat/>
    <w:uiPriority w:val="0"/>
  </w:style>
  <w:style w:type="character" w:customStyle="1" w:styleId="31">
    <w:name w:val="tyhl"/>
    <w:basedOn w:val="10"/>
    <w:qFormat/>
    <w:uiPriority w:val="0"/>
    <w:rPr>
      <w:shd w:val="clear" w:color="auto" w:fill="FFFFFF"/>
    </w:rPr>
  </w:style>
  <w:style w:type="character" w:customStyle="1" w:styleId="32">
    <w:name w:val="sp"/>
    <w:basedOn w:val="10"/>
    <w:qFormat/>
    <w:uiPriority w:val="0"/>
    <w:rPr>
      <w:b/>
      <w:bCs/>
      <w:color w:val="307CD2"/>
    </w:rPr>
  </w:style>
  <w:style w:type="character" w:customStyle="1" w:styleId="33">
    <w:name w:val="页眉 Char"/>
    <w:basedOn w:val="10"/>
    <w:link w:val="7"/>
    <w:qFormat/>
    <w:uiPriority w:val="0"/>
    <w:rPr>
      <w:rFonts w:eastAsia="方正仿宋_GBK"/>
      <w:kern w:val="2"/>
      <w:sz w:val="18"/>
      <w:szCs w:val="18"/>
    </w:rPr>
  </w:style>
  <w:style w:type="character" w:customStyle="1" w:styleId="34">
    <w:name w:val="日期 Char"/>
    <w:basedOn w:val="10"/>
    <w:link w:val="5"/>
    <w:qFormat/>
    <w:uiPriority w:val="0"/>
    <w:rPr>
      <w:rFonts w:eastAsia="方正仿宋_GBK"/>
      <w:kern w:val="2"/>
      <w:sz w:val="32"/>
    </w:rPr>
  </w:style>
  <w:style w:type="character" w:customStyle="1" w:styleId="35">
    <w:name w:val="页脚 Char"/>
    <w:basedOn w:val="10"/>
    <w:link w:val="6"/>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Info spid="_x0000_s3074" textRotate="1"/>
    <customShpInfo spid="_x0000_s307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1152</Words>
  <Characters>1192</Characters>
  <Lines>1</Lines>
  <Paragraphs>2</Paragraphs>
  <TotalTime>5</TotalTime>
  <ScaleCrop>false</ScaleCrop>
  <LinksUpToDate>false</LinksUpToDate>
  <CharactersWithSpaces>1253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2021-12-27T09:16:00Z</dcterms:created>
  <dc:creator>XIA</dc:creator>
  <cp:lastModifiedBy>user</cp:lastModifiedBy>
  <cp:lastPrinted>2025-09-10T19:22:00Z</cp:lastPrinted>
  <dcterms:modified xsi:type="dcterms:W3CDTF">2025-09-16T09:15:34Z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EC04054E5B8645FA8DD2DE906A7FEC2A</vt:lpwstr>
  </property>
  <property fmtid="{D5CDD505-2E9C-101B-9397-08002B2CF9AE}" pid="4" name="KSOTemplateDocerSaveRecord">
    <vt:lpwstr>eyJoZGlkIjoiNDc5MjYwYzI2ZjgzNDIzYTU2ODhjMGE0NmZhYzYxYmYiLCJ1c2VySWQiOiIzNzQyNTU5MDIifQ==</vt:lpwstr>
  </property>
</Properties>
</file>