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pacing w:val="-5"/>
          <w:sz w:val="21"/>
          <w:szCs w:val="21"/>
          <w:lang w:eastAsia="zh-CN"/>
        </w:rPr>
      </w:pPr>
      <w:bookmarkStart w:id="0" w:name="_Toc142890354"/>
      <w:r>
        <w:rPr>
          <w:rFonts w:hint="eastAsia" w:ascii="宋体" w:hAnsi="宋体" w:eastAsia="宋体" w:cs="宋体"/>
          <w:spacing w:val="-5"/>
          <w:sz w:val="21"/>
          <w:szCs w:val="21"/>
          <w:lang w:eastAsia="zh-CN"/>
        </w:rPr>
        <w:t>重庆市綦江区生态环境局</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pacing w:val="-4"/>
          <w:sz w:val="21"/>
          <w:szCs w:val="21"/>
        </w:rPr>
      </w:pPr>
      <w:r>
        <w:rPr>
          <w:rFonts w:hint="eastAsia" w:ascii="宋体" w:hAnsi="宋体" w:eastAsia="宋体" w:cs="宋体"/>
          <w:spacing w:val="-11"/>
          <w:sz w:val="21"/>
          <w:szCs w:val="21"/>
        </w:rPr>
        <w:t>同意设置</w:t>
      </w:r>
      <w:r>
        <w:rPr>
          <w:rFonts w:hint="eastAsia" w:ascii="宋体" w:hAnsi="宋体" w:eastAsia="宋体" w:cs="宋体"/>
          <w:spacing w:val="-11"/>
          <w:sz w:val="21"/>
          <w:szCs w:val="21"/>
          <w:lang w:eastAsia="zh-CN"/>
        </w:rPr>
        <w:t>重庆市彬林橡塑制品有限公司</w:t>
      </w:r>
      <w:r>
        <w:rPr>
          <w:rFonts w:hint="eastAsia" w:ascii="宋体" w:hAnsi="宋体" w:eastAsia="宋体" w:cs="宋体"/>
          <w:spacing w:val="-11"/>
          <w:sz w:val="21"/>
          <w:szCs w:val="21"/>
        </w:rPr>
        <w:t>入河排污口的决定书</w:t>
      </w:r>
    </w:p>
    <w:p>
      <w:pPr>
        <w:keepNext w:val="0"/>
        <w:keepLines w:val="0"/>
        <w:pageBreakBefore w:val="0"/>
        <w:widowControl w:val="0"/>
        <w:kinsoku/>
        <w:wordWrap/>
        <w:overflowPunct/>
        <w:topLinePunct w:val="0"/>
        <w:autoSpaceDE/>
        <w:autoSpaceDN/>
        <w:bidi w:val="0"/>
        <w:adjustRightInd w:val="0"/>
        <w:snapToGrid/>
        <w:spacing w:line="360" w:lineRule="exact"/>
        <w:jc w:val="righ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渝（綦）环排口审〔</w:t>
      </w:r>
      <w:r>
        <w:rPr>
          <w:rFonts w:hint="eastAsia" w:ascii="宋体" w:hAnsi="宋体" w:eastAsia="宋体" w:cs="宋体"/>
          <w:kern w:val="2"/>
          <w:sz w:val="21"/>
          <w:szCs w:val="21"/>
          <w:lang w:val="en-US" w:eastAsia="zh-CN" w:bidi="ar-SA"/>
        </w:rPr>
        <w:t>2025</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zh-TW" w:eastAsia="zh-TW" w:bidi="ar-SA"/>
        </w:rPr>
      </w:pPr>
      <w:r>
        <w:rPr>
          <w:rFonts w:hint="eastAsia" w:ascii="宋体" w:hAnsi="宋体" w:eastAsia="宋体" w:cs="宋体"/>
          <w:kern w:val="2"/>
          <w:sz w:val="21"/>
          <w:szCs w:val="21"/>
          <w:lang w:val="zh-TW" w:eastAsia="zh-TW" w:bidi="ar-SA"/>
        </w:rPr>
        <w:t>重庆市彬林橡塑制品有限公司：</w:t>
      </w:r>
    </w:p>
    <w:p>
      <w:pPr>
        <w:pStyle w:val="10"/>
        <w:keepNext w:val="0"/>
        <w:keepLines w:val="0"/>
        <w:pageBreakBefore w:val="0"/>
        <w:widowControl w:val="0"/>
        <w:kinsoku/>
        <w:wordWrap/>
        <w:overflowPunct/>
        <w:topLinePunct w:val="0"/>
        <w:autoSpaceDE/>
        <w:autoSpaceDN/>
        <w:bidi w:val="0"/>
        <w:adjustRightInd w:val="0"/>
        <w:snapToGrid/>
        <w:spacing w:before="0" w:line="360" w:lineRule="exact"/>
        <w:ind w:left="0" w:right="0" w:firstLine="601"/>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你单位于2025年4月10日向我部门提出了重庆市彬林橡塑制品有限公司废旧塑料回收利用项目入河排污口设置申请。经审查，根据《中华人民共和国行政许可法》《入河排污口监督管理办法》（生态环境部令第3</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en-US" w:eastAsia="zh-CN" w:bidi="ar-SA"/>
        </w:rPr>
        <w:t>号）的规定，同意重庆市彬林橡塑制品有限公司入河排污口设置决定如下：</w:t>
      </w:r>
    </w:p>
    <w:tbl>
      <w:tblPr>
        <w:tblStyle w:val="2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pPr>
              <w:pStyle w:val="10"/>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pPr>
              <w:widowControl/>
              <w:spacing w:line="360" w:lineRule="exact"/>
            </w:pPr>
            <w:r>
              <w:rPr>
                <w:rFonts w:hint="eastAsia"/>
                <w:szCs w:val="20"/>
                <w:lang w:eastAsia="zh-CN"/>
              </w:rPr>
              <w:t>☑</w:t>
            </w:r>
            <w:r>
              <w:rPr>
                <w:rFonts w:hint="eastAsia"/>
              </w:rPr>
              <w:t>工矿企业入河排污口</w:t>
            </w:r>
          </w:p>
          <w:p>
            <w:pPr>
              <w:widowControl/>
              <w:spacing w:line="360" w:lineRule="exact"/>
            </w:pPr>
            <w:r>
              <w:rPr>
                <w:rFonts w:hint="eastAsia"/>
                <w:szCs w:val="20"/>
                <w:lang w:eastAsia="zh-CN"/>
              </w:rPr>
              <w:t>□</w:t>
            </w:r>
            <w:r>
              <w:rPr>
                <w:rFonts w:hint="eastAsia"/>
              </w:rPr>
              <w:t>工业及其他各类园区污水处理厂入河排污口</w:t>
            </w:r>
          </w:p>
          <w:p>
            <w:pPr>
              <w:widowControl/>
              <w:spacing w:line="360" w:lineRule="exact"/>
            </w:pPr>
            <w:r>
              <w:rPr>
                <w:rFonts w:hint="eastAsia"/>
                <w:szCs w:val="20"/>
                <w:lang w:eastAsia="zh-CN"/>
              </w:rPr>
              <w:t>□</w:t>
            </w:r>
            <w:r>
              <w:rPr>
                <w:rFonts w:hint="eastAsia"/>
              </w:rPr>
              <w:t>城镇污水处理厂入河排污口</w:t>
            </w:r>
          </w:p>
          <w:p>
            <w:pPr>
              <w:widowControl/>
              <w:spacing w:line="360" w:lineRule="exact"/>
            </w:pPr>
            <w:r>
              <w:rPr>
                <w:rFonts w:hint="eastAsia"/>
                <w:szCs w:val="20"/>
                <w:lang w:eastAsia="zh-CN"/>
              </w:rPr>
              <w:t>□</w:t>
            </w:r>
            <w:r>
              <w:rPr>
                <w:rFonts w:hint="eastAsia"/>
                <w:szCs w:val="20"/>
              </w:rPr>
              <w:t>其他参照上述管理的入河排污口_</w:t>
            </w:r>
            <w:r>
              <w:rPr>
                <w:szCs w:val="20"/>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360" w:lineRule="exact"/>
              <w:jc w:val="center"/>
              <w:rPr>
                <w:szCs w:val="21"/>
              </w:rPr>
            </w:pPr>
            <w:r>
              <w:rPr>
                <w:rFonts w:hint="eastAsia"/>
                <w:szCs w:val="21"/>
              </w:rPr>
              <w:t>入河排污口名称</w:t>
            </w:r>
          </w:p>
        </w:tc>
        <w:tc>
          <w:tcPr>
            <w:tcW w:w="6115" w:type="dxa"/>
            <w:gridSpan w:val="6"/>
            <w:vAlign w:val="center"/>
          </w:tcPr>
          <w:p>
            <w:pPr>
              <w:widowControl/>
              <w:spacing w:line="360" w:lineRule="exact"/>
              <w:rPr>
                <w:rFonts w:hint="eastAsia" w:eastAsia="宋体"/>
                <w:szCs w:val="20"/>
                <w:lang w:eastAsia="zh-CN"/>
              </w:rPr>
            </w:pPr>
            <w:r>
              <w:rPr>
                <w:rFonts w:hint="eastAsia"/>
                <w:lang w:eastAsia="zh-CN"/>
              </w:rPr>
              <w:t>綦江区石角镇重庆市彬林橡塑制品有限公司排污口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360" w:lineRule="exact"/>
              <w:jc w:val="center"/>
              <w:rPr>
                <w:szCs w:val="21"/>
              </w:rPr>
            </w:pPr>
            <w:r>
              <w:rPr>
                <w:rFonts w:hint="eastAsia"/>
                <w:szCs w:val="21"/>
              </w:rPr>
              <w:t>入河排污口编码</w:t>
            </w:r>
          </w:p>
        </w:tc>
        <w:tc>
          <w:tcPr>
            <w:tcW w:w="6115" w:type="dxa"/>
            <w:gridSpan w:val="6"/>
            <w:vAlign w:val="center"/>
          </w:tcPr>
          <w:p>
            <w:pPr>
              <w:widowControl/>
              <w:spacing w:line="360" w:lineRule="exact"/>
              <w:rPr>
                <w:rFonts w:hint="default"/>
                <w:szCs w:val="20"/>
                <w:lang w:val="en-US"/>
              </w:rPr>
            </w:pPr>
            <w:r>
              <w:rPr>
                <w:rFonts w:hint="eastAsia"/>
                <w:lang w:val="en-US" w:eastAsia="zh-CN"/>
              </w:rPr>
              <w:t>FA-500110-0552-GY-00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360" w:lineRule="exact"/>
              <w:jc w:val="center"/>
              <w:rPr>
                <w:szCs w:val="21"/>
              </w:rPr>
            </w:pPr>
            <w:r>
              <w:rPr>
                <w:rFonts w:hint="eastAsia"/>
                <w:szCs w:val="21"/>
              </w:rPr>
              <w:t>设置类型</w:t>
            </w:r>
          </w:p>
        </w:tc>
        <w:tc>
          <w:tcPr>
            <w:tcW w:w="6115" w:type="dxa"/>
            <w:gridSpan w:val="6"/>
            <w:vAlign w:val="center"/>
          </w:tcPr>
          <w:p>
            <w:pPr>
              <w:widowControl/>
              <w:spacing w:line="360" w:lineRule="exact"/>
              <w:rPr>
                <w:szCs w:val="20"/>
              </w:rPr>
            </w:pPr>
            <w:r>
              <w:rPr>
                <w:rFonts w:hint="eastAsia"/>
                <w:szCs w:val="20"/>
                <w:lang w:eastAsia="zh-CN"/>
              </w:rPr>
              <w:t>☑</w:t>
            </w:r>
            <w:r>
              <w:rPr>
                <w:rFonts w:hint="eastAsia"/>
                <w:szCs w:val="21"/>
              </w:rPr>
              <w:t>新设</w:t>
            </w:r>
            <w:r>
              <w:rPr>
                <w:szCs w:val="20"/>
              </w:rPr>
              <w:t xml:space="preserve">  </w:t>
            </w:r>
            <w:r>
              <w:rPr>
                <w:rFonts w:hint="eastAsia"/>
                <w:szCs w:val="20"/>
                <w:lang w:eastAsia="zh-CN"/>
              </w:rPr>
              <w:t>□</w:t>
            </w:r>
            <w:r>
              <w:rPr>
                <w:rFonts w:hint="eastAsia"/>
                <w:szCs w:val="21"/>
              </w:rPr>
              <w:t>改设</w:t>
            </w:r>
            <w:r>
              <w:rPr>
                <w:szCs w:val="20"/>
              </w:rPr>
              <w:t xml:space="preserve">  </w:t>
            </w:r>
            <w:r>
              <w:rPr>
                <w:rFonts w:hint="eastAsia"/>
                <w:szCs w:val="20"/>
                <w:lang w:eastAsia="zh-CN"/>
              </w:rPr>
              <w:t>□</w:t>
            </w:r>
            <w:r>
              <w:rPr>
                <w:rFonts w:hint="eastAsia"/>
                <w:szCs w:val="21"/>
              </w:rPr>
              <w:t>扩大</w:t>
            </w:r>
            <w:r>
              <w:rPr>
                <w:szCs w:val="20"/>
                <w:lang w:val="en"/>
              </w:rPr>
              <w:t xml:space="preserve"> </w:t>
            </w:r>
            <w:r>
              <w:rPr>
                <w:rFonts w:hint="eastAsia"/>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pPr>
              <w:widowControl/>
              <w:spacing w:line="360" w:lineRule="exact"/>
              <w:rPr>
                <w:szCs w:val="20"/>
              </w:rPr>
            </w:pPr>
            <w:r>
              <w:rPr>
                <w:rFonts w:hint="eastAsia"/>
                <w:szCs w:val="20"/>
              </w:rPr>
              <w:t>责任主体基本情况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pPr>
              <w:widowControl/>
              <w:spacing w:line="360" w:lineRule="exact"/>
              <w:rPr>
                <w:kern w:val="0"/>
                <w:szCs w:val="21"/>
              </w:rPr>
            </w:pPr>
            <w:r>
              <w:rPr>
                <w:rFonts w:hint="eastAsia"/>
                <w:kern w:val="0"/>
                <w:szCs w:val="21"/>
              </w:rPr>
              <w:t>责任主体名称：重庆市彬林橡塑制品有限公司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pPr>
              <w:widowControl/>
              <w:spacing w:line="360" w:lineRule="exact"/>
              <w:jc w:val="center"/>
              <w:rPr>
                <w:kern w:val="0"/>
                <w:szCs w:val="21"/>
              </w:rPr>
            </w:pPr>
            <w:r>
              <w:rPr>
                <w:rFonts w:hint="eastAsia"/>
                <w:kern w:val="0"/>
                <w:szCs w:val="21"/>
              </w:rPr>
              <w:t>详细地址</w:t>
            </w:r>
          </w:p>
        </w:tc>
        <w:tc>
          <w:tcPr>
            <w:tcW w:w="6115" w:type="dxa"/>
            <w:gridSpan w:val="6"/>
            <w:vAlign w:val="center"/>
          </w:tcPr>
          <w:p>
            <w:pPr>
              <w:widowControl/>
              <w:spacing w:line="360" w:lineRule="exact"/>
              <w:rPr>
                <w:rFonts w:hint="default" w:eastAsia="宋体"/>
                <w:kern w:val="0"/>
                <w:szCs w:val="21"/>
                <w:lang w:val="en-US" w:eastAsia="zh-CN"/>
              </w:rPr>
            </w:pPr>
            <w:r>
              <w:rPr>
                <w:rFonts w:hint="eastAsia"/>
                <w:kern w:val="0"/>
                <w:szCs w:val="21"/>
                <w:lang w:eastAsia="zh-CN"/>
              </w:rPr>
              <w:t>重庆市綦江区石角镇桃花村（原创业制鞋生产车间</w:t>
            </w:r>
            <w:r>
              <w:rPr>
                <w:rFonts w:hint="eastAsia"/>
                <w:kern w:val="0"/>
                <w:szCs w:val="21"/>
                <w:lang w:val="en-US" w:eastAsia="zh-CN"/>
              </w:rPr>
              <w:t>13栋）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pPr>
              <w:widowControl/>
              <w:spacing w:line="360" w:lineRule="exact"/>
              <w:jc w:val="center"/>
              <w:rPr>
                <w:szCs w:val="21"/>
              </w:rPr>
            </w:pPr>
            <w:r>
              <w:rPr>
                <w:rFonts w:hint="eastAsia"/>
                <w:szCs w:val="21"/>
              </w:rPr>
              <w:t>统一社会信用代码</w:t>
            </w:r>
          </w:p>
        </w:tc>
        <w:tc>
          <w:tcPr>
            <w:tcW w:w="6115" w:type="dxa"/>
            <w:gridSpan w:val="6"/>
            <w:vAlign w:val="center"/>
          </w:tcPr>
          <w:p>
            <w:pPr>
              <w:widowControl/>
              <w:spacing w:line="360" w:lineRule="exact"/>
              <w:rPr>
                <w:rFonts w:hint="default" w:eastAsia="宋体"/>
                <w:lang w:val="en-US" w:eastAsia="zh-CN"/>
              </w:rPr>
            </w:pPr>
            <w:r>
              <w:rPr>
                <w:rFonts w:hint="eastAsia"/>
              </w:rPr>
              <w:t>91500222559001426Q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pPr>
              <w:widowControl/>
              <w:spacing w:line="360" w:lineRule="exact"/>
              <w:jc w:val="center"/>
              <w:rPr>
                <w:szCs w:val="21"/>
              </w:rPr>
            </w:pPr>
            <w:r>
              <w:rPr>
                <w:rFonts w:hint="eastAsia"/>
                <w:szCs w:val="21"/>
              </w:rPr>
              <w:t>法定代表人及联系电话</w:t>
            </w:r>
          </w:p>
        </w:tc>
        <w:tc>
          <w:tcPr>
            <w:tcW w:w="6115" w:type="dxa"/>
            <w:gridSpan w:val="6"/>
            <w:vAlign w:val="center"/>
          </w:tcPr>
          <w:p>
            <w:pPr>
              <w:widowControl/>
              <w:spacing w:line="360" w:lineRule="exact"/>
            </w:pPr>
            <w:r>
              <w:rPr>
                <w:rFonts w:hint="eastAsia"/>
              </w:rPr>
              <w:t>姓名：唐彬</w:t>
            </w:r>
            <w:r>
              <w:t xml:space="preserve">      </w:t>
            </w:r>
            <w:r>
              <w:rPr>
                <w:lang w:val="en"/>
              </w:rPr>
              <w:t xml:space="preserve"> </w:t>
            </w:r>
            <w:r>
              <w:t xml:space="preserve">  </w:t>
            </w:r>
            <w:r>
              <w:rPr>
                <w:lang w:val="en"/>
              </w:rPr>
              <w:t xml:space="preserve">  </w:t>
            </w:r>
            <w:r>
              <w:t xml:space="preserve">    </w:t>
            </w:r>
            <w:r>
              <w:rPr>
                <w:rFonts w:hint="eastAsia"/>
                <w:szCs w:val="21"/>
              </w:rPr>
              <w:t>联系电话：13320277729</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pPr>
              <w:widowControl/>
              <w:spacing w:line="360" w:lineRule="exact"/>
              <w:jc w:val="center"/>
              <w:rPr>
                <w:szCs w:val="21"/>
              </w:rPr>
            </w:pPr>
            <w:r>
              <w:rPr>
                <w:rFonts w:hint="eastAsia"/>
                <w:szCs w:val="21"/>
              </w:rPr>
              <w:t>行业类别</w:t>
            </w:r>
          </w:p>
        </w:tc>
        <w:tc>
          <w:tcPr>
            <w:tcW w:w="6115" w:type="dxa"/>
            <w:gridSpan w:val="6"/>
            <w:vAlign w:val="center"/>
          </w:tcPr>
          <w:p>
            <w:pPr>
              <w:widowControl/>
              <w:spacing w:line="360" w:lineRule="exact"/>
              <w:rPr>
                <w:rFonts w:hint="eastAsia" w:eastAsia="宋体"/>
                <w:lang w:eastAsia="zh-CN"/>
              </w:rPr>
            </w:pPr>
            <w:r>
              <w:rPr>
                <w:rFonts w:hint="eastAsia"/>
              </w:rPr>
              <w:t>4220非金属废料和碎屑加工处理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pPr>
              <w:widowControl/>
              <w:spacing w:line="360" w:lineRule="exact"/>
              <w:jc w:val="center"/>
              <w:rPr>
                <w:szCs w:val="21"/>
              </w:rPr>
            </w:pPr>
            <w:r>
              <w:rPr>
                <w:rFonts w:hint="eastAsia"/>
                <w:szCs w:val="20"/>
              </w:rPr>
              <w:t>排污许可证或排污登记编号</w:t>
            </w:r>
          </w:p>
        </w:tc>
        <w:tc>
          <w:tcPr>
            <w:tcW w:w="6115" w:type="dxa"/>
            <w:gridSpan w:val="6"/>
            <w:vAlign w:val="center"/>
          </w:tcPr>
          <w:p>
            <w:pPr>
              <w:widowControl/>
              <w:spacing w:line="360" w:lineRule="exact"/>
              <w:rPr>
                <w:rFonts w:hint="eastAsia" w:eastAsia="宋体"/>
                <w:lang w:eastAsia="zh-CN"/>
              </w:rPr>
            </w:pPr>
            <w:r>
              <w:rPr>
                <w:rFonts w:hint="eastAsia"/>
                <w:lang w:eastAsia="zh-CN"/>
              </w:rPr>
              <w:t>尚未申请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pPr>
              <w:widowControl/>
              <w:spacing w:line="360" w:lineRule="exact"/>
              <w:jc w:val="center"/>
              <w:rPr>
                <w:szCs w:val="21"/>
              </w:rPr>
            </w:pPr>
            <w:r>
              <w:rPr>
                <w:rFonts w:hint="eastAsia"/>
                <w:szCs w:val="21"/>
              </w:rPr>
              <w:t>入河排污口</w:t>
            </w:r>
          </w:p>
          <w:p>
            <w:pPr>
              <w:widowControl/>
              <w:spacing w:line="360" w:lineRule="exact"/>
              <w:jc w:val="center"/>
              <w:rPr>
                <w:szCs w:val="21"/>
              </w:rPr>
            </w:pPr>
            <w:r>
              <w:rPr>
                <w:rFonts w:hint="eastAsia"/>
                <w:szCs w:val="21"/>
              </w:rPr>
              <w:t>设置地点</w:t>
            </w:r>
          </w:p>
        </w:tc>
        <w:tc>
          <w:tcPr>
            <w:tcW w:w="6115" w:type="dxa"/>
            <w:gridSpan w:val="6"/>
            <w:vAlign w:val="center"/>
          </w:tcPr>
          <w:p>
            <w:pPr>
              <w:widowControl/>
              <w:spacing w:line="360" w:lineRule="exact"/>
              <w:rPr>
                <w:rFonts w:hint="eastAsia" w:eastAsia="宋体"/>
                <w:szCs w:val="21"/>
                <w:lang w:eastAsia="zh-CN"/>
              </w:rPr>
            </w:pPr>
            <w:r>
              <w:rPr>
                <w:rFonts w:hint="eastAsia"/>
                <w:szCs w:val="21"/>
              </w:rPr>
              <w:t>所在行政区域：重庆市綦江区石角镇桃花村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pPr>
              <w:widowControl/>
              <w:spacing w:line="360" w:lineRule="exact"/>
              <w:jc w:val="center"/>
              <w:rPr>
                <w:szCs w:val="21"/>
              </w:rPr>
            </w:pPr>
          </w:p>
        </w:tc>
        <w:tc>
          <w:tcPr>
            <w:tcW w:w="6115" w:type="dxa"/>
            <w:gridSpan w:val="6"/>
            <w:vAlign w:val="center"/>
          </w:tcPr>
          <w:p>
            <w:pPr>
              <w:widowControl/>
              <w:spacing w:line="360" w:lineRule="exact"/>
              <w:rPr>
                <w:rFonts w:hint="eastAsia" w:eastAsia="宋体"/>
                <w:szCs w:val="21"/>
                <w:lang w:eastAsia="zh-CN"/>
              </w:rPr>
            </w:pPr>
            <w:r>
              <w:rPr>
                <w:rFonts w:hint="eastAsia"/>
                <w:szCs w:val="21"/>
              </w:rPr>
              <w:t>排入水体名称：</w:t>
            </w:r>
            <w:r>
              <w:rPr>
                <w:rFonts w:hint="eastAsia"/>
                <w:szCs w:val="21"/>
                <w:lang w:eastAsia="zh-CN"/>
              </w:rPr>
              <w:t>蒲河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pPr>
              <w:widowControl/>
              <w:spacing w:line="360" w:lineRule="exact"/>
              <w:jc w:val="center"/>
              <w:rPr>
                <w:szCs w:val="21"/>
              </w:rPr>
            </w:pPr>
          </w:p>
        </w:tc>
        <w:tc>
          <w:tcPr>
            <w:tcW w:w="6115" w:type="dxa"/>
            <w:gridSpan w:val="6"/>
            <w:vAlign w:val="center"/>
          </w:tcPr>
          <w:p>
            <w:pPr>
              <w:widowControl/>
              <w:spacing w:line="360" w:lineRule="exact"/>
              <w:rPr>
                <w:rFonts w:hint="eastAsia" w:eastAsia="宋体"/>
                <w:szCs w:val="21"/>
                <w:lang w:eastAsia="zh-CN"/>
              </w:rPr>
            </w:pPr>
            <w:r>
              <w:rPr>
                <w:rFonts w:hint="eastAsia"/>
                <w:szCs w:val="21"/>
              </w:rPr>
              <w:t>所在流域：</w:t>
            </w:r>
            <w:r>
              <w:rPr>
                <w:rFonts w:hint="eastAsia"/>
                <w:szCs w:val="21"/>
                <w:lang w:eastAsia="zh-CN"/>
              </w:rPr>
              <w:t>长江流域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pPr>
              <w:widowControl/>
              <w:spacing w:line="360" w:lineRule="exact"/>
              <w:jc w:val="center"/>
              <w:rPr>
                <w:szCs w:val="21"/>
              </w:rPr>
            </w:pPr>
          </w:p>
        </w:tc>
        <w:tc>
          <w:tcPr>
            <w:tcW w:w="6115" w:type="dxa"/>
            <w:gridSpan w:val="6"/>
            <w:vAlign w:val="center"/>
          </w:tcPr>
          <w:p>
            <w:pPr>
              <w:widowControl/>
              <w:spacing w:line="360" w:lineRule="exact"/>
              <w:rPr>
                <w:rFonts w:hint="default" w:eastAsia="宋体"/>
                <w:szCs w:val="20"/>
                <w:lang w:val="en-US" w:eastAsia="zh-CN"/>
              </w:rPr>
            </w:pPr>
            <w:r>
              <w:rPr>
                <w:rFonts w:hint="eastAsia"/>
                <w:szCs w:val="20"/>
              </w:rPr>
              <w:t>经度：106.817881</w:t>
            </w:r>
          </w:p>
          <w:p>
            <w:pPr>
              <w:widowControl/>
              <w:spacing w:line="360" w:lineRule="exact"/>
              <w:rPr>
                <w:rFonts w:hint="default" w:eastAsia="宋体"/>
                <w:szCs w:val="21"/>
                <w:lang w:val="en-US" w:eastAsia="zh-CN"/>
              </w:rPr>
            </w:pPr>
            <w:r>
              <w:rPr>
                <w:rFonts w:hint="eastAsia"/>
                <w:szCs w:val="20"/>
              </w:rPr>
              <w:t>纬度：28.950217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pPr>
              <w:widowControl/>
              <w:spacing w:line="360" w:lineRule="exact"/>
              <w:jc w:val="center"/>
              <w:rPr>
                <w:szCs w:val="20"/>
              </w:rPr>
            </w:pPr>
            <w:r>
              <w:rPr>
                <w:rFonts w:hint="eastAsia"/>
                <w:szCs w:val="20"/>
              </w:rPr>
              <w:t>污水排放方式</w:t>
            </w:r>
          </w:p>
        </w:tc>
        <w:tc>
          <w:tcPr>
            <w:tcW w:w="1133" w:type="dxa"/>
            <w:vAlign w:val="center"/>
          </w:tcPr>
          <w:p>
            <w:pPr>
              <w:widowControl/>
              <w:spacing w:line="360" w:lineRule="exact"/>
              <w:rPr>
                <w:szCs w:val="20"/>
              </w:rPr>
            </w:pPr>
            <w:r>
              <w:rPr>
                <w:rFonts w:hint="eastAsia"/>
                <w:szCs w:val="20"/>
                <w:lang w:eastAsia="zh-CN"/>
              </w:rPr>
              <w:sym w:font="Wingdings 2" w:char="00A3"/>
            </w:r>
            <w:r>
              <w:rPr>
                <w:rFonts w:hint="eastAsia"/>
                <w:szCs w:val="20"/>
              </w:rPr>
              <w:t>连续</w:t>
            </w:r>
            <w:r>
              <w:rPr>
                <w:szCs w:val="20"/>
              </w:rPr>
              <w:t xml:space="preserve"> </w:t>
            </w:r>
          </w:p>
          <w:p>
            <w:pPr>
              <w:widowControl/>
              <w:spacing w:line="360" w:lineRule="exact"/>
              <w:rPr>
                <w:szCs w:val="20"/>
              </w:rPr>
            </w:pPr>
            <w:r>
              <w:rPr>
                <w:rFonts w:hint="eastAsia"/>
                <w:szCs w:val="20"/>
                <w:lang w:eastAsia="zh-CN"/>
              </w:rPr>
              <w:t>☑</w:t>
            </w:r>
            <w:r>
              <w:rPr>
                <w:rFonts w:hint="eastAsia"/>
                <w:szCs w:val="20"/>
              </w:rPr>
              <w:t>间歇</w:t>
            </w:r>
          </w:p>
        </w:tc>
        <w:tc>
          <w:tcPr>
            <w:tcW w:w="851" w:type="dxa"/>
            <w:vMerge w:val="restart"/>
            <w:vAlign w:val="center"/>
          </w:tcPr>
          <w:p>
            <w:pPr>
              <w:widowControl/>
              <w:spacing w:line="360" w:lineRule="exact"/>
              <w:ind w:right="-105" w:rightChars="-50"/>
              <w:rPr>
                <w:szCs w:val="20"/>
              </w:rPr>
            </w:pPr>
            <w:r>
              <w:rPr>
                <w:rFonts w:hint="eastAsia"/>
                <w:szCs w:val="20"/>
              </w:rPr>
              <w:t>入河</w:t>
            </w:r>
          </w:p>
          <w:p>
            <w:pPr>
              <w:widowControl/>
              <w:spacing w:line="360" w:lineRule="exact"/>
              <w:ind w:right="-105" w:rightChars="-50"/>
              <w:rPr>
                <w:szCs w:val="20"/>
              </w:rPr>
            </w:pPr>
            <w:r>
              <w:rPr>
                <w:rFonts w:hint="eastAsia"/>
                <w:szCs w:val="20"/>
              </w:rPr>
              <w:t>方式</w:t>
            </w:r>
          </w:p>
        </w:tc>
        <w:tc>
          <w:tcPr>
            <w:tcW w:w="4131" w:type="dxa"/>
            <w:gridSpan w:val="4"/>
            <w:vMerge w:val="restart"/>
            <w:vAlign w:val="center"/>
          </w:tcPr>
          <w:p>
            <w:pPr>
              <w:spacing w:line="360" w:lineRule="exact"/>
              <w:ind w:firstLine="315" w:firstLineChars="150"/>
              <w:rPr>
                <w:szCs w:val="20"/>
              </w:rPr>
            </w:pPr>
            <w:r>
              <w:rPr>
                <w:rFonts w:hint="eastAsia"/>
                <w:szCs w:val="20"/>
                <w:lang w:eastAsia="zh-CN"/>
              </w:rPr>
              <w:t>□</w:t>
            </w:r>
            <w:r>
              <w:rPr>
                <w:rFonts w:hint="eastAsia"/>
                <w:szCs w:val="20"/>
              </w:rPr>
              <w:t>明渠</w:t>
            </w:r>
            <w:r>
              <w:rPr>
                <w:szCs w:val="20"/>
              </w:rPr>
              <w:t xml:space="preserve">  </w:t>
            </w:r>
            <w:r>
              <w:rPr>
                <w:rFonts w:hint="eastAsia"/>
                <w:szCs w:val="20"/>
                <w:lang w:eastAsia="zh-CN"/>
              </w:rPr>
              <w:t>☑</w:t>
            </w:r>
            <w:r>
              <w:rPr>
                <w:rFonts w:hint="eastAsia"/>
                <w:szCs w:val="20"/>
              </w:rPr>
              <w:t>管道</w:t>
            </w:r>
          </w:p>
          <w:p>
            <w:pPr>
              <w:spacing w:line="360" w:lineRule="exact"/>
              <w:ind w:firstLine="315" w:firstLineChars="150"/>
              <w:rPr>
                <w:szCs w:val="20"/>
              </w:rPr>
            </w:pPr>
            <w:r>
              <w:rPr>
                <w:rFonts w:hint="eastAsia"/>
                <w:szCs w:val="20"/>
                <w:lang w:eastAsia="zh-CN"/>
              </w:rPr>
              <w:t>□</w:t>
            </w:r>
            <w:r>
              <w:rPr>
                <w:rFonts w:hint="eastAsia"/>
                <w:szCs w:val="20"/>
              </w:rPr>
              <w:t>泵站</w:t>
            </w:r>
            <w:r>
              <w:rPr>
                <w:szCs w:val="20"/>
              </w:rPr>
              <w:t xml:space="preserve">  </w:t>
            </w:r>
            <w:r>
              <w:rPr>
                <w:rFonts w:hint="eastAsia"/>
                <w:szCs w:val="20"/>
                <w:lang w:eastAsia="zh-CN"/>
              </w:rPr>
              <w:t>□</w:t>
            </w:r>
            <w:r>
              <w:rPr>
                <w:rFonts w:hint="eastAsia"/>
                <w:szCs w:val="20"/>
              </w:rPr>
              <w:t>涵闸</w:t>
            </w:r>
          </w:p>
          <w:p>
            <w:pPr>
              <w:widowControl/>
              <w:spacing w:line="360" w:lineRule="exact"/>
              <w:ind w:firstLine="315" w:firstLineChars="150"/>
              <w:rPr>
                <w:szCs w:val="20"/>
              </w:rPr>
            </w:pPr>
            <w:r>
              <w:rPr>
                <w:rFonts w:hint="eastAsia"/>
                <w:szCs w:val="20"/>
                <w:lang w:eastAsia="zh-CN"/>
              </w:rPr>
              <w:t>□</w:t>
            </w:r>
            <w:r>
              <w:rPr>
                <w:rFonts w:hint="eastAsia"/>
                <w:szCs w:val="20"/>
              </w:rPr>
              <w:t>箱涵</w:t>
            </w:r>
            <w:r>
              <w:rPr>
                <w:szCs w:val="20"/>
              </w:rPr>
              <w:t xml:space="preserve">  </w:t>
            </w:r>
            <w:r>
              <w:rPr>
                <w:rFonts w:hint="eastAsia"/>
                <w:szCs w:val="20"/>
                <w:lang w:eastAsia="zh-CN"/>
              </w:rPr>
              <w:t>□</w:t>
            </w:r>
            <w:r>
              <w:rPr>
                <w:rFonts w:hint="eastAsia"/>
                <w:szCs w:val="20"/>
              </w:rPr>
              <w:t>其他：</w:t>
            </w:r>
            <w:r>
              <w:rPr>
                <w:szCs w:val="20"/>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pPr>
              <w:widowControl/>
              <w:spacing w:line="360" w:lineRule="exact"/>
              <w:jc w:val="center"/>
              <w:rPr>
                <w:szCs w:val="20"/>
              </w:rPr>
            </w:pPr>
            <w:r>
              <w:rPr>
                <w:rFonts w:hint="eastAsia"/>
                <w:szCs w:val="21"/>
              </w:rPr>
              <w:t>是否共用</w:t>
            </w:r>
          </w:p>
        </w:tc>
        <w:tc>
          <w:tcPr>
            <w:tcW w:w="1133" w:type="dxa"/>
            <w:vAlign w:val="center"/>
          </w:tcPr>
          <w:p>
            <w:pPr>
              <w:widowControl/>
              <w:spacing w:line="360" w:lineRule="exact"/>
              <w:rPr>
                <w:szCs w:val="20"/>
              </w:rPr>
            </w:pPr>
            <w:r>
              <w:rPr>
                <w:rFonts w:hint="eastAsia"/>
                <w:szCs w:val="20"/>
                <w:lang w:eastAsia="zh-CN"/>
              </w:rPr>
              <w:t>□</w:t>
            </w:r>
            <w:r>
              <w:rPr>
                <w:rFonts w:hint="eastAsia"/>
                <w:szCs w:val="20"/>
              </w:rPr>
              <w:t>是</w:t>
            </w:r>
          </w:p>
          <w:p>
            <w:pPr>
              <w:widowControl/>
              <w:spacing w:line="360" w:lineRule="exact"/>
              <w:rPr>
                <w:szCs w:val="20"/>
              </w:rPr>
            </w:pPr>
            <w:r>
              <w:rPr>
                <w:rFonts w:hint="eastAsia"/>
                <w:szCs w:val="20"/>
                <w:lang w:eastAsia="zh-CN"/>
              </w:rPr>
              <w:t>☑</w:t>
            </w:r>
            <w:r>
              <w:rPr>
                <w:rFonts w:hint="eastAsia"/>
                <w:szCs w:val="20"/>
              </w:rPr>
              <w:t>否</w:t>
            </w:r>
          </w:p>
        </w:tc>
        <w:tc>
          <w:tcPr>
            <w:tcW w:w="851" w:type="dxa"/>
            <w:vMerge w:val="continue"/>
            <w:vAlign w:val="center"/>
          </w:tcPr>
          <w:p>
            <w:pPr>
              <w:widowControl/>
              <w:spacing w:line="360" w:lineRule="exact"/>
              <w:rPr>
                <w:szCs w:val="20"/>
              </w:rPr>
            </w:pPr>
          </w:p>
        </w:tc>
        <w:tc>
          <w:tcPr>
            <w:tcW w:w="4131" w:type="dxa"/>
            <w:gridSpan w:val="4"/>
            <w:vMerge w:val="continue"/>
            <w:vAlign w:val="center"/>
          </w:tcPr>
          <w:p>
            <w:pPr>
              <w:widowControl/>
              <w:spacing w:line="36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pPr>
              <w:widowControl/>
              <w:spacing w:line="360" w:lineRule="exact"/>
              <w:jc w:val="center"/>
              <w:rPr>
                <w:szCs w:val="20"/>
              </w:rPr>
            </w:pPr>
            <w:r>
              <w:rPr>
                <w:rFonts w:hint="eastAsia"/>
                <w:szCs w:val="28"/>
              </w:rPr>
              <w:t>入河排污口截面信息</w:t>
            </w:r>
          </w:p>
        </w:tc>
        <w:tc>
          <w:tcPr>
            <w:tcW w:w="6115" w:type="dxa"/>
            <w:gridSpan w:val="6"/>
            <w:vAlign w:val="center"/>
          </w:tcPr>
          <w:p>
            <w:pPr>
              <w:widowControl/>
              <w:spacing w:line="360" w:lineRule="exact"/>
              <w:rPr>
                <w:szCs w:val="20"/>
              </w:rPr>
            </w:pPr>
            <w:r>
              <w:rPr>
                <w:rFonts w:hint="eastAsia"/>
                <w:szCs w:val="20"/>
                <w:lang w:eastAsia="zh-CN"/>
              </w:rPr>
              <w:t>☑</w:t>
            </w:r>
            <w:r>
              <w:rPr>
                <w:rFonts w:hint="eastAsia"/>
                <w:szCs w:val="20"/>
              </w:rPr>
              <w:t>圆形截面：</w:t>
            </w:r>
            <w:r>
              <w:rPr>
                <w:szCs w:val="20"/>
              </w:rPr>
              <w:t>d=</w:t>
            </w:r>
            <w:r>
              <w:rPr>
                <w:rFonts w:hint="eastAsia"/>
                <w:szCs w:val="20"/>
                <w:lang w:val="en-US" w:eastAsia="zh-CN"/>
              </w:rPr>
              <w:t>0.1</w:t>
            </w:r>
            <w:r>
              <w:rPr>
                <w:szCs w:val="20"/>
              </w:rPr>
              <w:t>m</w:t>
            </w:r>
            <w:r>
              <w:rPr>
                <w:rFonts w:hint="eastAsia"/>
                <w:szCs w:val="20"/>
              </w:rPr>
              <w:t>，</w:t>
            </w:r>
            <w:r>
              <w:rPr>
                <w:szCs w:val="20"/>
              </w:rPr>
              <w:t>S=</w:t>
            </w:r>
            <w:r>
              <w:rPr>
                <w:rFonts w:hint="eastAsia"/>
                <w:szCs w:val="20"/>
                <w:lang w:val="en-US" w:eastAsia="zh-CN"/>
              </w:rPr>
              <w:t>0.00785</w:t>
            </w:r>
            <w:r>
              <w:rPr>
                <w:szCs w:val="20"/>
              </w:rPr>
              <w:t>m</w:t>
            </w:r>
            <w:r>
              <w:rPr>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pPr>
              <w:widowControl/>
              <w:spacing w:line="360" w:lineRule="exact"/>
              <w:rPr>
                <w:szCs w:val="28"/>
              </w:rPr>
            </w:pPr>
          </w:p>
        </w:tc>
        <w:tc>
          <w:tcPr>
            <w:tcW w:w="6115" w:type="dxa"/>
            <w:gridSpan w:val="6"/>
            <w:vAlign w:val="center"/>
          </w:tcPr>
          <w:p>
            <w:pPr>
              <w:spacing w:line="360" w:lineRule="exact"/>
              <w:rPr>
                <w:szCs w:val="20"/>
              </w:rPr>
            </w:pPr>
            <w:r>
              <w:rPr>
                <w:rFonts w:hint="eastAsia"/>
                <w:szCs w:val="20"/>
                <w:lang w:eastAsia="zh-CN"/>
              </w:rPr>
              <w:t>□</w:t>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pPr>
              <w:widowControl/>
              <w:spacing w:line="360" w:lineRule="exact"/>
              <w:rPr>
                <w:szCs w:val="28"/>
              </w:rPr>
            </w:pPr>
          </w:p>
        </w:tc>
        <w:tc>
          <w:tcPr>
            <w:tcW w:w="6115" w:type="dxa"/>
            <w:gridSpan w:val="6"/>
            <w:vAlign w:val="center"/>
          </w:tcPr>
          <w:p>
            <w:pPr>
              <w:spacing w:line="360" w:lineRule="exact"/>
              <w:rPr>
                <w:szCs w:val="20"/>
              </w:rPr>
            </w:pPr>
            <w:r>
              <w:rPr>
                <w:rFonts w:hint="eastAsia"/>
                <w:szCs w:val="20"/>
                <w:lang w:eastAsia="zh-CN"/>
              </w:rPr>
              <w:t>□</w:t>
            </w:r>
            <w:r>
              <w:rPr>
                <w:rFonts w:hint="eastAsia"/>
                <w:szCs w:val="20"/>
              </w:rPr>
              <w:t>其他形状截面：</w:t>
            </w:r>
            <w:r>
              <w:rPr>
                <w:szCs w:val="20"/>
              </w:rPr>
              <w:t>S=    m</w:t>
            </w:r>
            <w:r>
              <w:rPr>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pPr>
              <w:widowControl/>
              <w:spacing w:line="360" w:lineRule="exact"/>
              <w:rPr>
                <w:szCs w:val="20"/>
              </w:rPr>
            </w:pPr>
            <w:r>
              <w:rPr>
                <w:rFonts w:hint="eastAsia"/>
                <w:szCs w:val="21"/>
              </w:rPr>
              <w:t>入河排污口污水排放量，入河排污口重点污染物排放种类、排放浓度和排放量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pPr>
              <w:widowControl/>
              <w:spacing w:line="360" w:lineRule="exact"/>
              <w:jc w:val="center"/>
              <w:rPr>
                <w:szCs w:val="20"/>
              </w:rPr>
            </w:pPr>
            <w:r>
              <w:rPr>
                <w:rFonts w:hint="eastAsia"/>
                <w:szCs w:val="20"/>
              </w:rPr>
              <w:t>污染物种类</w:t>
            </w:r>
          </w:p>
        </w:tc>
        <w:tc>
          <w:tcPr>
            <w:tcW w:w="1133" w:type="dxa"/>
            <w:vMerge w:val="restart"/>
            <w:vAlign w:val="center"/>
          </w:tcPr>
          <w:p>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pPr>
              <w:widowControl/>
              <w:spacing w:line="360" w:lineRule="exact"/>
              <w:jc w:val="center"/>
              <w:rPr>
                <w:szCs w:val="20"/>
              </w:rPr>
            </w:pPr>
            <w:r>
              <w:rPr>
                <w:rFonts w:hint="eastAsia"/>
                <w:szCs w:val="20"/>
              </w:rPr>
              <w:t>全年</w:t>
            </w:r>
          </w:p>
        </w:tc>
        <w:tc>
          <w:tcPr>
            <w:tcW w:w="2571" w:type="dxa"/>
            <w:gridSpan w:val="2"/>
            <w:vAlign w:val="center"/>
          </w:tcPr>
          <w:p>
            <w:pPr>
              <w:widowControl/>
              <w:spacing w:line="360" w:lineRule="exact"/>
              <w:jc w:val="center"/>
              <w:rPr>
                <w:szCs w:val="20"/>
              </w:rPr>
            </w:pPr>
            <w:r>
              <w:rPr>
                <w:rFonts w:hint="eastAsia"/>
                <w:szCs w:val="20"/>
              </w:rPr>
              <w:t>特殊时段（</w:t>
            </w:r>
            <w:r>
              <w:rPr>
                <w:szCs w:val="20"/>
              </w:rPr>
              <w:t>__</w:t>
            </w:r>
            <w:r>
              <w:rPr>
                <w:rFonts w:hint="eastAsia"/>
                <w:szCs w:val="20"/>
              </w:rPr>
              <w:t>月至</w:t>
            </w:r>
            <w:r>
              <w:rPr>
                <w:szCs w:val="20"/>
              </w:rPr>
              <w:t>__</w:t>
            </w:r>
            <w:r>
              <w:rPr>
                <w:rFonts w:hint="eastAsia"/>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pPr>
              <w:spacing w:line="360" w:lineRule="exact"/>
              <w:rPr>
                <w:szCs w:val="20"/>
              </w:rPr>
            </w:pPr>
          </w:p>
        </w:tc>
        <w:tc>
          <w:tcPr>
            <w:tcW w:w="1133" w:type="dxa"/>
            <w:vMerge w:val="continue"/>
            <w:vAlign w:val="center"/>
          </w:tcPr>
          <w:p>
            <w:pPr>
              <w:widowControl/>
              <w:spacing w:line="360" w:lineRule="exact"/>
              <w:jc w:val="center"/>
              <w:rPr>
                <w:szCs w:val="20"/>
              </w:rPr>
            </w:pPr>
          </w:p>
        </w:tc>
        <w:tc>
          <w:tcPr>
            <w:tcW w:w="1277" w:type="dxa"/>
            <w:gridSpan w:val="2"/>
            <w:vAlign w:val="center"/>
          </w:tcPr>
          <w:p>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pPr>
              <w:widowControl/>
              <w:spacing w:line="360" w:lineRule="exact"/>
              <w:rPr>
                <w:szCs w:val="20"/>
              </w:rPr>
            </w:pPr>
            <w:r>
              <w:rPr>
                <w:rFonts w:hint="eastAsia"/>
                <w:szCs w:val="20"/>
              </w:rPr>
              <w:t>入河排污口合计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szCs w:val="20"/>
              </w:rPr>
              <w:t>COD</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100</w:t>
            </w:r>
          </w:p>
        </w:tc>
        <w:tc>
          <w:tcPr>
            <w:tcW w:w="1277" w:type="dxa"/>
            <w:gridSpan w:val="2"/>
            <w:vMerge w:val="restart"/>
            <w:vAlign w:val="center"/>
          </w:tcPr>
          <w:p>
            <w:pPr>
              <w:widowControl/>
              <w:spacing w:line="360" w:lineRule="exact"/>
              <w:jc w:val="center"/>
              <w:rPr>
                <w:rFonts w:hint="default" w:eastAsia="宋体"/>
                <w:szCs w:val="20"/>
                <w:lang w:val="en-US" w:eastAsia="zh-CN"/>
              </w:rPr>
            </w:pPr>
            <w:r>
              <w:rPr>
                <w:rFonts w:hint="eastAsia"/>
                <w:szCs w:val="20"/>
                <w:lang w:val="en-US" w:eastAsia="zh-CN"/>
              </w:rPr>
              <w:t>0.109</w:t>
            </w: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0.109</w:t>
            </w:r>
          </w:p>
        </w:tc>
        <w:tc>
          <w:tcPr>
            <w:tcW w:w="1418" w:type="dxa"/>
            <w:vMerge w:val="restart"/>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15</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0.016</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default"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rFonts w:hint="default" w:eastAsia="宋体"/>
                <w:szCs w:val="20"/>
                <w:lang w:val="en-US" w:eastAsia="zh-CN"/>
              </w:rPr>
            </w:pPr>
            <w:r>
              <w:rPr>
                <w:rFonts w:hint="eastAsia"/>
                <w:szCs w:val="20"/>
                <w:lang w:val="en-US" w:eastAsia="zh-CN"/>
              </w:rPr>
              <w:t>BOD</w:t>
            </w:r>
            <w:r>
              <w:rPr>
                <w:rFonts w:hint="eastAsia"/>
                <w:szCs w:val="20"/>
                <w:vertAlign w:val="subscript"/>
                <w:lang w:val="en-US" w:eastAsia="zh-CN"/>
              </w:rPr>
              <w:t>5</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30</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0.033</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rFonts w:hint="default" w:eastAsia="宋体"/>
                <w:szCs w:val="20"/>
                <w:lang w:val="en-US" w:eastAsia="zh-CN"/>
              </w:rPr>
            </w:pPr>
            <w:r>
              <w:rPr>
                <w:rFonts w:hint="eastAsia"/>
                <w:szCs w:val="20"/>
                <w:lang w:val="en-US" w:eastAsia="zh-CN"/>
              </w:rPr>
              <w:t>SS</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70</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0.076</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360" w:lineRule="exact"/>
              <w:jc w:val="center"/>
              <w:rPr>
                <w:rFonts w:hint="eastAsia" w:eastAsia="宋体"/>
                <w:szCs w:val="20"/>
                <w:lang w:eastAsia="zh-CN"/>
              </w:rPr>
            </w:pPr>
            <w:r>
              <w:rPr>
                <w:rFonts w:hint="eastAsia"/>
                <w:szCs w:val="20"/>
                <w:lang w:eastAsia="zh-CN"/>
              </w:rPr>
              <w:t>石油类</w:t>
            </w:r>
          </w:p>
        </w:tc>
        <w:tc>
          <w:tcPr>
            <w:tcW w:w="1133" w:type="dxa"/>
            <w:vAlign w:val="center"/>
          </w:tcPr>
          <w:p>
            <w:pPr>
              <w:widowControl/>
              <w:spacing w:line="360" w:lineRule="exact"/>
              <w:jc w:val="center"/>
              <w:rPr>
                <w:rFonts w:hint="default" w:eastAsia="宋体"/>
                <w:szCs w:val="20"/>
                <w:lang w:val="en-US" w:eastAsia="zh-CN"/>
              </w:rPr>
            </w:pPr>
            <w:r>
              <w:rPr>
                <w:rFonts w:hint="eastAsia"/>
                <w:szCs w:val="20"/>
                <w:lang w:val="en-US" w:eastAsia="zh-CN"/>
              </w:rPr>
              <w:t>10</w:t>
            </w:r>
          </w:p>
        </w:tc>
        <w:tc>
          <w:tcPr>
            <w:tcW w:w="1277" w:type="dxa"/>
            <w:gridSpan w:val="2"/>
            <w:vMerge w:val="continue"/>
            <w:vAlign w:val="center"/>
          </w:tcPr>
          <w:p>
            <w:pPr>
              <w:widowControl/>
              <w:spacing w:line="360" w:lineRule="exact"/>
              <w:jc w:val="center"/>
              <w:rPr>
                <w:szCs w:val="20"/>
              </w:rPr>
            </w:pPr>
          </w:p>
        </w:tc>
        <w:tc>
          <w:tcPr>
            <w:tcW w:w="1134" w:type="dxa"/>
            <w:vAlign w:val="center"/>
          </w:tcPr>
          <w:p>
            <w:pPr>
              <w:widowControl/>
              <w:spacing w:line="360" w:lineRule="exact"/>
              <w:jc w:val="center"/>
              <w:rPr>
                <w:rFonts w:hint="default" w:eastAsia="宋体"/>
                <w:szCs w:val="20"/>
                <w:lang w:val="en-US" w:eastAsia="zh-CN"/>
              </w:rPr>
            </w:pPr>
            <w:r>
              <w:rPr>
                <w:rFonts w:hint="eastAsia"/>
                <w:szCs w:val="20"/>
                <w:lang w:val="en-US" w:eastAsia="zh-CN"/>
              </w:rPr>
              <w:t>0.011</w:t>
            </w:r>
          </w:p>
        </w:tc>
        <w:tc>
          <w:tcPr>
            <w:tcW w:w="1418" w:type="dxa"/>
            <w:vMerge w:val="continue"/>
            <w:vAlign w:val="center"/>
          </w:tcPr>
          <w:p>
            <w:pPr>
              <w:widowControl/>
              <w:spacing w:line="360" w:lineRule="exact"/>
              <w:jc w:val="center"/>
              <w:rPr>
                <w:szCs w:val="20"/>
              </w:rPr>
            </w:pPr>
          </w:p>
        </w:tc>
        <w:tc>
          <w:tcPr>
            <w:tcW w:w="1153" w:type="dxa"/>
            <w:vAlign w:val="center"/>
          </w:tcPr>
          <w:p>
            <w:pPr>
              <w:widowControl/>
              <w:spacing w:line="360" w:lineRule="exact"/>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pPr>
              <w:widowControl/>
              <w:snapToGrid w:val="0"/>
              <w:spacing w:line="360" w:lineRule="exact"/>
              <w:rPr>
                <w:szCs w:val="20"/>
              </w:rPr>
            </w:pPr>
            <w:r>
              <w:rPr>
                <w:rFonts w:hint="eastAsia"/>
                <w:szCs w:val="20"/>
              </w:rPr>
              <w:t>信息公开要求：</w:t>
            </w:r>
          </w:p>
          <w:p>
            <w:pPr>
              <w:pStyle w:val="10"/>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hint="eastAsia" w:ascii="Times New Roman" w:hAnsi="Times New Roman" w:eastAsia="宋体"/>
                <w:kern w:val="2"/>
                <w:sz w:val="21"/>
                <w:szCs w:val="22"/>
                <w:u w:val="single"/>
                <w:lang w:val="en-US" w:eastAsia="zh-CN"/>
              </w:rPr>
              <w:t>名称、编码、类型、管理单位、责任主体、监督电话</w:t>
            </w:r>
            <w:r>
              <w:rPr>
                <w:rFonts w:hint="eastAsia" w:ascii="Times New Roman" w:hAnsi="Times New Roman" w:eastAsia="宋体"/>
                <w:kern w:val="2"/>
                <w:sz w:val="21"/>
                <w:szCs w:val="22"/>
                <w:lang w:eastAsia="zh-CN"/>
              </w:rPr>
              <w:t>等信息应以</w:t>
            </w:r>
            <w:r>
              <w:rPr>
                <w:rFonts w:hint="eastAsia"/>
                <w:szCs w:val="20"/>
                <w:lang w:eastAsia="zh-CN"/>
              </w:rPr>
              <w:t>☑</w:t>
            </w:r>
            <w:r>
              <w:rPr>
                <w:rFonts w:hint="eastAsia" w:ascii="Times New Roman" w:hAnsi="Times New Roman" w:eastAsia="宋体"/>
                <w:kern w:val="2"/>
                <w:sz w:val="21"/>
                <w:szCs w:val="22"/>
                <w:lang w:eastAsia="zh-CN"/>
              </w:rPr>
              <w:t>标识牌</w:t>
            </w:r>
            <w:r>
              <w:rPr>
                <w:rFonts w:hint="eastAsia"/>
                <w:szCs w:val="20"/>
                <w:lang w:eastAsia="zh-CN"/>
              </w:rPr>
              <w:t>□</w:t>
            </w:r>
            <w:r>
              <w:rPr>
                <w:rFonts w:hint="eastAsia" w:ascii="Times New Roman" w:hAnsi="Times New Roman" w:eastAsia="宋体"/>
                <w:kern w:val="2"/>
                <w:sz w:val="21"/>
                <w:szCs w:val="22"/>
                <w:lang w:eastAsia="zh-CN"/>
              </w:rPr>
              <w:t>二维码</w:t>
            </w:r>
            <w:r>
              <w:rPr>
                <w:rFonts w:hint="eastAsia"/>
                <w:szCs w:val="20"/>
                <w:lang w:eastAsia="zh-CN"/>
              </w:rPr>
              <w:t>□</w:t>
            </w:r>
            <w:r>
              <w:rPr>
                <w:rFonts w:hint="eastAsia" w:ascii="Times New Roman" w:hAnsi="Times New Roman" w:eastAsia="宋体"/>
                <w:kern w:val="2"/>
                <w:sz w:val="21"/>
                <w:szCs w:val="22"/>
                <w:lang w:eastAsia="zh-CN"/>
              </w:rPr>
              <w:t>显示屏</w:t>
            </w:r>
            <w:r>
              <w:rPr>
                <w:rFonts w:hint="eastAsia"/>
                <w:szCs w:val="20"/>
                <w:lang w:eastAsia="zh-CN"/>
              </w:rPr>
              <w:t>□</w:t>
            </w:r>
            <w:r>
              <w:rPr>
                <w:rFonts w:hint="eastAsia" w:ascii="Times New Roman" w:hAnsi="Times New Roman" w:eastAsia="宋体"/>
                <w:kern w:val="2"/>
                <w:sz w:val="21"/>
                <w:szCs w:val="22"/>
                <w:u w:val="single"/>
                <w:lang w:val="en-US" w:eastAsia="zh-CN"/>
              </w:rPr>
              <w:t xml:space="preserve">  /  </w:t>
            </w:r>
            <w:r>
              <w:rPr>
                <w:rFonts w:hint="eastAsia" w:ascii="Times New Roman" w:hAnsi="Times New Roman" w:eastAsia="宋体"/>
                <w:kern w:val="2"/>
                <w:sz w:val="21"/>
                <w:szCs w:val="22"/>
                <w:lang w:eastAsia="zh-CN"/>
              </w:rPr>
              <w:t>等方式在入河排污口处信息公开。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pPr>
              <w:widowControl/>
              <w:snapToGrid w:val="0"/>
              <w:spacing w:line="360" w:lineRule="exact"/>
              <w:rPr>
                <w:szCs w:val="20"/>
              </w:rPr>
            </w:pPr>
            <w:r>
              <w:rPr>
                <w:rFonts w:hint="eastAsia"/>
                <w:szCs w:val="20"/>
              </w:rPr>
              <w:t>水污染事故应急处理预案以及环境风险防范措施：</w:t>
            </w:r>
          </w:p>
          <w:p>
            <w:pPr>
              <w:snapToGrid w:val="0"/>
              <w:spacing w:line="360" w:lineRule="exact"/>
              <w:ind w:firstLine="420" w:firstLineChars="200"/>
            </w:pPr>
            <w:r>
              <w:rPr>
                <w:rFonts w:hint="eastAsia"/>
              </w:rPr>
              <w:t>该入河排污口对应的责任主体</w:t>
            </w:r>
            <w:r>
              <w:rPr>
                <w:rFonts w:hint="eastAsia"/>
                <w:u w:val="single"/>
              </w:rPr>
              <w:t>重庆市彬林橡塑制品有限公司</w:t>
            </w:r>
            <w:r>
              <w:rPr>
                <w:rFonts w:hint="eastAsia"/>
              </w:rPr>
              <w:t>应当按照排污单位有关要求，做好污染事故应急处理预案、环境风险防范及应急处置措施，具体包括：</w:t>
            </w:r>
            <w:r>
              <w:rPr>
                <w:rFonts w:hint="default" w:ascii="Times New Roman" w:hAnsi="Times New Roman" w:cs="Times New Roman"/>
                <w:kern w:val="0"/>
                <w:szCs w:val="21"/>
                <w:lang w:eastAsia="zh-CN"/>
              </w:rPr>
              <w:t>建立完善突发环境事件应急预案，落实风险防控和应急处置措施，</w:t>
            </w:r>
            <w:r>
              <w:rPr>
                <w:rFonts w:hint="eastAsia"/>
                <w:lang w:val="en-US" w:eastAsia="zh-CN"/>
              </w:rPr>
              <w:t>防止各类污染事故发生，确保发生事故时污染物不会通过该入河排污口进入外环境。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pPr>
              <w:pStyle w:val="10"/>
              <w:widowControl/>
              <w:snapToGrid w:val="0"/>
              <w:spacing w:line="360" w:lineRule="exact"/>
              <w:ind w:left="0"/>
              <w:jc w:val="both"/>
              <w:rPr>
                <w:lang w:eastAsia="zh-CN"/>
              </w:rPr>
            </w:pPr>
            <w:bookmarkStart w:id="1" w:name="_GoBack"/>
            <w:r>
              <w:rPr>
                <w:rFonts w:hint="eastAsia" w:ascii="Times New Roman" w:hAnsi="Times New Roman" w:eastAsia="宋体"/>
                <w:kern w:val="2"/>
                <w:sz w:val="21"/>
                <w:szCs w:val="22"/>
                <w:lang w:eastAsia="zh-CN"/>
              </w:rPr>
              <w:t>水生态环境保护措施：</w:t>
            </w:r>
          </w:p>
          <w:p>
            <w:pPr>
              <w:pStyle w:val="10"/>
              <w:keepNext w:val="0"/>
              <w:keepLines w:val="0"/>
              <w:pageBreakBefore w:val="0"/>
              <w:widowControl w:val="0"/>
              <w:kinsoku/>
              <w:wordWrap/>
              <w:overflowPunct/>
              <w:topLinePunct w:val="0"/>
              <w:autoSpaceDE/>
              <w:autoSpaceDN/>
              <w:bidi w:val="0"/>
              <w:adjustRightInd/>
              <w:snapToGrid w:val="0"/>
              <w:spacing w:before="0" w:line="320" w:lineRule="exact"/>
              <w:ind w:left="0" w:firstLine="420" w:firstLineChars="200"/>
              <w:jc w:val="both"/>
              <w:textAlignment w:val="auto"/>
              <w:rPr>
                <w:rFonts w:hint="eastAsia"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line="320" w:lineRule="exact"/>
              <w:ind w:firstLine="420" w:firstLineChars="200"/>
              <w:jc w:val="both"/>
              <w:textAlignment w:val="auto"/>
              <w:rPr>
                <w:rFonts w:hint="default" w:ascii="Times New Roman" w:hAnsi="Times New Roman" w:eastAsia="宋体" w:cs="Times New Roman"/>
                <w:kern w:val="2"/>
                <w:sz w:val="21"/>
                <w:szCs w:val="22"/>
                <w:lang w:eastAsia="zh-CN"/>
              </w:rPr>
            </w:pPr>
            <w:r>
              <w:rPr>
                <w:rFonts w:hint="eastAsia" w:ascii="Times New Roman" w:hAnsi="Times New Roman" w:eastAsia="宋体" w:cs="Times New Roman"/>
                <w:kern w:val="2"/>
                <w:sz w:val="21"/>
                <w:szCs w:val="22"/>
                <w:lang w:val="en-US" w:eastAsia="zh-CN"/>
              </w:rPr>
              <w:t>（一）按照《入河入海排污口监督管理技术指南 入河排污口规范化建设》（HJ1309—2023）、《入河入海排污口监督管理技术指南 监测》（HJ1387—2024）相关要求规范化建设入河排污口，</w:t>
            </w:r>
            <w:r>
              <w:rPr>
                <w:rFonts w:hint="default" w:ascii="Times New Roman" w:hAnsi="Times New Roman" w:eastAsia="宋体" w:cs="Times New Roman"/>
                <w:kern w:val="2"/>
                <w:sz w:val="21"/>
                <w:szCs w:val="22"/>
                <w:lang w:eastAsia="zh-CN"/>
              </w:rPr>
              <w:t>加强排放尾水以及排污口附近水域水质监测。</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line="320" w:lineRule="exact"/>
              <w:ind w:firstLine="420" w:firstLineChars="200"/>
              <w:jc w:val="both"/>
              <w:textAlignment w:val="auto"/>
              <w:rPr>
                <w:rFonts w:hint="default" w:ascii="Times New Roman" w:hAnsi="Times New Roman" w:eastAsia="宋体" w:cs="Times New Roman"/>
                <w:kern w:val="2"/>
                <w:sz w:val="21"/>
                <w:szCs w:val="22"/>
                <w:lang w:eastAsia="zh-CN"/>
              </w:rPr>
            </w:pPr>
            <w:r>
              <w:rPr>
                <w:rFonts w:hint="eastAsia" w:ascii="Times New Roman" w:hAnsi="Times New Roman" w:eastAsia="宋体" w:cs="Times New Roman"/>
                <w:kern w:val="2"/>
                <w:sz w:val="21"/>
                <w:szCs w:val="22"/>
                <w:lang w:eastAsia="zh-CN"/>
              </w:rPr>
              <w:t>（二）</w:t>
            </w:r>
            <w:r>
              <w:rPr>
                <w:rFonts w:hint="default" w:ascii="Times New Roman" w:hAnsi="Times New Roman" w:eastAsia="宋体" w:cs="Times New Roman"/>
                <w:kern w:val="2"/>
                <w:sz w:val="21"/>
                <w:szCs w:val="22"/>
                <w:lang w:eastAsia="zh-CN"/>
              </w:rPr>
              <w:t>强化污水处理厂日常运行管理，采取有效措施实现稳定达标排放，并符合排放总量控制要求。</w:t>
            </w:r>
          </w:p>
          <w:p>
            <w:pPr>
              <w:numPr>
                <w:ilvl w:val="0"/>
                <w:numId w:val="0"/>
              </w:numPr>
              <w:ind w:firstLine="420" w:firstLineChars="200"/>
              <w:rPr>
                <w:lang w:eastAsia="zh-CN"/>
              </w:rPr>
            </w:pPr>
            <w:r>
              <w:rPr>
                <w:rFonts w:hint="eastAsia"/>
                <w:lang w:val="en-US" w:eastAsia="zh-CN"/>
              </w:rPr>
              <w:t>（三）若本项目入河排污口下游水域出现水质恶化或者水功能区不达标的情况，须及时采取有效措施减少污染物排放量，以减轻或消除对下游水域、水功能区的影响。</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pPr>
              <w:pStyle w:val="10"/>
              <w:snapToGrid w:val="0"/>
              <w:spacing w:before="0" w:line="360" w:lineRule="exact"/>
              <w:ind w:left="0"/>
              <w:jc w:val="both"/>
              <w:rPr>
                <w:szCs w:val="20"/>
              </w:rPr>
            </w:pPr>
            <w:r>
              <w:rPr>
                <w:rFonts w:hint="eastAsia" w:ascii="Times New Roman" w:hAnsi="Times New Roman" w:eastAsia="宋体"/>
                <w:kern w:val="2"/>
                <w:sz w:val="21"/>
                <w:szCs w:val="22"/>
                <w:lang w:eastAsia="zh-CN"/>
              </w:rPr>
              <w:t>放射性物质管控措施（仅排放放射性物质的入河排污口需要记载）：无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pPr>
              <w:widowControl/>
              <w:snapToGrid w:val="0"/>
              <w:spacing w:line="360" w:lineRule="exact"/>
              <w:rPr>
                <w:kern w:val="0"/>
                <w:szCs w:val="21"/>
              </w:rPr>
            </w:pPr>
            <w:r>
              <w:rPr>
                <w:rFonts w:hint="eastAsia"/>
                <w:kern w:val="0"/>
                <w:szCs w:val="21"/>
              </w:rPr>
              <w:t>其他需要注意的事项：</w:t>
            </w:r>
          </w:p>
          <w:p>
            <w:pPr>
              <w:pStyle w:val="10"/>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pPr>
              <w:snapToGrid w:val="0"/>
              <w:spacing w:line="360" w:lineRule="exact"/>
              <w:ind w:firstLine="420" w:firstLineChars="200"/>
            </w:pPr>
            <w:r>
              <w:rPr>
                <w:rFonts w:hint="eastAsia"/>
              </w:rPr>
              <w:t>（二）</w:t>
            </w:r>
            <w:r>
              <w:rPr>
                <w:rFonts w:hint="eastAsia"/>
                <w:lang w:eastAsia="zh-CN"/>
              </w:rPr>
              <w:t>若</w:t>
            </w:r>
            <w:r>
              <w:rPr>
                <w:rFonts w:hint="eastAsia"/>
                <w:lang w:val="en-US" w:eastAsia="zh-CN"/>
              </w:rPr>
              <w:t>该入河排污口位置、排放方式发生变化，以及因生产工艺、污水处理工艺等发生较大变动造成污水排放量、污染物排放总量超过本决定书许可或污染物种类增加的，</w:t>
            </w:r>
            <w:r>
              <w:rPr>
                <w:rFonts w:hint="default" w:ascii="Times New Roman" w:hAnsi="Times New Roman" w:cs="Times New Roman"/>
                <w:lang w:eastAsia="zh-CN"/>
              </w:rPr>
              <w:t>应重新</w:t>
            </w:r>
            <w:r>
              <w:rPr>
                <w:rFonts w:hint="eastAsia" w:cs="Times New Roman"/>
                <w:lang w:eastAsia="zh-CN"/>
              </w:rPr>
              <w:t>进行</w:t>
            </w:r>
            <w:r>
              <w:rPr>
                <w:rFonts w:hint="default" w:ascii="Times New Roman" w:hAnsi="Times New Roman" w:cs="Times New Roman"/>
                <w:lang w:eastAsia="zh-CN"/>
              </w:rPr>
              <w:t>入河排污口设置申请。</w:t>
            </w:r>
          </w:p>
        </w:tc>
      </w:tr>
    </w:tbl>
    <w:p>
      <w:pPr>
        <w:pStyle w:val="10"/>
        <w:keepNext w:val="0"/>
        <w:keepLines w:val="0"/>
        <w:pageBreakBefore w:val="0"/>
        <w:widowControl w:val="0"/>
        <w:kinsoku/>
        <w:wordWrap/>
        <w:overflowPunct/>
        <w:autoSpaceDE/>
        <w:autoSpaceDN/>
        <w:bidi w:val="0"/>
        <w:snapToGrid/>
        <w:spacing w:before="0" w:line="520" w:lineRule="exact"/>
        <w:ind w:left="0" w:leftChars="0" w:firstLine="0" w:firstLineChars="0"/>
        <w:jc w:val="both"/>
        <w:textAlignment w:val="auto"/>
        <w:rPr>
          <w:rFonts w:hint="default" w:ascii="Times New Roman" w:hAnsi="Times New Roman" w:eastAsia="方正仿宋_GBK" w:cs="Times New Roman"/>
          <w:spacing w:val="-5"/>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line="360" w:lineRule="exact"/>
        <w:ind w:left="113"/>
        <w:jc w:val="center"/>
        <w:textAlignment w:val="auto"/>
        <w:rPr>
          <w:rFonts w:hint="eastAsia" w:ascii="宋体" w:hAnsi="宋体" w:eastAsia="宋体" w:cs="宋体"/>
          <w:spacing w:val="-5"/>
          <w:sz w:val="21"/>
          <w:szCs w:val="21"/>
          <w:lang w:val="en-US" w:eastAsia="zh-CN"/>
        </w:rPr>
      </w:pPr>
      <w:r>
        <w:rPr>
          <w:rFonts w:hint="eastAsia" w:ascii="Times New Roman" w:hAnsi="Times New Roman" w:eastAsia="方正仿宋_GBK" w:cs="Times New Roman"/>
          <w:spacing w:val="-5"/>
          <w:sz w:val="32"/>
          <w:szCs w:val="32"/>
          <w:lang w:val="en-US" w:eastAsia="zh-CN"/>
        </w:rPr>
        <w:t xml:space="preserve">                              </w:t>
      </w:r>
      <w:r>
        <w:rPr>
          <w:rFonts w:hint="eastAsia" w:ascii="宋体" w:hAnsi="宋体" w:eastAsia="宋体" w:cs="宋体"/>
          <w:spacing w:val="-5"/>
          <w:sz w:val="21"/>
          <w:szCs w:val="21"/>
          <w:lang w:val="en-US" w:eastAsia="zh-CN"/>
        </w:rPr>
        <w:t>重庆市綦江区生态环境局</w:t>
      </w:r>
    </w:p>
    <w:p>
      <w:pPr>
        <w:pStyle w:val="10"/>
        <w:keepNext w:val="0"/>
        <w:keepLines w:val="0"/>
        <w:pageBreakBefore w:val="0"/>
        <w:widowControl w:val="0"/>
        <w:kinsoku/>
        <w:wordWrap/>
        <w:overflowPunct/>
        <w:topLinePunct w:val="0"/>
        <w:autoSpaceDE/>
        <w:autoSpaceDN/>
        <w:bidi w:val="0"/>
        <w:adjustRightInd/>
        <w:snapToGrid/>
        <w:spacing w:before="0" w:line="360" w:lineRule="exact"/>
        <w:ind w:left="113"/>
        <w:jc w:val="center"/>
        <w:textAlignment w:val="auto"/>
        <w:rPr>
          <w:rFonts w:hint="eastAsia" w:ascii="Times New Roman" w:hAnsi="Times New Roman" w:eastAsia="方正仿宋_GBK" w:cs="Times New Roman"/>
          <w:spacing w:val="-5"/>
          <w:sz w:val="32"/>
          <w:szCs w:val="32"/>
          <w:lang w:val="en-US" w:eastAsia="zh-CN"/>
        </w:rPr>
      </w:pPr>
      <w:r>
        <w:rPr>
          <w:rFonts w:hint="eastAsia" w:ascii="宋体" w:hAnsi="宋体" w:eastAsia="宋体" w:cs="宋体"/>
          <w:spacing w:val="-5"/>
          <w:sz w:val="21"/>
          <w:szCs w:val="21"/>
          <w:lang w:val="en-US" w:eastAsia="zh-CN"/>
        </w:rPr>
        <w:t xml:space="preserve">                                                2025年4月28日</w:t>
      </w:r>
      <w:bookmarkEnd w:id="0"/>
    </w:p>
    <w:sectPr>
      <w:footerReference r:id="rId3" w:type="default"/>
      <w:pgSz w:w="11906" w:h="16838"/>
      <w:pgMar w:top="2098" w:right="1474" w:bottom="198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方正大标宋简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等线 Light">
    <w:altName w:val="方正大标宋简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C920C808-1FEF-48F3-8D52-3583E21FE93E}"/>
  </w:font>
  <w:font w:name="Wingdings 2">
    <w:panose1 w:val="05020102010507070707"/>
    <w:charset w:val="00"/>
    <w:family w:val="auto"/>
    <w:pitch w:val="default"/>
    <w:sig w:usb0="00000000" w:usb1="00000000" w:usb2="00000000" w:usb3="00000000" w:csb0="80000000" w:csb1="00000000"/>
    <w:embedRegular r:id="rId2" w:fontKey="{9607A61D-444E-4C2C-904D-6D1A27F0EAE7}"/>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4472A79"/>
    <w:rsid w:val="05034C75"/>
    <w:rsid w:val="067D17F3"/>
    <w:rsid w:val="0BC11EE9"/>
    <w:rsid w:val="0BFDA643"/>
    <w:rsid w:val="0CA27F6D"/>
    <w:rsid w:val="0D0A1357"/>
    <w:rsid w:val="0D841421"/>
    <w:rsid w:val="0E2436DF"/>
    <w:rsid w:val="0EAFFE13"/>
    <w:rsid w:val="0EBD0938"/>
    <w:rsid w:val="0F2C7FC2"/>
    <w:rsid w:val="0F6A6E6B"/>
    <w:rsid w:val="0FBF4992"/>
    <w:rsid w:val="0FDB09EB"/>
    <w:rsid w:val="0FDD5904"/>
    <w:rsid w:val="10B75F4A"/>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7421CB"/>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1214C8"/>
    <w:rsid w:val="419B49AF"/>
    <w:rsid w:val="42005B16"/>
    <w:rsid w:val="42E47C90"/>
    <w:rsid w:val="430622FC"/>
    <w:rsid w:val="43EB2EA4"/>
    <w:rsid w:val="442246DB"/>
    <w:rsid w:val="4484797D"/>
    <w:rsid w:val="44C8791D"/>
    <w:rsid w:val="450F36EA"/>
    <w:rsid w:val="45B24076"/>
    <w:rsid w:val="46467707"/>
    <w:rsid w:val="467B6220"/>
    <w:rsid w:val="47501D98"/>
    <w:rsid w:val="47522184"/>
    <w:rsid w:val="47D41179"/>
    <w:rsid w:val="493556E9"/>
    <w:rsid w:val="4976569D"/>
    <w:rsid w:val="49BA48C9"/>
    <w:rsid w:val="49CF1E07"/>
    <w:rsid w:val="4ABE4612"/>
    <w:rsid w:val="4B4E0679"/>
    <w:rsid w:val="4BB22BD9"/>
    <w:rsid w:val="4C436FB7"/>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B95C54"/>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50077E"/>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A7024"/>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A2208"/>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B5290B"/>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540"/>
        <w:tab w:val="left" w:pos="1080"/>
        <w:tab w:val="left" w:pos="1800"/>
      </w:tabs>
      <w:autoSpaceDE/>
      <w:autoSpaceDN/>
      <w:spacing w:line="500" w:lineRule="exact"/>
      <w:ind w:firstLine="480" w:firstLineChars="200"/>
      <w:jc w:val="both"/>
    </w:pPr>
    <w:rPr>
      <w:rFonts w:hAnsi="宋体"/>
      <w:color w:val="000000"/>
      <w:kern w:val="2"/>
    </w:rPr>
  </w:style>
  <w:style w:type="paragraph" w:styleId="7">
    <w:name w:val="toc 7"/>
    <w:basedOn w:val="1"/>
    <w:next w:val="1"/>
    <w:unhideWhenUsed/>
    <w:qFormat/>
    <w:uiPriority w:val="39"/>
    <w:pPr>
      <w:ind w:left="1260"/>
      <w:jc w:val="left"/>
    </w:pPr>
    <w:rPr>
      <w:rFonts w:ascii="等线" w:eastAsia="等线"/>
      <w:sz w:val="18"/>
      <w:szCs w:val="18"/>
    </w:rPr>
  </w:style>
  <w:style w:type="paragraph" w:styleId="8">
    <w:name w:val="annotation text"/>
    <w:basedOn w:val="1"/>
    <w:link w:val="42"/>
    <w:unhideWhenUsed/>
    <w:qFormat/>
    <w:uiPriority w:val="99"/>
    <w:pPr>
      <w:jc w:val="left"/>
    </w:pPr>
  </w:style>
  <w:style w:type="paragraph" w:styleId="9">
    <w:name w:val="Salutation"/>
    <w:basedOn w:val="1"/>
    <w:next w:val="1"/>
    <w:link w:val="43"/>
    <w:qFormat/>
    <w:uiPriority w:val="0"/>
    <w:rPr>
      <w:szCs w:val="20"/>
      <w:lang w:bidi="mn-Mong-CN"/>
    </w:rPr>
  </w:style>
  <w:style w:type="paragraph" w:styleId="10">
    <w:name w:val="Body Text"/>
    <w:basedOn w:val="1"/>
    <w:next w:val="1"/>
    <w:link w:val="38"/>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4"/>
    <w:unhideWhenUsed/>
    <w:qFormat/>
    <w:uiPriority w:val="99"/>
    <w:pPr>
      <w:ind w:left="100" w:leftChars="2500"/>
    </w:pPr>
  </w:style>
  <w:style w:type="paragraph" w:styleId="15">
    <w:name w:val="Body Text Indent 2"/>
    <w:basedOn w:val="1"/>
    <w:link w:val="45"/>
    <w:qFormat/>
    <w:uiPriority w:val="0"/>
    <w:pPr>
      <w:spacing w:after="120" w:line="480" w:lineRule="auto"/>
      <w:ind w:left="420" w:leftChars="200" w:firstLine="200" w:firstLineChars="200"/>
    </w:pPr>
    <w:rPr>
      <w:szCs w:val="24"/>
    </w:rPr>
  </w:style>
  <w:style w:type="paragraph" w:styleId="16">
    <w:name w:val="endnote text"/>
    <w:basedOn w:val="1"/>
    <w:link w:val="46"/>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等线" w:eastAsia="等线"/>
      <w:b/>
      <w:bCs/>
      <w:caps/>
      <w:sz w:val="20"/>
      <w:szCs w:val="20"/>
    </w:rPr>
  </w:style>
  <w:style w:type="paragraph" w:styleId="21">
    <w:name w:val="toc 4"/>
    <w:basedOn w:val="1"/>
    <w:next w:val="1"/>
    <w:unhideWhenUsed/>
    <w:qFormat/>
    <w:uiPriority w:val="39"/>
    <w:pPr>
      <w:ind w:left="630"/>
      <w:jc w:val="left"/>
    </w:pPr>
    <w:rPr>
      <w:rFonts w:ascii="等线" w:eastAsia="等线"/>
      <w:sz w:val="18"/>
      <w:szCs w:val="18"/>
    </w:rPr>
  </w:style>
  <w:style w:type="paragraph" w:styleId="22">
    <w:name w:val="footnote text"/>
    <w:basedOn w:val="1"/>
    <w:link w:val="50"/>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等线" w:eastAsia="等线"/>
      <w:sz w:val="18"/>
      <w:szCs w:val="18"/>
    </w:rPr>
  </w:style>
  <w:style w:type="paragraph" w:styleId="24">
    <w:name w:val="toc 2"/>
    <w:basedOn w:val="1"/>
    <w:next w:val="1"/>
    <w:unhideWhenUsed/>
    <w:qFormat/>
    <w:uiPriority w:val="39"/>
    <w:pPr>
      <w:ind w:left="210"/>
      <w:jc w:val="left"/>
    </w:pPr>
    <w:rPr>
      <w:rFonts w:ascii="等线" w:eastAsia="等线"/>
      <w:smallCaps/>
      <w:sz w:val="20"/>
      <w:szCs w:val="20"/>
    </w:rPr>
  </w:style>
  <w:style w:type="paragraph" w:styleId="25">
    <w:name w:val="toc 9"/>
    <w:basedOn w:val="1"/>
    <w:next w:val="1"/>
    <w:unhideWhenUsed/>
    <w:qFormat/>
    <w:uiPriority w:val="39"/>
    <w:pPr>
      <w:ind w:left="1680"/>
      <w:jc w:val="left"/>
    </w:pPr>
    <w:rPr>
      <w:rFonts w:ascii="等线" w:eastAsia="等线"/>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8"/>
    <w:next w:val="8"/>
    <w:link w:val="51"/>
    <w:unhideWhenUsed/>
    <w:qFormat/>
    <w:uiPriority w:val="99"/>
    <w:rPr>
      <w:b/>
      <w:bCs/>
    </w:rPr>
  </w:style>
  <w:style w:type="table" w:styleId="29">
    <w:name w:val="Table Grid"/>
    <w:basedOn w:val="28"/>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字符1"/>
    <w:link w:val="10"/>
    <w:qFormat/>
    <w:uiPriority w:val="0"/>
    <w:rPr>
      <w:rFonts w:ascii="仿宋_GB2312" w:hAnsi="仿宋_GB2312" w:eastAsia="仿宋_GB2312" w:cs="Times New Roman"/>
      <w:sz w:val="30"/>
      <w:szCs w:val="30"/>
      <w:lang w:eastAsia="en-US" w:bidi="ar-SA"/>
    </w:rPr>
  </w:style>
  <w:style w:type="character" w:customStyle="1" w:styleId="39">
    <w:name w:val="标题 1 字符1"/>
    <w:link w:val="3"/>
    <w:qFormat/>
    <w:uiPriority w:val="0"/>
    <w:rPr>
      <w:rFonts w:ascii="等线" w:hAnsi="等线" w:eastAsia="等线" w:cs="Times New Roman"/>
      <w:b/>
      <w:bCs/>
      <w:kern w:val="44"/>
      <w:sz w:val="44"/>
      <w:szCs w:val="44"/>
      <w:lang w:bidi="ar-SA"/>
    </w:rPr>
  </w:style>
  <w:style w:type="character" w:customStyle="1" w:styleId="40">
    <w:name w:val="标题 2 字符"/>
    <w:link w:val="4"/>
    <w:qFormat/>
    <w:uiPriority w:val="9"/>
    <w:rPr>
      <w:rFonts w:ascii="Calibri Light" w:hAnsi="Calibri Light" w:eastAsia="宋体" w:cs="Mongolian Baiti"/>
      <w:b/>
      <w:bCs/>
      <w:sz w:val="32"/>
      <w:szCs w:val="32"/>
      <w:lang w:bidi="ar-SA"/>
    </w:rPr>
  </w:style>
  <w:style w:type="character" w:customStyle="1" w:styleId="41">
    <w:name w:val="标题 3 字符"/>
    <w:link w:val="5"/>
    <w:semiHidden/>
    <w:qFormat/>
    <w:uiPriority w:val="9"/>
    <w:rPr>
      <w:rFonts w:ascii="Times New Roman" w:hAnsi="Times New Roman" w:eastAsia="宋体" w:cs="Times New Roman"/>
      <w:b/>
      <w:bCs/>
      <w:kern w:val="2"/>
      <w:sz w:val="32"/>
      <w:szCs w:val="32"/>
      <w:lang w:bidi="ar-SA"/>
    </w:rPr>
  </w:style>
  <w:style w:type="character" w:customStyle="1" w:styleId="42">
    <w:name w:val="批注文字 字符"/>
    <w:link w:val="8"/>
    <w:qFormat/>
    <w:uiPriority w:val="99"/>
    <w:rPr>
      <w:rFonts w:ascii="Times New Roman" w:hAnsi="Times New Roman" w:eastAsia="宋体" w:cs="Times New Roman"/>
      <w:szCs w:val="22"/>
      <w:lang w:bidi="ar-SA"/>
    </w:rPr>
  </w:style>
  <w:style w:type="character" w:customStyle="1" w:styleId="43">
    <w:name w:val="称呼 字符"/>
    <w:link w:val="9"/>
    <w:qFormat/>
    <w:uiPriority w:val="0"/>
    <w:rPr>
      <w:rFonts w:ascii="Times New Roman" w:hAnsi="Times New Roman" w:eastAsia="宋体" w:cs="Times New Roman"/>
      <w:kern w:val="2"/>
      <w:sz w:val="21"/>
    </w:rPr>
  </w:style>
  <w:style w:type="character" w:customStyle="1" w:styleId="44">
    <w:name w:val="日期 字符"/>
    <w:link w:val="14"/>
    <w:semiHidden/>
    <w:qFormat/>
    <w:uiPriority w:val="99"/>
    <w:rPr>
      <w:rFonts w:ascii="Times New Roman" w:hAnsi="Times New Roman" w:eastAsia="宋体" w:cs="Times New Roman"/>
      <w:kern w:val="2"/>
      <w:sz w:val="21"/>
      <w:szCs w:val="22"/>
      <w:lang w:bidi="ar-SA"/>
    </w:rPr>
  </w:style>
  <w:style w:type="character" w:customStyle="1" w:styleId="45">
    <w:name w:val="正文文本缩进 2 字符"/>
    <w:link w:val="15"/>
    <w:qFormat/>
    <w:uiPriority w:val="0"/>
    <w:rPr>
      <w:rFonts w:ascii="Times New Roman" w:hAnsi="Times New Roman" w:eastAsia="宋体" w:cs="Times New Roman"/>
      <w:kern w:val="2"/>
      <w:sz w:val="21"/>
      <w:szCs w:val="24"/>
      <w:lang w:bidi="ar-SA"/>
    </w:rPr>
  </w:style>
  <w:style w:type="character" w:customStyle="1" w:styleId="46">
    <w:name w:val="尾注文本 字符"/>
    <w:link w:val="16"/>
    <w:semiHidden/>
    <w:qFormat/>
    <w:uiPriority w:val="99"/>
    <w:rPr>
      <w:rFonts w:ascii="Times New Roman" w:hAnsi="Times New Roman" w:eastAsia="宋体" w:cs="Times New Roman"/>
      <w:kern w:val="2"/>
      <w:sz w:val="21"/>
      <w:szCs w:val="22"/>
      <w:lang w:bidi="ar-SA"/>
    </w:rPr>
  </w:style>
  <w:style w:type="character" w:customStyle="1" w:styleId="47">
    <w:name w:val="批注框文本 字符"/>
    <w:link w:val="17"/>
    <w:semiHidden/>
    <w:qFormat/>
    <w:uiPriority w:val="99"/>
    <w:rPr>
      <w:rFonts w:ascii="Times New Roman" w:hAnsi="Times New Roman" w:eastAsia="宋体" w:cs="Times New Roman"/>
      <w:sz w:val="18"/>
      <w:szCs w:val="18"/>
      <w:lang w:bidi="ar-SA"/>
    </w:rPr>
  </w:style>
  <w:style w:type="character" w:customStyle="1" w:styleId="48">
    <w:name w:val="页脚 字符"/>
    <w:link w:val="18"/>
    <w:qFormat/>
    <w:uiPriority w:val="99"/>
    <w:rPr>
      <w:rFonts w:ascii="等线" w:hAnsi="等线" w:eastAsia="等线" w:cs="Times New Roman"/>
      <w:sz w:val="18"/>
      <w:szCs w:val="18"/>
      <w:lang w:bidi="ar-SA"/>
    </w:rPr>
  </w:style>
  <w:style w:type="character" w:customStyle="1" w:styleId="49">
    <w:name w:val="页眉 字符"/>
    <w:link w:val="19"/>
    <w:qFormat/>
    <w:uiPriority w:val="99"/>
    <w:rPr>
      <w:kern w:val="2"/>
      <w:sz w:val="18"/>
      <w:szCs w:val="18"/>
      <w:lang w:bidi="ar-SA"/>
    </w:rPr>
  </w:style>
  <w:style w:type="character" w:customStyle="1" w:styleId="50">
    <w:name w:val="脚注文本 字符"/>
    <w:link w:val="22"/>
    <w:semiHidden/>
    <w:qFormat/>
    <w:uiPriority w:val="99"/>
    <w:rPr>
      <w:rFonts w:ascii="Times New Roman" w:hAnsi="Times New Roman" w:eastAsia="宋体" w:cs="Times New Roman"/>
      <w:kern w:val="2"/>
      <w:sz w:val="18"/>
      <w:szCs w:val="18"/>
      <w:lang w:bidi="ar-SA"/>
    </w:rPr>
  </w:style>
  <w:style w:type="character" w:customStyle="1" w:styleId="51">
    <w:name w:val="批注主题 字符"/>
    <w:link w:val="27"/>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4"/>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字符"/>
    <w:basedOn w:val="30"/>
    <w:link w:val="6"/>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556</Words>
  <Characters>3170</Characters>
  <Lines>26</Lines>
  <Paragraphs>7</Paragraphs>
  <TotalTime>1</TotalTime>
  <ScaleCrop>false</ScaleCrop>
  <LinksUpToDate>false</LinksUpToDate>
  <CharactersWithSpaces>3719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2024-12-27T11:38:00Z</dcterms:created>
  <dc:creator>yuyu</dc:creator>
  <cp:lastModifiedBy>Administrator</cp:lastModifiedBy>
  <cp:lastPrinted>2025-04-28T01:22:00Z</cp:lastPrinted>
  <dcterms:modified xsi:type="dcterms:W3CDTF">2025-04-28T03:16:54Z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E6FCBAC83D814FDF9C70FE62CAEAE14B</vt:lpwstr>
  </property>
  <property fmtid="{D5CDD505-2E9C-101B-9397-08002B2CF9AE}" pid="4" name="KSOTemplateDocerSaveRecord">
    <vt:lpwstr>eyJoZGlkIjoiYzk2N2NkODRkYWY0MTM2NmQyMzdjMWM2MDBkODUyNmEiLCJ1c2VySWQiOiIxNTYwODcxMDc3In0=</vt:lpwstr>
  </property>
</Properties>
</file>