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3904E7">
      <w:pPr>
        <w:keepNext w:val="0"/>
        <w:keepLines w:val="0"/>
        <w:pageBreakBefore w:val="0"/>
        <w:jc w:val="center"/>
        <w:rPr>
          <w:sz w:val="24"/>
          <w:szCs w:val="24"/>
        </w:rPr>
      </w:pPr>
      <w:r>
        <w:rPr>
          <w:rFonts w:ascii="微软雅黑" w:hAnsi="微软雅黑" w:eastAsia="微软雅黑" w:cs="微软雅黑"/>
          <w:i w:val="0"/>
          <w:iCs w:val="0"/>
          <w:caps w:val="0"/>
          <w:color w:val="333333"/>
          <w:spacing w:val="0"/>
          <w:sz w:val="45"/>
          <w:szCs w:val="45"/>
          <w:shd w:val="clear" w:color="auto" w:fill="FFFFFF"/>
        </w:rPr>
        <w:t>卫生健康部门随机抽查事项清单（202</w:t>
      </w:r>
      <w:r>
        <w:rPr>
          <w:rFonts w:hint="eastAsia" w:ascii="微软雅黑" w:hAnsi="微软雅黑" w:eastAsia="微软雅黑" w:cs="微软雅黑"/>
          <w:i w:val="0"/>
          <w:iCs w:val="0"/>
          <w:caps w:val="0"/>
          <w:color w:val="333333"/>
          <w:spacing w:val="0"/>
          <w:sz w:val="45"/>
          <w:szCs w:val="45"/>
          <w:shd w:val="clear" w:color="auto" w:fill="FFFFFF"/>
          <w:lang w:val="en-US" w:eastAsia="zh-CN"/>
        </w:rPr>
        <w:t>5</w:t>
      </w:r>
      <w:r>
        <w:rPr>
          <w:rFonts w:ascii="微软雅黑" w:hAnsi="微软雅黑" w:eastAsia="微软雅黑" w:cs="微软雅黑"/>
          <w:i w:val="0"/>
          <w:iCs w:val="0"/>
          <w:caps w:val="0"/>
          <w:color w:val="333333"/>
          <w:spacing w:val="0"/>
          <w:sz w:val="45"/>
          <w:szCs w:val="45"/>
          <w:shd w:val="clear" w:color="auto" w:fill="FFFFFF"/>
        </w:rPr>
        <w:t>年版）</w:t>
      </w:r>
    </w:p>
    <w:p w14:paraId="59453364">
      <w:pPr>
        <w:keepNext w:val="0"/>
        <w:keepLines w:val="0"/>
        <w:pageBreakBefore w:val="0"/>
        <w:rPr>
          <w:sz w:val="24"/>
          <w:szCs w:val="24"/>
        </w:rPr>
      </w:pPr>
    </w:p>
    <w:tbl>
      <w:tblPr>
        <w:tblStyle w:val="28"/>
        <w:tblW w:w="15900" w:type="dxa"/>
        <w:jc w:val="center"/>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shd w:val="clear" w:color="auto" w:fill="FFFFFF"/>
        <w:tblLayout w:type="autofit"/>
        <w:tblCellMar>
          <w:top w:w="0" w:type="dxa"/>
          <w:left w:w="105" w:type="dxa"/>
          <w:bottom w:w="0" w:type="dxa"/>
          <w:right w:w="105" w:type="dxa"/>
        </w:tblCellMar>
      </w:tblPr>
      <w:tblGrid>
        <w:gridCol w:w="683"/>
        <w:gridCol w:w="1275"/>
        <w:gridCol w:w="4470"/>
        <w:gridCol w:w="2040"/>
        <w:gridCol w:w="1155"/>
        <w:gridCol w:w="1065"/>
        <w:gridCol w:w="1410"/>
        <w:gridCol w:w="3802"/>
      </w:tblGrid>
      <w:tr w14:paraId="62D3BE8B">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shd w:val="clear" w:color="auto" w:fill="FFFFFF"/>
          <w:tblCellMar>
            <w:top w:w="0" w:type="dxa"/>
            <w:left w:w="105" w:type="dxa"/>
            <w:bottom w:w="0" w:type="dxa"/>
            <w:right w:w="105" w:type="dxa"/>
          </w:tblCellMar>
        </w:tblPrEx>
        <w:trPr>
          <w:trHeight w:val="414" w:hRule="atLeast"/>
          <w:jc w:val="center"/>
        </w:trPr>
        <w:tc>
          <w:tcPr>
            <w:tcW w:w="683" w:type="dxa"/>
            <w:vMerge w:val="restart"/>
            <w:shd w:val="clear" w:color="auto" w:fill="FFFFFF"/>
            <w:noWrap w:val="0"/>
            <w:tcMar>
              <w:left w:w="105" w:type="dxa"/>
              <w:right w:w="105" w:type="dxa"/>
            </w:tcMar>
            <w:vAlign w:val="center"/>
          </w:tcPr>
          <w:p w14:paraId="121EA75C">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aps w:val="0"/>
                <w:color w:val="333333"/>
                <w:spacing w:val="0"/>
                <w:sz w:val="21"/>
                <w:szCs w:val="21"/>
              </w:rPr>
              <w:t>序号</w:t>
            </w:r>
          </w:p>
        </w:tc>
        <w:tc>
          <w:tcPr>
            <w:tcW w:w="5745" w:type="dxa"/>
            <w:gridSpan w:val="2"/>
            <w:shd w:val="clear" w:color="auto" w:fill="FFFFFF"/>
            <w:noWrap w:val="0"/>
            <w:tcMar>
              <w:left w:w="105" w:type="dxa"/>
              <w:right w:w="105" w:type="dxa"/>
            </w:tcMar>
            <w:vAlign w:val="center"/>
          </w:tcPr>
          <w:p w14:paraId="0D7362B0">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aps w:val="0"/>
                <w:color w:val="333333"/>
                <w:spacing w:val="0"/>
                <w:sz w:val="21"/>
                <w:szCs w:val="21"/>
              </w:rPr>
              <w:t>抽查项目</w:t>
            </w:r>
          </w:p>
        </w:tc>
        <w:tc>
          <w:tcPr>
            <w:tcW w:w="2040" w:type="dxa"/>
            <w:vMerge w:val="restart"/>
            <w:shd w:val="clear" w:color="auto" w:fill="FFFFFF"/>
            <w:noWrap w:val="0"/>
            <w:tcMar>
              <w:left w:w="105" w:type="dxa"/>
              <w:right w:w="105" w:type="dxa"/>
            </w:tcMar>
            <w:vAlign w:val="center"/>
          </w:tcPr>
          <w:p w14:paraId="1D4299BA">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aps w:val="0"/>
                <w:color w:val="333333"/>
                <w:spacing w:val="0"/>
                <w:sz w:val="21"/>
                <w:szCs w:val="21"/>
              </w:rPr>
              <w:t>监督检查对象</w:t>
            </w:r>
          </w:p>
        </w:tc>
        <w:tc>
          <w:tcPr>
            <w:tcW w:w="1155" w:type="dxa"/>
            <w:vMerge w:val="restart"/>
            <w:shd w:val="clear" w:color="auto" w:fill="FFFFFF"/>
            <w:noWrap w:val="0"/>
            <w:tcMar>
              <w:left w:w="105" w:type="dxa"/>
              <w:right w:w="105" w:type="dxa"/>
            </w:tcMar>
            <w:vAlign w:val="center"/>
          </w:tcPr>
          <w:p w14:paraId="05B0A216">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aps w:val="0"/>
                <w:color w:val="333333"/>
                <w:spacing w:val="0"/>
                <w:sz w:val="21"/>
                <w:szCs w:val="21"/>
              </w:rPr>
              <w:t>事项类别</w:t>
            </w:r>
          </w:p>
        </w:tc>
        <w:tc>
          <w:tcPr>
            <w:tcW w:w="1065" w:type="dxa"/>
            <w:vMerge w:val="restart"/>
            <w:shd w:val="clear" w:color="auto" w:fill="FFFFFF"/>
            <w:noWrap w:val="0"/>
            <w:tcMar>
              <w:left w:w="105" w:type="dxa"/>
              <w:right w:w="105" w:type="dxa"/>
            </w:tcMar>
            <w:vAlign w:val="center"/>
          </w:tcPr>
          <w:p w14:paraId="0D7DDB8A">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aps w:val="0"/>
                <w:color w:val="333333"/>
                <w:spacing w:val="0"/>
                <w:sz w:val="21"/>
                <w:szCs w:val="21"/>
              </w:rPr>
              <w:t>检查方式</w:t>
            </w:r>
          </w:p>
        </w:tc>
        <w:tc>
          <w:tcPr>
            <w:tcW w:w="1410" w:type="dxa"/>
            <w:vMerge w:val="restart"/>
            <w:shd w:val="clear" w:color="auto" w:fill="FFFFFF"/>
            <w:noWrap w:val="0"/>
            <w:tcMar>
              <w:left w:w="105" w:type="dxa"/>
              <w:right w:w="105" w:type="dxa"/>
            </w:tcMar>
            <w:vAlign w:val="center"/>
          </w:tcPr>
          <w:p w14:paraId="17698620">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aps w:val="0"/>
                <w:color w:val="333333"/>
                <w:spacing w:val="0"/>
                <w:sz w:val="21"/>
                <w:szCs w:val="21"/>
              </w:rPr>
              <w:t>检查主体</w:t>
            </w:r>
          </w:p>
        </w:tc>
        <w:tc>
          <w:tcPr>
            <w:tcW w:w="3802" w:type="dxa"/>
            <w:vMerge w:val="restart"/>
            <w:shd w:val="clear" w:color="auto" w:fill="FFFFFF"/>
            <w:noWrap w:val="0"/>
            <w:tcMar>
              <w:left w:w="105" w:type="dxa"/>
              <w:right w:w="105" w:type="dxa"/>
            </w:tcMar>
            <w:vAlign w:val="center"/>
          </w:tcPr>
          <w:p w14:paraId="173A7AE9">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aps w:val="0"/>
                <w:color w:val="333333"/>
                <w:spacing w:val="0"/>
                <w:sz w:val="21"/>
                <w:szCs w:val="21"/>
              </w:rPr>
              <w:t>检查依据</w:t>
            </w:r>
          </w:p>
        </w:tc>
      </w:tr>
      <w:tr w14:paraId="68CF36D5">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tblCellMar>
            <w:top w:w="0" w:type="dxa"/>
            <w:left w:w="105" w:type="dxa"/>
            <w:bottom w:w="0" w:type="dxa"/>
            <w:right w:w="105" w:type="dxa"/>
          </w:tblCellMar>
        </w:tblPrEx>
        <w:trPr>
          <w:trHeight w:val="690" w:hRule="atLeast"/>
          <w:jc w:val="center"/>
        </w:trPr>
        <w:tc>
          <w:tcPr>
            <w:tcW w:w="683" w:type="dxa"/>
            <w:vMerge w:val="continue"/>
            <w:shd w:val="clear" w:color="auto" w:fill="FFFFFF"/>
            <w:noWrap w:val="0"/>
            <w:tcMar>
              <w:left w:w="105" w:type="dxa"/>
              <w:right w:w="105" w:type="dxa"/>
            </w:tcMar>
            <w:vAlign w:val="center"/>
          </w:tcPr>
          <w:p w14:paraId="4005287A">
            <w:pPr>
              <w:keepNext w:val="0"/>
              <w:keepLines w:val="0"/>
              <w:pageBreakBefore w:val="0"/>
              <w:jc w:val="center"/>
              <w:rPr>
                <w:rFonts w:hint="eastAsia" w:ascii="方正黑体_GBK" w:hAnsi="方正黑体_GBK" w:eastAsia="方正黑体_GBK" w:cs="方正黑体_GBK"/>
                <w:i w:val="0"/>
                <w:iCs w:val="0"/>
                <w:caps w:val="0"/>
                <w:color w:val="333333"/>
                <w:spacing w:val="0"/>
                <w:sz w:val="24"/>
                <w:szCs w:val="24"/>
              </w:rPr>
            </w:pPr>
          </w:p>
        </w:tc>
        <w:tc>
          <w:tcPr>
            <w:tcW w:w="1275" w:type="dxa"/>
            <w:shd w:val="clear" w:color="auto" w:fill="FFFFFF"/>
            <w:noWrap w:val="0"/>
            <w:tcMar>
              <w:left w:w="105" w:type="dxa"/>
              <w:right w:w="105" w:type="dxa"/>
            </w:tcMar>
            <w:vAlign w:val="center"/>
          </w:tcPr>
          <w:p w14:paraId="3A911A9D">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rPr>
            </w:pPr>
            <w:r>
              <w:rPr>
                <w:rFonts w:hint="eastAsia" w:ascii="方正黑体_GBK" w:hAnsi="方正黑体_GBK" w:eastAsia="方正黑体_GBK" w:cs="方正黑体_GBK"/>
                <w:i w:val="0"/>
                <w:iCs w:val="0"/>
                <w:caps w:val="0"/>
                <w:color w:val="333333"/>
                <w:spacing w:val="0"/>
                <w:sz w:val="21"/>
                <w:szCs w:val="21"/>
              </w:rPr>
              <w:t>抽查类别</w:t>
            </w:r>
          </w:p>
        </w:tc>
        <w:tc>
          <w:tcPr>
            <w:tcW w:w="4470" w:type="dxa"/>
            <w:shd w:val="clear" w:color="auto" w:fill="FFFFFF"/>
            <w:noWrap w:val="0"/>
            <w:tcMar>
              <w:left w:w="105" w:type="dxa"/>
              <w:right w:w="105" w:type="dxa"/>
            </w:tcMar>
            <w:vAlign w:val="center"/>
          </w:tcPr>
          <w:p w14:paraId="0B8E0A50">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rFonts w:hint="eastAsia" w:ascii="方正黑体_GBK" w:hAnsi="方正黑体_GBK" w:eastAsia="方正黑体_GBK" w:cs="方正黑体_GBK"/>
              </w:rPr>
            </w:pPr>
            <w:r>
              <w:rPr>
                <w:rFonts w:hint="eastAsia" w:ascii="方正黑体_GBK" w:hAnsi="方正黑体_GBK" w:eastAsia="方正黑体_GBK" w:cs="方正黑体_GBK"/>
                <w:i w:val="0"/>
                <w:iCs w:val="0"/>
                <w:caps w:val="0"/>
                <w:color w:val="333333"/>
                <w:spacing w:val="0"/>
                <w:sz w:val="21"/>
                <w:szCs w:val="21"/>
              </w:rPr>
              <w:t>抽查事项</w:t>
            </w:r>
          </w:p>
        </w:tc>
        <w:tc>
          <w:tcPr>
            <w:tcW w:w="2040" w:type="dxa"/>
            <w:vMerge w:val="continue"/>
            <w:shd w:val="clear" w:color="auto" w:fill="FFFFFF"/>
            <w:noWrap w:val="0"/>
            <w:tcMar>
              <w:left w:w="105" w:type="dxa"/>
              <w:right w:w="105" w:type="dxa"/>
            </w:tcMar>
            <w:vAlign w:val="center"/>
          </w:tcPr>
          <w:p w14:paraId="2F7475D0">
            <w:pPr>
              <w:keepNext w:val="0"/>
              <w:keepLines w:val="0"/>
              <w:pageBreakBefore w:val="0"/>
              <w:rPr>
                <w:rFonts w:hint="eastAsia" w:ascii="微软雅黑" w:hAnsi="微软雅黑" w:eastAsia="微软雅黑" w:cs="微软雅黑"/>
                <w:i w:val="0"/>
                <w:iCs w:val="0"/>
                <w:caps w:val="0"/>
                <w:color w:val="333333"/>
                <w:spacing w:val="0"/>
                <w:sz w:val="24"/>
                <w:szCs w:val="24"/>
              </w:rPr>
            </w:pPr>
          </w:p>
        </w:tc>
        <w:tc>
          <w:tcPr>
            <w:tcW w:w="1155" w:type="dxa"/>
            <w:vMerge w:val="continue"/>
            <w:shd w:val="clear" w:color="auto" w:fill="FFFFFF"/>
            <w:noWrap w:val="0"/>
            <w:tcMar>
              <w:left w:w="105" w:type="dxa"/>
              <w:right w:w="105" w:type="dxa"/>
            </w:tcMar>
            <w:vAlign w:val="center"/>
          </w:tcPr>
          <w:p w14:paraId="09740AD1">
            <w:pPr>
              <w:keepNext w:val="0"/>
              <w:keepLines w:val="0"/>
              <w:pageBreakBefore w:val="0"/>
              <w:rPr>
                <w:rFonts w:hint="eastAsia" w:ascii="微软雅黑" w:hAnsi="微软雅黑" w:eastAsia="微软雅黑" w:cs="微软雅黑"/>
                <w:i w:val="0"/>
                <w:iCs w:val="0"/>
                <w:caps w:val="0"/>
                <w:color w:val="333333"/>
                <w:spacing w:val="0"/>
                <w:sz w:val="24"/>
                <w:szCs w:val="24"/>
              </w:rPr>
            </w:pPr>
          </w:p>
        </w:tc>
        <w:tc>
          <w:tcPr>
            <w:tcW w:w="1065" w:type="dxa"/>
            <w:vMerge w:val="continue"/>
            <w:shd w:val="clear" w:color="auto" w:fill="FFFFFF"/>
            <w:noWrap w:val="0"/>
            <w:tcMar>
              <w:left w:w="105" w:type="dxa"/>
              <w:right w:w="105" w:type="dxa"/>
            </w:tcMar>
            <w:vAlign w:val="center"/>
          </w:tcPr>
          <w:p w14:paraId="2A4D0D2E">
            <w:pPr>
              <w:keepNext w:val="0"/>
              <w:keepLines w:val="0"/>
              <w:pageBreakBefore w:val="0"/>
              <w:rPr>
                <w:rFonts w:hint="eastAsia" w:ascii="微软雅黑" w:hAnsi="微软雅黑" w:eastAsia="微软雅黑" w:cs="微软雅黑"/>
                <w:i w:val="0"/>
                <w:iCs w:val="0"/>
                <w:caps w:val="0"/>
                <w:color w:val="333333"/>
                <w:spacing w:val="0"/>
                <w:sz w:val="24"/>
                <w:szCs w:val="24"/>
              </w:rPr>
            </w:pPr>
          </w:p>
        </w:tc>
        <w:tc>
          <w:tcPr>
            <w:tcW w:w="1410" w:type="dxa"/>
            <w:vMerge w:val="continue"/>
            <w:shd w:val="clear" w:color="auto" w:fill="FFFFFF"/>
            <w:noWrap w:val="0"/>
            <w:tcMar>
              <w:left w:w="105" w:type="dxa"/>
              <w:right w:w="105" w:type="dxa"/>
            </w:tcMar>
            <w:vAlign w:val="center"/>
          </w:tcPr>
          <w:p w14:paraId="3356D24B">
            <w:pPr>
              <w:keepNext w:val="0"/>
              <w:keepLines w:val="0"/>
              <w:pageBreakBefore w:val="0"/>
              <w:rPr>
                <w:rFonts w:hint="eastAsia" w:ascii="微软雅黑" w:hAnsi="微软雅黑" w:eastAsia="微软雅黑" w:cs="微软雅黑"/>
                <w:i w:val="0"/>
                <w:iCs w:val="0"/>
                <w:caps w:val="0"/>
                <w:color w:val="333333"/>
                <w:spacing w:val="0"/>
                <w:sz w:val="24"/>
                <w:szCs w:val="24"/>
              </w:rPr>
            </w:pPr>
          </w:p>
        </w:tc>
        <w:tc>
          <w:tcPr>
            <w:tcW w:w="3802" w:type="dxa"/>
            <w:vMerge w:val="continue"/>
            <w:shd w:val="clear" w:color="auto" w:fill="FFFFFF"/>
            <w:noWrap w:val="0"/>
            <w:tcMar>
              <w:left w:w="105" w:type="dxa"/>
              <w:right w:w="105" w:type="dxa"/>
            </w:tcMar>
            <w:vAlign w:val="center"/>
          </w:tcPr>
          <w:p w14:paraId="134A1C2D">
            <w:pPr>
              <w:keepNext w:val="0"/>
              <w:keepLines w:val="0"/>
              <w:pageBreakBefore w:val="0"/>
              <w:rPr>
                <w:rFonts w:hint="eastAsia" w:ascii="微软雅黑" w:hAnsi="微软雅黑" w:eastAsia="微软雅黑" w:cs="微软雅黑"/>
                <w:i w:val="0"/>
                <w:iCs w:val="0"/>
                <w:caps w:val="0"/>
                <w:color w:val="333333"/>
                <w:spacing w:val="0"/>
                <w:sz w:val="24"/>
                <w:szCs w:val="24"/>
              </w:rPr>
            </w:pPr>
          </w:p>
        </w:tc>
      </w:tr>
      <w:tr w14:paraId="6DFFEF70">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tblCellMar>
            <w:top w:w="0" w:type="dxa"/>
            <w:left w:w="105" w:type="dxa"/>
            <w:bottom w:w="0" w:type="dxa"/>
            <w:right w:w="105" w:type="dxa"/>
          </w:tblCellMar>
        </w:tblPrEx>
        <w:trPr>
          <w:trHeight w:val="1410" w:hRule="atLeast"/>
          <w:jc w:val="center"/>
        </w:trPr>
        <w:tc>
          <w:tcPr>
            <w:tcW w:w="683" w:type="dxa"/>
            <w:shd w:val="clear" w:color="auto" w:fill="FFFFFF"/>
            <w:noWrap w:val="0"/>
            <w:tcMar>
              <w:left w:w="105" w:type="dxa"/>
              <w:right w:w="105" w:type="dxa"/>
            </w:tcMar>
            <w:vAlign w:val="center"/>
          </w:tcPr>
          <w:p w14:paraId="3C34D43F">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1</w:t>
            </w:r>
          </w:p>
        </w:tc>
        <w:tc>
          <w:tcPr>
            <w:tcW w:w="1275" w:type="dxa"/>
            <w:shd w:val="clear" w:color="auto" w:fill="FFFFFF"/>
            <w:noWrap w:val="0"/>
            <w:tcMar>
              <w:left w:w="105" w:type="dxa"/>
              <w:right w:w="105" w:type="dxa"/>
            </w:tcMar>
            <w:vAlign w:val="center"/>
          </w:tcPr>
          <w:p w14:paraId="2252C58F">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医疗卫生监督检查</w:t>
            </w:r>
          </w:p>
        </w:tc>
        <w:tc>
          <w:tcPr>
            <w:tcW w:w="4470" w:type="dxa"/>
            <w:shd w:val="clear" w:color="auto" w:fill="FFFFFF"/>
            <w:noWrap w:val="0"/>
            <w:tcMar>
              <w:left w:w="105" w:type="dxa"/>
              <w:right w:w="105" w:type="dxa"/>
            </w:tcMar>
            <w:vAlign w:val="center"/>
          </w:tcPr>
          <w:p w14:paraId="192F43DC">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医疗机构、采供血机构及其从业人员的依法执业情况。</w:t>
            </w:r>
            <w:r>
              <w:rPr>
                <w:rFonts w:hint="eastAsia" w:ascii="微软雅黑" w:hAnsi="微软雅黑" w:eastAsia="微软雅黑" w:cs="微软雅黑"/>
                <w:i w:val="0"/>
                <w:iCs w:val="0"/>
                <w:caps w:val="0"/>
                <w:color w:val="333333"/>
                <w:spacing w:val="0"/>
                <w:sz w:val="24"/>
                <w:szCs w:val="24"/>
              </w:rPr>
              <w:t>  </w:t>
            </w:r>
          </w:p>
        </w:tc>
        <w:tc>
          <w:tcPr>
            <w:tcW w:w="2040" w:type="dxa"/>
            <w:shd w:val="clear" w:color="auto" w:fill="FFFFFF"/>
            <w:noWrap w:val="0"/>
            <w:tcMar>
              <w:left w:w="105" w:type="dxa"/>
              <w:right w:w="105" w:type="dxa"/>
            </w:tcMar>
            <w:vAlign w:val="center"/>
          </w:tcPr>
          <w:p w14:paraId="1B1CE6FF">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医疗机构、采供血机构</w:t>
            </w:r>
          </w:p>
          <w:p w14:paraId="589BEA2E">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 </w:t>
            </w:r>
          </w:p>
        </w:tc>
        <w:tc>
          <w:tcPr>
            <w:tcW w:w="1155" w:type="dxa"/>
            <w:shd w:val="clear" w:color="auto" w:fill="FFFFFF"/>
            <w:noWrap w:val="0"/>
            <w:tcMar>
              <w:left w:w="105" w:type="dxa"/>
              <w:right w:w="105" w:type="dxa"/>
            </w:tcMar>
            <w:vAlign w:val="center"/>
          </w:tcPr>
          <w:p w14:paraId="5802F8AD">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重点检查事项</w:t>
            </w:r>
          </w:p>
          <w:p w14:paraId="64B2B1D7">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微软雅黑" w:hAnsi="微软雅黑" w:eastAsia="微软雅黑" w:cs="微软雅黑"/>
                <w:i w:val="0"/>
                <w:iCs w:val="0"/>
                <w:caps w:val="0"/>
                <w:color w:val="333333"/>
                <w:spacing w:val="0"/>
                <w:sz w:val="24"/>
                <w:szCs w:val="24"/>
              </w:rPr>
              <w:t> </w:t>
            </w:r>
          </w:p>
        </w:tc>
        <w:tc>
          <w:tcPr>
            <w:tcW w:w="1065" w:type="dxa"/>
            <w:shd w:val="clear" w:color="auto" w:fill="FFFFFF"/>
            <w:noWrap w:val="0"/>
            <w:tcMar>
              <w:left w:w="105" w:type="dxa"/>
              <w:right w:w="105" w:type="dxa"/>
            </w:tcMar>
            <w:vAlign w:val="center"/>
          </w:tcPr>
          <w:p w14:paraId="0F1E4769">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7364BA72">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center"/>
          </w:tcPr>
          <w:p w14:paraId="373FCB9E">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《中华人民共和国医师法》《中华人民共和国献血法》《中华人民共和国基本医疗卫生与健康促进法》《医疗机构管理条例》《血站管理办法》《医疗机构临床用血管理办法》等</w:t>
            </w:r>
          </w:p>
        </w:tc>
      </w:tr>
      <w:tr w14:paraId="1C99A2D2">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tblCellMar>
            <w:top w:w="0" w:type="dxa"/>
            <w:left w:w="105" w:type="dxa"/>
            <w:bottom w:w="0" w:type="dxa"/>
            <w:right w:w="105" w:type="dxa"/>
          </w:tblCellMar>
        </w:tblPrEx>
        <w:trPr>
          <w:trHeight w:val="975" w:hRule="atLeast"/>
          <w:jc w:val="center"/>
        </w:trPr>
        <w:tc>
          <w:tcPr>
            <w:tcW w:w="683" w:type="dxa"/>
            <w:shd w:val="clear" w:color="auto" w:fill="FFFFFF"/>
            <w:noWrap w:val="0"/>
            <w:tcMar>
              <w:left w:w="105" w:type="dxa"/>
              <w:right w:w="105" w:type="dxa"/>
            </w:tcMar>
            <w:vAlign w:val="center"/>
          </w:tcPr>
          <w:p w14:paraId="351FB686">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2</w:t>
            </w:r>
          </w:p>
        </w:tc>
        <w:tc>
          <w:tcPr>
            <w:tcW w:w="1275" w:type="dxa"/>
            <w:shd w:val="clear" w:color="auto" w:fill="FFFFFF"/>
            <w:noWrap w:val="0"/>
            <w:tcMar>
              <w:left w:w="105" w:type="dxa"/>
              <w:right w:w="105" w:type="dxa"/>
            </w:tcMar>
            <w:vAlign w:val="center"/>
          </w:tcPr>
          <w:p w14:paraId="1B1096A8">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放射卫生监督检查</w:t>
            </w:r>
          </w:p>
        </w:tc>
        <w:tc>
          <w:tcPr>
            <w:tcW w:w="4470" w:type="dxa"/>
            <w:shd w:val="clear" w:color="auto" w:fill="FFFFFF"/>
            <w:noWrap w:val="0"/>
            <w:tcMar>
              <w:left w:w="105" w:type="dxa"/>
              <w:right w:w="105" w:type="dxa"/>
            </w:tcMar>
            <w:vAlign w:val="center"/>
          </w:tcPr>
          <w:p w14:paraId="6A4BC81F">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ascii="Calibri" w:hAnsi="Calibri" w:eastAsia="微软雅黑"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放射诊疗机构对相关法律法规、标准的执行情况。</w:t>
            </w:r>
          </w:p>
          <w:p w14:paraId="51A74FA4">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ascii="Calibri" w:hAnsi="Calibri" w:eastAsia="微软雅黑"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放射卫生技术服务机构依法开展放射卫生技术服务情况。</w:t>
            </w:r>
          </w:p>
        </w:tc>
        <w:tc>
          <w:tcPr>
            <w:tcW w:w="2040" w:type="dxa"/>
            <w:shd w:val="clear" w:color="auto" w:fill="FFFFFF"/>
            <w:noWrap w:val="0"/>
            <w:tcMar>
              <w:left w:w="105" w:type="dxa"/>
              <w:right w:w="105" w:type="dxa"/>
            </w:tcMar>
            <w:vAlign w:val="center"/>
          </w:tcPr>
          <w:p w14:paraId="3DF388C6">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放射诊疗机构</w:t>
            </w:r>
          </w:p>
          <w:p w14:paraId="5F2D35D0">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 </w:t>
            </w:r>
          </w:p>
          <w:p w14:paraId="44AA8DDA">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 </w:t>
            </w:r>
          </w:p>
        </w:tc>
        <w:tc>
          <w:tcPr>
            <w:tcW w:w="1155" w:type="dxa"/>
            <w:shd w:val="clear" w:color="auto" w:fill="FFFFFF"/>
            <w:noWrap w:val="0"/>
            <w:tcMar>
              <w:left w:w="105" w:type="dxa"/>
              <w:right w:w="105" w:type="dxa"/>
            </w:tcMar>
            <w:vAlign w:val="center"/>
          </w:tcPr>
          <w:p w14:paraId="645D2216">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一般检查事项</w:t>
            </w:r>
          </w:p>
        </w:tc>
        <w:tc>
          <w:tcPr>
            <w:tcW w:w="1065" w:type="dxa"/>
            <w:shd w:val="clear" w:color="auto" w:fill="FFFFFF"/>
            <w:noWrap w:val="0"/>
            <w:tcMar>
              <w:left w:w="105" w:type="dxa"/>
              <w:right w:w="105" w:type="dxa"/>
            </w:tcMar>
            <w:vAlign w:val="center"/>
          </w:tcPr>
          <w:p w14:paraId="2BAD41DD">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39E10F42">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top"/>
          </w:tcPr>
          <w:p w14:paraId="5BD19611">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《中华人民共和国职业病防治法》《放射诊疗管理规定》《放射工作人员职业健康管理办法》等</w:t>
            </w:r>
          </w:p>
        </w:tc>
      </w:tr>
      <w:tr w14:paraId="1BAAC874">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tblCellMar>
            <w:top w:w="0" w:type="dxa"/>
            <w:left w:w="105" w:type="dxa"/>
            <w:bottom w:w="0" w:type="dxa"/>
            <w:right w:w="105" w:type="dxa"/>
          </w:tblCellMar>
        </w:tblPrEx>
        <w:trPr>
          <w:jc w:val="center"/>
        </w:trPr>
        <w:tc>
          <w:tcPr>
            <w:tcW w:w="683" w:type="dxa"/>
            <w:shd w:val="clear" w:color="auto" w:fill="FFFFFF"/>
            <w:noWrap w:val="0"/>
            <w:tcMar>
              <w:left w:w="105" w:type="dxa"/>
              <w:right w:w="105" w:type="dxa"/>
            </w:tcMar>
            <w:vAlign w:val="center"/>
          </w:tcPr>
          <w:p w14:paraId="5E309D3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3</w:t>
            </w:r>
          </w:p>
        </w:tc>
        <w:tc>
          <w:tcPr>
            <w:tcW w:w="1275" w:type="dxa"/>
            <w:shd w:val="clear" w:color="auto" w:fill="FFFFFF"/>
            <w:noWrap w:val="0"/>
            <w:tcMar>
              <w:left w:w="105" w:type="dxa"/>
              <w:right w:w="105" w:type="dxa"/>
            </w:tcMar>
            <w:vAlign w:val="center"/>
          </w:tcPr>
          <w:p w14:paraId="20152153">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职业卫生监督检查</w:t>
            </w:r>
          </w:p>
        </w:tc>
        <w:tc>
          <w:tcPr>
            <w:tcW w:w="4470" w:type="dxa"/>
            <w:shd w:val="clear" w:color="auto" w:fill="FFFFFF"/>
            <w:noWrap w:val="0"/>
            <w:tcMar>
              <w:left w:w="105" w:type="dxa"/>
              <w:right w:w="105" w:type="dxa"/>
            </w:tcMar>
            <w:vAlign w:val="center"/>
          </w:tcPr>
          <w:p w14:paraId="6294AFE4">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ascii="Calibri" w:hAnsi="Calibri" w:eastAsia="宋体"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存在职业病危害因素的企业对相关法律法规、标准的执行情况。</w:t>
            </w:r>
          </w:p>
          <w:p w14:paraId="5F75DCAD">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ascii="Calibri" w:hAnsi="Calibri" w:eastAsia="宋体"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职业健康检查机构、职业病诊断机构、职业病鉴定机构对相关法律法规、标准的执行情况。</w:t>
            </w:r>
          </w:p>
        </w:tc>
        <w:tc>
          <w:tcPr>
            <w:tcW w:w="2040" w:type="dxa"/>
            <w:shd w:val="clear" w:color="auto" w:fill="FFFFFF"/>
            <w:noWrap w:val="0"/>
            <w:tcMar>
              <w:left w:w="105" w:type="dxa"/>
              <w:right w:w="105" w:type="dxa"/>
            </w:tcMar>
            <w:vAlign w:val="center"/>
          </w:tcPr>
          <w:p w14:paraId="343748B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存在职业病危害的用人单位、职业健康检查机构、职业病诊断、鉴定机构</w:t>
            </w:r>
          </w:p>
        </w:tc>
        <w:tc>
          <w:tcPr>
            <w:tcW w:w="1155" w:type="dxa"/>
            <w:shd w:val="clear" w:color="auto" w:fill="FFFFFF"/>
            <w:noWrap w:val="0"/>
            <w:tcMar>
              <w:left w:w="105" w:type="dxa"/>
              <w:right w:w="105" w:type="dxa"/>
            </w:tcMar>
            <w:vAlign w:val="center"/>
          </w:tcPr>
          <w:p w14:paraId="320235D8">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一般检查事项</w:t>
            </w:r>
          </w:p>
          <w:p w14:paraId="32AF55F9">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微软雅黑" w:hAnsi="微软雅黑" w:eastAsia="微软雅黑" w:cs="微软雅黑"/>
                <w:i w:val="0"/>
                <w:iCs w:val="0"/>
                <w:caps w:val="0"/>
                <w:color w:val="333333"/>
                <w:spacing w:val="0"/>
                <w:sz w:val="24"/>
                <w:szCs w:val="24"/>
              </w:rPr>
              <w:t> </w:t>
            </w:r>
          </w:p>
        </w:tc>
        <w:tc>
          <w:tcPr>
            <w:tcW w:w="1065" w:type="dxa"/>
            <w:shd w:val="clear" w:color="auto" w:fill="FFFFFF"/>
            <w:noWrap w:val="0"/>
            <w:tcMar>
              <w:left w:w="105" w:type="dxa"/>
              <w:right w:w="105" w:type="dxa"/>
            </w:tcMar>
            <w:vAlign w:val="center"/>
          </w:tcPr>
          <w:p w14:paraId="54BA5F70">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5B331341">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top"/>
          </w:tcPr>
          <w:p w14:paraId="1DA767FE">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《中华人民共和国职业病防治法》《职业病诊断与鉴定管理办法》《职业健康检查管理办法》《工作场所职业卫生管理规定》等</w:t>
            </w:r>
          </w:p>
        </w:tc>
      </w:tr>
      <w:tr w14:paraId="550A487F">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tblCellMar>
            <w:top w:w="0" w:type="dxa"/>
            <w:left w:w="105" w:type="dxa"/>
            <w:bottom w:w="0" w:type="dxa"/>
            <w:right w:w="105" w:type="dxa"/>
          </w:tblCellMar>
        </w:tblPrEx>
        <w:trPr>
          <w:jc w:val="center"/>
        </w:trPr>
        <w:tc>
          <w:tcPr>
            <w:tcW w:w="683" w:type="dxa"/>
            <w:shd w:val="clear" w:color="auto" w:fill="FFFFFF"/>
            <w:noWrap w:val="0"/>
            <w:tcMar>
              <w:left w:w="105" w:type="dxa"/>
              <w:right w:w="105" w:type="dxa"/>
            </w:tcMar>
            <w:vAlign w:val="center"/>
          </w:tcPr>
          <w:p w14:paraId="52F52AFC">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4</w:t>
            </w:r>
          </w:p>
        </w:tc>
        <w:tc>
          <w:tcPr>
            <w:tcW w:w="1275" w:type="dxa"/>
            <w:shd w:val="clear" w:color="auto" w:fill="FFFFFF"/>
            <w:noWrap w:val="0"/>
            <w:tcMar>
              <w:left w:w="105" w:type="dxa"/>
              <w:right w:w="105" w:type="dxa"/>
            </w:tcMar>
            <w:vAlign w:val="center"/>
          </w:tcPr>
          <w:p w14:paraId="2EFE3B0A">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传染病防治监督检查</w:t>
            </w:r>
          </w:p>
        </w:tc>
        <w:tc>
          <w:tcPr>
            <w:tcW w:w="4470" w:type="dxa"/>
            <w:shd w:val="clear" w:color="auto" w:fill="FFFFFF"/>
            <w:noWrap w:val="0"/>
            <w:tcMar>
              <w:left w:w="105" w:type="dxa"/>
              <w:right w:w="105" w:type="dxa"/>
            </w:tcMar>
            <w:vAlign w:val="center"/>
          </w:tcPr>
          <w:p w14:paraId="5D684A87">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对医疗卫生机构（疾控机构、医疗机构、采供血机构）预防接种、传染病疫情报告、传染病疫情控制措施、消毒隔离制度执行情况、医疗废物废水处置及病原微生物实验室生物安全管理等开展卫生监督检查。</w:t>
            </w:r>
          </w:p>
          <w:p w14:paraId="6C4058C7">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 </w:t>
            </w:r>
          </w:p>
        </w:tc>
        <w:tc>
          <w:tcPr>
            <w:tcW w:w="2040" w:type="dxa"/>
            <w:shd w:val="clear" w:color="auto" w:fill="FFFFFF"/>
            <w:noWrap w:val="0"/>
            <w:tcMar>
              <w:left w:w="105" w:type="dxa"/>
              <w:right w:w="105" w:type="dxa"/>
            </w:tcMar>
            <w:vAlign w:val="center"/>
          </w:tcPr>
          <w:p w14:paraId="059B43C3">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医疗机构、疾病预防控制机构、采供血机构</w:t>
            </w:r>
          </w:p>
          <w:p w14:paraId="08C5FF6D">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 </w:t>
            </w:r>
          </w:p>
        </w:tc>
        <w:tc>
          <w:tcPr>
            <w:tcW w:w="1155" w:type="dxa"/>
            <w:shd w:val="clear" w:color="auto" w:fill="FFFFFF"/>
            <w:noWrap w:val="0"/>
            <w:tcMar>
              <w:left w:w="105" w:type="dxa"/>
              <w:right w:w="105" w:type="dxa"/>
            </w:tcMar>
            <w:vAlign w:val="center"/>
          </w:tcPr>
          <w:p w14:paraId="6CECD4A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重点检查事项</w:t>
            </w:r>
          </w:p>
          <w:p w14:paraId="3CA89569">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微软雅黑" w:hAnsi="微软雅黑" w:eastAsia="微软雅黑" w:cs="微软雅黑"/>
                <w:i w:val="0"/>
                <w:iCs w:val="0"/>
                <w:caps w:val="0"/>
                <w:color w:val="333333"/>
                <w:spacing w:val="0"/>
                <w:sz w:val="24"/>
                <w:szCs w:val="24"/>
              </w:rPr>
              <w:t> </w:t>
            </w:r>
          </w:p>
        </w:tc>
        <w:tc>
          <w:tcPr>
            <w:tcW w:w="1065" w:type="dxa"/>
            <w:shd w:val="clear" w:color="auto" w:fill="FFFFFF"/>
            <w:noWrap w:val="0"/>
            <w:tcMar>
              <w:left w:w="105" w:type="dxa"/>
              <w:right w:w="105" w:type="dxa"/>
            </w:tcMar>
            <w:vAlign w:val="center"/>
          </w:tcPr>
          <w:p w14:paraId="31B9F2D4">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79A77AB6">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top"/>
          </w:tcPr>
          <w:p w14:paraId="29481BAD">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传染病防治法》《中华人民共和国疫苗管理法》《中华人民共和国生物安全法》《医疗废物管理条例》《病原微生物实验室生物安全管理条例》《消毒管理办法》《医院感染管理办法》《医疗质量管理办法》等</w:t>
            </w:r>
          </w:p>
        </w:tc>
      </w:tr>
      <w:tr w14:paraId="17DD337B">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shd w:val="clear" w:color="auto" w:fill="FFFFFF"/>
          <w:tblCellMar>
            <w:top w:w="0" w:type="dxa"/>
            <w:left w:w="105" w:type="dxa"/>
            <w:bottom w:w="0" w:type="dxa"/>
            <w:right w:w="105" w:type="dxa"/>
          </w:tblCellMar>
        </w:tblPrEx>
        <w:trPr>
          <w:jc w:val="center"/>
        </w:trPr>
        <w:tc>
          <w:tcPr>
            <w:tcW w:w="683" w:type="dxa"/>
            <w:shd w:val="clear" w:color="auto" w:fill="FFFFFF"/>
            <w:noWrap w:val="0"/>
            <w:tcMar>
              <w:left w:w="105" w:type="dxa"/>
              <w:right w:w="105" w:type="dxa"/>
            </w:tcMar>
            <w:vAlign w:val="center"/>
          </w:tcPr>
          <w:p w14:paraId="68466168">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5</w:t>
            </w:r>
          </w:p>
        </w:tc>
        <w:tc>
          <w:tcPr>
            <w:tcW w:w="1275" w:type="dxa"/>
            <w:shd w:val="clear" w:color="auto" w:fill="FFFFFF"/>
            <w:noWrap w:val="0"/>
            <w:tcMar>
              <w:left w:w="105" w:type="dxa"/>
              <w:right w:w="105" w:type="dxa"/>
            </w:tcMar>
            <w:vAlign w:val="center"/>
          </w:tcPr>
          <w:p w14:paraId="501851C5">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消毒产品及餐（饮）具集中消毒服务单位监督检查</w:t>
            </w:r>
          </w:p>
        </w:tc>
        <w:tc>
          <w:tcPr>
            <w:tcW w:w="4470" w:type="dxa"/>
            <w:shd w:val="clear" w:color="auto" w:fill="FFFFFF"/>
            <w:noWrap w:val="0"/>
            <w:tcMar>
              <w:left w:w="105" w:type="dxa"/>
              <w:right w:w="105" w:type="dxa"/>
            </w:tcMar>
            <w:vAlign w:val="center"/>
          </w:tcPr>
          <w:p w14:paraId="4E76DEBE">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ascii="Calibri" w:hAnsi="Calibri" w:eastAsia="宋体"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对消毒产品生产企业、进口消毒产品在华责任单位以及消毒产品的经营、使用单位进行卫生监督检查及抽检。</w:t>
            </w:r>
          </w:p>
          <w:p w14:paraId="6F695C9E">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ascii="Calibri" w:hAnsi="Calibri" w:eastAsia="宋体"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对餐饮具集中消毒服务单位作业场所、清洗消毒设备或者设施、生产用水和使用的洗涤剂消毒剂、餐饮具的出厂检验情况、餐饮具包装标识等开展监督检查。</w:t>
            </w:r>
          </w:p>
        </w:tc>
        <w:tc>
          <w:tcPr>
            <w:tcW w:w="2040" w:type="dxa"/>
            <w:shd w:val="clear" w:color="auto" w:fill="FFFFFF"/>
            <w:noWrap w:val="0"/>
            <w:tcMar>
              <w:left w:w="105" w:type="dxa"/>
              <w:right w:w="105" w:type="dxa"/>
            </w:tcMar>
            <w:vAlign w:val="center"/>
          </w:tcPr>
          <w:p w14:paraId="293DB582">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消毒产品生产企业、进口消毒产品在华责任单位、消毒产品的经营和使用单位</w:t>
            </w:r>
          </w:p>
        </w:tc>
        <w:tc>
          <w:tcPr>
            <w:tcW w:w="1155" w:type="dxa"/>
            <w:shd w:val="clear" w:color="auto" w:fill="FFFFFF"/>
            <w:noWrap w:val="0"/>
            <w:tcMar>
              <w:left w:w="105" w:type="dxa"/>
              <w:right w:w="105" w:type="dxa"/>
            </w:tcMar>
            <w:vAlign w:val="center"/>
          </w:tcPr>
          <w:p w14:paraId="1FDFC221">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一般检查事项</w:t>
            </w:r>
          </w:p>
          <w:p w14:paraId="49756FA4">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微软雅黑" w:hAnsi="微软雅黑" w:eastAsia="微软雅黑" w:cs="微软雅黑"/>
                <w:i w:val="0"/>
                <w:iCs w:val="0"/>
                <w:caps w:val="0"/>
                <w:color w:val="333333"/>
                <w:spacing w:val="0"/>
                <w:sz w:val="24"/>
                <w:szCs w:val="24"/>
              </w:rPr>
              <w:t> </w:t>
            </w:r>
          </w:p>
        </w:tc>
        <w:tc>
          <w:tcPr>
            <w:tcW w:w="1065" w:type="dxa"/>
            <w:shd w:val="clear" w:color="auto" w:fill="FFFFFF"/>
            <w:noWrap w:val="0"/>
            <w:tcMar>
              <w:left w:w="105" w:type="dxa"/>
              <w:right w:w="105" w:type="dxa"/>
            </w:tcMar>
            <w:vAlign w:val="center"/>
          </w:tcPr>
          <w:p w14:paraId="6C8039C5">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60136CF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top"/>
          </w:tcPr>
          <w:p w14:paraId="2099E01E">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传染病防治法》《中华人民共和国食品安全法》《消毒管理办法》《消毒产品生产企业卫生许可规定》《消毒产品标签说明书管理办法》《国务院关于加强食品等产品安全监督管理的特别规定》等</w:t>
            </w:r>
          </w:p>
        </w:tc>
      </w:tr>
      <w:tr w14:paraId="45F96EBB">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shd w:val="clear" w:color="auto" w:fill="FFFFFF"/>
          <w:tblCellMar>
            <w:top w:w="0" w:type="dxa"/>
            <w:left w:w="105" w:type="dxa"/>
            <w:bottom w:w="0" w:type="dxa"/>
            <w:right w:w="105" w:type="dxa"/>
          </w:tblCellMar>
        </w:tblPrEx>
        <w:trPr>
          <w:jc w:val="center"/>
        </w:trPr>
        <w:tc>
          <w:tcPr>
            <w:tcW w:w="683" w:type="dxa"/>
            <w:shd w:val="clear" w:color="auto" w:fill="FFFFFF"/>
            <w:noWrap w:val="0"/>
            <w:tcMar>
              <w:left w:w="105" w:type="dxa"/>
              <w:right w:w="105" w:type="dxa"/>
            </w:tcMar>
            <w:vAlign w:val="center"/>
          </w:tcPr>
          <w:p w14:paraId="3C282E2A">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6</w:t>
            </w:r>
          </w:p>
        </w:tc>
        <w:tc>
          <w:tcPr>
            <w:tcW w:w="1275" w:type="dxa"/>
            <w:shd w:val="clear" w:color="auto" w:fill="FFFFFF"/>
            <w:noWrap w:val="0"/>
            <w:tcMar>
              <w:left w:w="105" w:type="dxa"/>
              <w:right w:w="105" w:type="dxa"/>
            </w:tcMar>
            <w:vAlign w:val="center"/>
          </w:tcPr>
          <w:p w14:paraId="657E0766">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公共场所卫生监督检查</w:t>
            </w:r>
          </w:p>
        </w:tc>
        <w:tc>
          <w:tcPr>
            <w:tcW w:w="4470" w:type="dxa"/>
            <w:shd w:val="clear" w:color="auto" w:fill="FFFFFF"/>
            <w:noWrap w:val="0"/>
            <w:tcMar>
              <w:left w:w="105" w:type="dxa"/>
              <w:right w:w="105" w:type="dxa"/>
            </w:tcMar>
            <w:vAlign w:val="center"/>
          </w:tcPr>
          <w:p w14:paraId="600C8B77">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对公共场所卫生许可情况、从业人员健康情况、卫生管理制度落实情况等开展监督检查，开展公共场所卫生监督抽检。</w:t>
            </w:r>
          </w:p>
        </w:tc>
        <w:tc>
          <w:tcPr>
            <w:tcW w:w="2040" w:type="dxa"/>
            <w:shd w:val="clear" w:color="auto" w:fill="FFFFFF"/>
            <w:noWrap w:val="0"/>
            <w:tcMar>
              <w:left w:w="105" w:type="dxa"/>
              <w:right w:w="105" w:type="dxa"/>
            </w:tcMar>
            <w:vAlign w:val="center"/>
          </w:tcPr>
          <w:p w14:paraId="1AA95899">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公共场所、生活饮用水供水单位、涉水产品生产经营单位。</w:t>
            </w:r>
          </w:p>
        </w:tc>
        <w:tc>
          <w:tcPr>
            <w:tcW w:w="1155" w:type="dxa"/>
            <w:shd w:val="clear" w:color="auto" w:fill="FFFFFF"/>
            <w:noWrap w:val="0"/>
            <w:tcMar>
              <w:left w:w="105" w:type="dxa"/>
              <w:right w:w="105" w:type="dxa"/>
            </w:tcMar>
            <w:vAlign w:val="center"/>
          </w:tcPr>
          <w:p w14:paraId="25069982">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一般检查事项</w:t>
            </w:r>
          </w:p>
          <w:p w14:paraId="7B6E3BF3">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微软雅黑" w:hAnsi="微软雅黑" w:eastAsia="微软雅黑" w:cs="微软雅黑"/>
                <w:i w:val="0"/>
                <w:iCs w:val="0"/>
                <w:caps w:val="0"/>
                <w:color w:val="333333"/>
                <w:spacing w:val="0"/>
                <w:sz w:val="24"/>
                <w:szCs w:val="24"/>
              </w:rPr>
              <w:t> </w:t>
            </w:r>
          </w:p>
        </w:tc>
        <w:tc>
          <w:tcPr>
            <w:tcW w:w="1065" w:type="dxa"/>
            <w:shd w:val="clear" w:color="auto" w:fill="FFFFFF"/>
            <w:noWrap w:val="0"/>
            <w:tcMar>
              <w:left w:w="105" w:type="dxa"/>
              <w:right w:w="105" w:type="dxa"/>
            </w:tcMar>
            <w:vAlign w:val="center"/>
          </w:tcPr>
          <w:p w14:paraId="4C42A991">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3A871A2F">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top"/>
          </w:tcPr>
          <w:p w14:paraId="3A1CA07E">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《中华人民共和国传染病防治法》《艾滋病防治条例》《公共场所卫生管理条例》《公共场所卫生管理条例实施细则》等</w:t>
            </w:r>
          </w:p>
          <w:p w14:paraId="6137012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微软雅黑" w:hAnsi="微软雅黑" w:eastAsia="微软雅黑" w:cs="微软雅黑"/>
                <w:i w:val="0"/>
                <w:iCs w:val="0"/>
                <w:caps w:val="0"/>
                <w:color w:val="333333"/>
                <w:spacing w:val="0"/>
                <w:sz w:val="24"/>
                <w:szCs w:val="24"/>
              </w:rPr>
              <w:t> </w:t>
            </w:r>
          </w:p>
        </w:tc>
      </w:tr>
      <w:tr w14:paraId="7CDACB48">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tblCellMar>
            <w:top w:w="0" w:type="dxa"/>
            <w:left w:w="105" w:type="dxa"/>
            <w:bottom w:w="0" w:type="dxa"/>
            <w:right w:w="105" w:type="dxa"/>
          </w:tblCellMar>
        </w:tblPrEx>
        <w:trPr>
          <w:trHeight w:val="1185" w:hRule="atLeast"/>
          <w:jc w:val="center"/>
        </w:trPr>
        <w:tc>
          <w:tcPr>
            <w:tcW w:w="683" w:type="dxa"/>
            <w:shd w:val="clear" w:color="auto" w:fill="FFFFFF"/>
            <w:noWrap w:val="0"/>
            <w:tcMar>
              <w:left w:w="105" w:type="dxa"/>
              <w:right w:w="105" w:type="dxa"/>
            </w:tcMar>
            <w:vAlign w:val="center"/>
          </w:tcPr>
          <w:p w14:paraId="333FD95F">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7</w:t>
            </w:r>
          </w:p>
        </w:tc>
        <w:tc>
          <w:tcPr>
            <w:tcW w:w="1275" w:type="dxa"/>
            <w:shd w:val="clear" w:color="auto" w:fill="FFFFFF"/>
            <w:noWrap w:val="0"/>
            <w:tcMar>
              <w:left w:w="105" w:type="dxa"/>
              <w:right w:w="105" w:type="dxa"/>
            </w:tcMar>
            <w:vAlign w:val="center"/>
          </w:tcPr>
          <w:p w14:paraId="66B3F568">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生活饮用水卫生监督检查</w:t>
            </w:r>
          </w:p>
        </w:tc>
        <w:tc>
          <w:tcPr>
            <w:tcW w:w="4470" w:type="dxa"/>
            <w:shd w:val="clear" w:color="auto" w:fill="FFFFFF"/>
            <w:noWrap w:val="0"/>
            <w:tcMar>
              <w:left w:w="105" w:type="dxa"/>
              <w:right w:w="105" w:type="dxa"/>
            </w:tcMar>
            <w:vAlign w:val="center"/>
          </w:tcPr>
          <w:p w14:paraId="7585A451">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对供水单位卫生许可情况、从业人员健康情况、卫生管理制度落实情况开展监督检查；对涉及饮用水卫生安全产品开展监督检查；对生活饮用水、涉水产品开展卫生监督抽检。</w:t>
            </w:r>
          </w:p>
        </w:tc>
        <w:tc>
          <w:tcPr>
            <w:tcW w:w="2040" w:type="dxa"/>
            <w:shd w:val="clear" w:color="auto" w:fill="FFFFFF"/>
            <w:noWrap w:val="0"/>
            <w:tcMar>
              <w:left w:w="105" w:type="dxa"/>
              <w:right w:w="105" w:type="dxa"/>
            </w:tcMar>
            <w:vAlign w:val="center"/>
          </w:tcPr>
          <w:p w14:paraId="655B20F9">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餐具、饮具集中消毒生产企业</w:t>
            </w:r>
          </w:p>
        </w:tc>
        <w:tc>
          <w:tcPr>
            <w:tcW w:w="1155" w:type="dxa"/>
            <w:shd w:val="clear" w:color="auto" w:fill="FFFFFF"/>
            <w:noWrap w:val="0"/>
            <w:tcMar>
              <w:left w:w="105" w:type="dxa"/>
              <w:right w:w="105" w:type="dxa"/>
            </w:tcMar>
            <w:vAlign w:val="center"/>
          </w:tcPr>
          <w:p w14:paraId="0E93FA49">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一般检查事项</w:t>
            </w:r>
          </w:p>
          <w:p w14:paraId="54290C5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微软雅黑" w:hAnsi="微软雅黑" w:eastAsia="微软雅黑" w:cs="微软雅黑"/>
                <w:i w:val="0"/>
                <w:iCs w:val="0"/>
                <w:caps w:val="0"/>
                <w:color w:val="333333"/>
                <w:spacing w:val="0"/>
                <w:sz w:val="24"/>
                <w:szCs w:val="24"/>
              </w:rPr>
              <w:t> </w:t>
            </w:r>
          </w:p>
        </w:tc>
        <w:tc>
          <w:tcPr>
            <w:tcW w:w="1065" w:type="dxa"/>
            <w:shd w:val="clear" w:color="auto" w:fill="FFFFFF"/>
            <w:noWrap w:val="0"/>
            <w:tcMar>
              <w:left w:w="105" w:type="dxa"/>
              <w:right w:w="105" w:type="dxa"/>
            </w:tcMar>
            <w:vAlign w:val="center"/>
          </w:tcPr>
          <w:p w14:paraId="6CFD4AF3">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279B5DF5">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top"/>
          </w:tcPr>
          <w:p w14:paraId="55C443EA">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《中华人民共和国传染病防治法》《生活饮用水卫生监督管理办法》等</w:t>
            </w:r>
          </w:p>
        </w:tc>
      </w:tr>
      <w:tr w14:paraId="1C4FFE81">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tblCellMar>
            <w:top w:w="0" w:type="dxa"/>
            <w:left w:w="105" w:type="dxa"/>
            <w:bottom w:w="0" w:type="dxa"/>
            <w:right w:w="105" w:type="dxa"/>
          </w:tblCellMar>
        </w:tblPrEx>
        <w:trPr>
          <w:jc w:val="center"/>
        </w:trPr>
        <w:tc>
          <w:tcPr>
            <w:tcW w:w="683" w:type="dxa"/>
            <w:shd w:val="clear" w:color="auto" w:fill="FFFFFF"/>
            <w:noWrap w:val="0"/>
            <w:tcMar>
              <w:left w:w="105" w:type="dxa"/>
              <w:right w:w="105" w:type="dxa"/>
            </w:tcMar>
            <w:vAlign w:val="center"/>
          </w:tcPr>
          <w:p w14:paraId="4B785600">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8</w:t>
            </w:r>
          </w:p>
        </w:tc>
        <w:tc>
          <w:tcPr>
            <w:tcW w:w="1275" w:type="dxa"/>
            <w:shd w:val="clear" w:color="auto" w:fill="FFFFFF"/>
            <w:noWrap w:val="0"/>
            <w:tcMar>
              <w:left w:w="105" w:type="dxa"/>
              <w:right w:w="105" w:type="dxa"/>
            </w:tcMar>
            <w:vAlign w:val="center"/>
          </w:tcPr>
          <w:p w14:paraId="2A1106E0">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学校卫生监督检查</w:t>
            </w:r>
          </w:p>
        </w:tc>
        <w:tc>
          <w:tcPr>
            <w:tcW w:w="4470" w:type="dxa"/>
            <w:shd w:val="clear" w:color="auto" w:fill="FFFFFF"/>
            <w:noWrap w:val="0"/>
            <w:tcMar>
              <w:left w:w="105" w:type="dxa"/>
              <w:right w:w="105" w:type="dxa"/>
            </w:tcMar>
            <w:vAlign w:val="center"/>
          </w:tcPr>
          <w:p w14:paraId="3CDEB30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监督检查教学和生活环境卫生、传染病和常见病防控、学校饮用水以及学校内游泳场所的卫生管理情况，抽查教室采光照明和水质。</w:t>
            </w:r>
          </w:p>
          <w:p w14:paraId="77DB9236">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微软雅黑" w:hAnsi="微软雅黑" w:eastAsia="微软雅黑" w:cs="微软雅黑"/>
                <w:i w:val="0"/>
                <w:iCs w:val="0"/>
                <w:caps w:val="0"/>
                <w:color w:val="333333"/>
                <w:spacing w:val="0"/>
                <w:sz w:val="24"/>
                <w:szCs w:val="24"/>
              </w:rPr>
              <w:t> </w:t>
            </w:r>
          </w:p>
        </w:tc>
        <w:tc>
          <w:tcPr>
            <w:tcW w:w="2040" w:type="dxa"/>
            <w:shd w:val="clear" w:color="auto" w:fill="FFFFFF"/>
            <w:noWrap w:val="0"/>
            <w:tcMar>
              <w:left w:w="105" w:type="dxa"/>
              <w:right w:w="105" w:type="dxa"/>
            </w:tcMar>
            <w:vAlign w:val="center"/>
          </w:tcPr>
          <w:p w14:paraId="6CD46E0C">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中小学校、高校</w:t>
            </w:r>
          </w:p>
        </w:tc>
        <w:tc>
          <w:tcPr>
            <w:tcW w:w="1155" w:type="dxa"/>
            <w:shd w:val="clear" w:color="auto" w:fill="FFFFFF"/>
            <w:noWrap w:val="0"/>
            <w:tcMar>
              <w:left w:w="105" w:type="dxa"/>
              <w:right w:w="105" w:type="dxa"/>
            </w:tcMar>
            <w:vAlign w:val="center"/>
          </w:tcPr>
          <w:p w14:paraId="0AC6EC6C">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一般检查事项</w:t>
            </w:r>
          </w:p>
          <w:p w14:paraId="3B115342">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微软雅黑" w:hAnsi="微软雅黑" w:eastAsia="微软雅黑" w:cs="微软雅黑"/>
                <w:i w:val="0"/>
                <w:iCs w:val="0"/>
                <w:caps w:val="0"/>
                <w:color w:val="333333"/>
                <w:spacing w:val="0"/>
                <w:sz w:val="24"/>
                <w:szCs w:val="24"/>
              </w:rPr>
              <w:t> </w:t>
            </w:r>
          </w:p>
        </w:tc>
        <w:tc>
          <w:tcPr>
            <w:tcW w:w="1065" w:type="dxa"/>
            <w:shd w:val="clear" w:color="auto" w:fill="FFFFFF"/>
            <w:noWrap w:val="0"/>
            <w:tcMar>
              <w:left w:w="105" w:type="dxa"/>
              <w:right w:w="105" w:type="dxa"/>
            </w:tcMar>
            <w:vAlign w:val="center"/>
          </w:tcPr>
          <w:p w14:paraId="1E52CFDC">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2CE43D30">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top"/>
          </w:tcPr>
          <w:p w14:paraId="3DAA75D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《中华人民共和国传染病防治法》《学校卫生工作条例》《公共场所卫生管理条例实施细则》《生活饮用水卫生监督管理办法》等</w:t>
            </w:r>
          </w:p>
        </w:tc>
      </w:tr>
      <w:tr w14:paraId="166839D7">
        <w:tblPrEx>
          <w:tblBorders>
            <w:top w:val="single" w:color="333333" w:sz="6" w:space="0"/>
            <w:left w:val="single" w:color="333333" w:sz="6" w:space="0"/>
            <w:bottom w:val="single" w:color="333333" w:sz="6" w:space="0"/>
            <w:right w:val="single" w:color="333333" w:sz="6" w:space="0"/>
            <w:insideH w:val="single" w:color="000000" w:sz="6" w:space="0"/>
            <w:insideV w:val="single" w:color="000000" w:sz="6" w:space="0"/>
          </w:tblBorders>
          <w:tblCellMar>
            <w:top w:w="0" w:type="dxa"/>
            <w:left w:w="105" w:type="dxa"/>
            <w:bottom w:w="0" w:type="dxa"/>
            <w:right w:w="105" w:type="dxa"/>
          </w:tblCellMar>
        </w:tblPrEx>
        <w:trPr>
          <w:trHeight w:val="2220" w:hRule="atLeast"/>
          <w:jc w:val="center"/>
        </w:trPr>
        <w:tc>
          <w:tcPr>
            <w:tcW w:w="683" w:type="dxa"/>
            <w:shd w:val="clear" w:color="auto" w:fill="FFFFFF"/>
            <w:noWrap w:val="0"/>
            <w:tcMar>
              <w:left w:w="105" w:type="dxa"/>
              <w:right w:w="105" w:type="dxa"/>
            </w:tcMar>
            <w:vAlign w:val="center"/>
          </w:tcPr>
          <w:p w14:paraId="5E046658">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ascii="Calibri" w:hAnsi="Calibri" w:eastAsia="微软雅黑" w:cs="Calibri"/>
                <w:i w:val="0"/>
                <w:iCs w:val="0"/>
                <w:caps w:val="0"/>
                <w:color w:val="333333"/>
                <w:spacing w:val="0"/>
                <w:sz w:val="24"/>
                <w:szCs w:val="24"/>
              </w:rPr>
              <w:t>9</w:t>
            </w:r>
          </w:p>
        </w:tc>
        <w:tc>
          <w:tcPr>
            <w:tcW w:w="1275" w:type="dxa"/>
            <w:shd w:val="clear" w:color="auto" w:fill="FFFFFF"/>
            <w:noWrap w:val="0"/>
            <w:tcMar>
              <w:left w:w="105" w:type="dxa"/>
              <w:right w:w="105" w:type="dxa"/>
            </w:tcMar>
            <w:vAlign w:val="center"/>
          </w:tcPr>
          <w:p w14:paraId="0E9B47D3">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母婴保健与计划生育监督检查</w:t>
            </w:r>
          </w:p>
        </w:tc>
        <w:tc>
          <w:tcPr>
            <w:tcW w:w="4470" w:type="dxa"/>
            <w:shd w:val="clear" w:color="auto" w:fill="FFFFFF"/>
            <w:noWrap w:val="0"/>
            <w:tcMar>
              <w:left w:w="105" w:type="dxa"/>
              <w:right w:w="105" w:type="dxa"/>
            </w:tcMar>
            <w:vAlign w:val="center"/>
          </w:tcPr>
          <w:p w14:paraId="0161196B">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监督检查从事计划生育技术服务的机构及人员的依法执业情况，对打击非医学需要的胎儿性别鉴定和选择性别的人工终止妊娠行为开展监督检查。</w:t>
            </w:r>
          </w:p>
        </w:tc>
        <w:tc>
          <w:tcPr>
            <w:tcW w:w="2040" w:type="dxa"/>
            <w:shd w:val="clear" w:color="auto" w:fill="FFFFFF"/>
            <w:noWrap w:val="0"/>
            <w:tcMar>
              <w:left w:w="105" w:type="dxa"/>
              <w:right w:w="105" w:type="dxa"/>
            </w:tcMar>
            <w:vAlign w:val="center"/>
          </w:tcPr>
          <w:p w14:paraId="04155E8E">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333333"/>
                <w:spacing w:val="0"/>
                <w:sz w:val="24"/>
                <w:szCs w:val="24"/>
              </w:rPr>
              <w:t>从事母婴保健技术服务和计划生育技术服务的机构</w:t>
            </w:r>
          </w:p>
        </w:tc>
        <w:tc>
          <w:tcPr>
            <w:tcW w:w="1155" w:type="dxa"/>
            <w:shd w:val="clear" w:color="auto" w:fill="FFFFFF"/>
            <w:noWrap w:val="0"/>
            <w:tcMar>
              <w:left w:w="105" w:type="dxa"/>
              <w:right w:w="105" w:type="dxa"/>
            </w:tcMar>
            <w:vAlign w:val="center"/>
          </w:tcPr>
          <w:p w14:paraId="6C2E3FB3">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一般检查事项</w:t>
            </w:r>
          </w:p>
          <w:p w14:paraId="76E48827">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微软雅黑" w:hAnsi="微软雅黑" w:eastAsia="微软雅黑" w:cs="微软雅黑"/>
                <w:i w:val="0"/>
                <w:iCs w:val="0"/>
                <w:caps w:val="0"/>
                <w:color w:val="333333"/>
                <w:spacing w:val="0"/>
                <w:sz w:val="24"/>
                <w:szCs w:val="24"/>
              </w:rPr>
              <w:t> </w:t>
            </w:r>
          </w:p>
        </w:tc>
        <w:tc>
          <w:tcPr>
            <w:tcW w:w="1065" w:type="dxa"/>
            <w:shd w:val="clear" w:color="auto" w:fill="FFFFFF"/>
            <w:noWrap w:val="0"/>
            <w:tcMar>
              <w:left w:w="105" w:type="dxa"/>
              <w:right w:w="105" w:type="dxa"/>
            </w:tcMar>
            <w:vAlign w:val="center"/>
          </w:tcPr>
          <w:p w14:paraId="5E3B66DA">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现场检查</w:t>
            </w:r>
          </w:p>
        </w:tc>
        <w:tc>
          <w:tcPr>
            <w:tcW w:w="1410" w:type="dxa"/>
            <w:shd w:val="clear" w:color="auto" w:fill="FFFFFF"/>
            <w:noWrap w:val="0"/>
            <w:tcMar>
              <w:left w:w="105" w:type="dxa"/>
              <w:right w:w="105" w:type="dxa"/>
            </w:tcMar>
            <w:vAlign w:val="center"/>
          </w:tcPr>
          <w:p w14:paraId="0E1CBBD3">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333333"/>
                <w:spacing w:val="0"/>
                <w:sz w:val="24"/>
                <w:szCs w:val="24"/>
              </w:rPr>
              <w:t>县级以上卫生健康行政部门</w:t>
            </w:r>
          </w:p>
        </w:tc>
        <w:tc>
          <w:tcPr>
            <w:tcW w:w="3802" w:type="dxa"/>
            <w:shd w:val="clear" w:color="auto" w:fill="FFFFFF"/>
            <w:noWrap w:val="0"/>
            <w:tcMar>
              <w:left w:w="105" w:type="dxa"/>
              <w:right w:w="105" w:type="dxa"/>
            </w:tcMar>
            <w:vAlign w:val="top"/>
          </w:tcPr>
          <w:p w14:paraId="726211FA">
            <w:pPr>
              <w:pStyle w:val="184"/>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rPr>
                <w:sz w:val="24"/>
                <w:szCs w:val="24"/>
              </w:rPr>
            </w:pPr>
            <w:r>
              <w:rPr>
                <w:rFonts w:hint="eastAsia" w:ascii="宋体" w:hAnsi="宋体" w:eastAsia="宋体" w:cs="宋体"/>
                <w:i w:val="0"/>
                <w:iCs w:val="0"/>
                <w:caps w:val="0"/>
                <w:color w:val="333333"/>
                <w:spacing w:val="0"/>
                <w:sz w:val="24"/>
                <w:szCs w:val="24"/>
              </w:rPr>
              <w:t>《中华人民共和国人口与计划生育法》《中华人民共和国</w:t>
            </w:r>
            <w:bookmarkStart w:id="0" w:name="_GoBack"/>
            <w:bookmarkEnd w:id="0"/>
            <w:r>
              <w:rPr>
                <w:rFonts w:hint="eastAsia" w:ascii="宋体" w:hAnsi="宋体" w:eastAsia="宋体" w:cs="宋体"/>
                <w:i w:val="0"/>
                <w:iCs w:val="0"/>
                <w:caps w:val="0"/>
                <w:color w:val="333333"/>
                <w:spacing w:val="0"/>
                <w:sz w:val="24"/>
                <w:szCs w:val="24"/>
              </w:rPr>
              <w:t>医师法》《医疗机构管理条例》《中华人民共和国母婴保健法实施办法》《人类辅助生殖技术管理办法》《人类精子库管理办法》《产前诊断技术管理办法》《新生儿疾病筛查管理办法》等</w:t>
            </w:r>
          </w:p>
        </w:tc>
      </w:tr>
    </w:tbl>
    <w:p w14:paraId="1470872D"/>
    <w:sectPr>
      <w:pgSz w:w="16838" w:h="11906"/>
      <w:pgMar w:top="1800" w:right="1440" w:bottom="1800" w:left="144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35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semiHidden/>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普通(网站)1"/>
    <w:basedOn w:val="1"/>
    <w:qFormat/>
    <w:uiPriority w:val="0"/>
    <w:pPr>
      <w:spacing w:before="100" w:beforeAutospacing="1" w:after="100" w:afterAutospacing="1"/>
      <w:ind w:left="0" w:right="0"/>
      <w:jc w:val="left"/>
    </w:pPr>
    <w:rPr>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1771</Words>
  <Characters>1781</Characters>
  <TotalTime>1</TotalTime>
  <ScaleCrop>false</ScaleCrop>
  <LinksUpToDate>false</LinksUpToDate>
  <CharactersWithSpaces>1781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2023-11-20T06:19:00Z</dcterms:created>
  <dc:creator>MY</dc:creator>
  <cp:lastModifiedBy>Admin</cp:lastModifiedBy>
  <dcterms:modified xsi:type="dcterms:W3CDTF">2025-09-14T15:17:43Z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eyJoZGlkIjoiNDI0OThlYmY2ZTg0ZWU2YTAxOWNjNzJlODI0MDc5NmIifQ==</vt:lpwstr>
  </property>
  <property fmtid="{D5CDD505-2E9C-101B-9397-08002B2CF9AE}" pid="3" name="KSOProductBuildVer">
    <vt:lpwstr>2052-12.1.0.22529</vt:lpwstr>
  </property>
  <property fmtid="{D5CDD505-2E9C-101B-9397-08002B2CF9AE}" pid="4" name="ICV">
    <vt:lpwstr>85E14B32FF2943E78E344F1B1959D080_12</vt:lpwstr>
  </property>
</Properties>
</file>