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_GBK" w:hAnsi="方正小标宋_GBK" w:eastAsia="方正小标宋_GBK" w:cs="方正小标宋_GBK"/>
          <w:bCs/>
          <w:color w:val="000000"/>
          <w:w w:val="96"/>
          <w:kern w:val="2"/>
          <w:sz w:val="44"/>
          <w:szCs w:val="44"/>
          <w:lang w:val="en-US" w:eastAsia="zh-CN"/>
        </w:rPr>
      </w:pPr>
      <w:r>
        <w:rPr>
          <w:rFonts w:hint="default" w:ascii="方正小标宋_GBK" w:hAnsi="方正小标宋_GBK" w:eastAsia="方正小标宋_GBK" w:cs="方正小标宋_GBK"/>
          <w:bCs/>
          <w:color w:val="000000"/>
          <w:w w:val="96"/>
          <w:kern w:val="2"/>
          <w:sz w:val="44"/>
          <w:szCs w:val="44"/>
          <w:lang w:val="en-US" w:eastAsia="zh-CN"/>
        </w:rPr>
        <w:t>重庆市綦江区疾病预防控制中心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_GBK" w:hAnsi="方正小标宋_GBK" w:eastAsia="方正小标宋_GBK" w:cs="方正小标宋_GBK"/>
          <w:bCs/>
          <w:color w:val="000000"/>
          <w:w w:val="96"/>
          <w:kern w:val="2"/>
          <w:sz w:val="44"/>
          <w:szCs w:val="44"/>
          <w:lang w:val="en-US" w:eastAsia="zh-CN"/>
        </w:rPr>
      </w:pPr>
      <w:r>
        <w:rPr>
          <w:rFonts w:hint="default" w:ascii="方正小标宋_GBK" w:hAnsi="方正小标宋_GBK" w:eastAsia="方正小标宋_GBK" w:cs="方正小标宋_GBK"/>
          <w:bCs/>
          <w:color w:val="000000"/>
          <w:w w:val="96"/>
          <w:kern w:val="2"/>
          <w:sz w:val="44"/>
          <w:szCs w:val="44"/>
          <w:lang w:val="en-US" w:eastAsia="zh-CN"/>
        </w:rPr>
        <w:t>2024年度决算公开说明</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6"/>
          <w:rFonts w:ascii="黑体" w:hAnsi="黑体" w:eastAsia="黑体" w:cs="黑体"/>
          <w:sz w:val="32"/>
          <w:szCs w:val="32"/>
          <w:shd w:val="clear" w:color="auto" w:fill="FFFFFF"/>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一、单位基本情况</w:t>
      </w:r>
    </w:p>
    <w:p>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（一）职能职责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重庆市綦江区疾病预防控制中心（綦江区卫生监督所）于2024年11月正式改革重组，是防</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康</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教</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研</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执五位一体的疾控机构，</w:t>
      </w:r>
      <w:r>
        <w:rPr>
          <w:rFonts w:hint="eastAsia" w:ascii="Times New Roman" w:hAnsi="Times New Roman" w:eastAsia="方正仿宋_GBK" w:cs="Times New Roman"/>
          <w:sz w:val="32"/>
          <w:szCs w:val="32"/>
          <w:shd w:val="clear" w:color="auto" w:fill="FFFFFF"/>
          <w:lang w:val="en-US" w:eastAsia="zh-CN" w:bidi="ar-SA"/>
        </w:rPr>
        <w:t>中心承担疾病预防与控制、突发公共卫生事件应急处置、健康危害因素监测与干预、实验室检测分析与评价、健康教育与健康促进、卫生健康行政执法等基本职能。</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中心内设18个职能科室，分别是：</w:t>
      </w:r>
      <w:r>
        <w:rPr>
          <w:rFonts w:hint="default" w:ascii="Times New Roman" w:hAnsi="Times New Roman" w:eastAsia="方正仿宋_GBK" w:cs="Times New Roman"/>
          <w:sz w:val="32"/>
          <w:szCs w:val="32"/>
          <w:shd w:val="clear" w:color="auto" w:fill="FFFFFF"/>
          <w:lang w:val="en-US" w:eastAsia="zh-CN" w:bidi="ar-SA"/>
        </w:rPr>
        <w:t>党政办公室</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财务后勤科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人事科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卫生应急办公室</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法制科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技术管理科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传染病与地方病防制科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性病与艾滋病防制科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免疫规划科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慢性非传染性疾病防制科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卫生监测一科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食品卫生科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卫生监测二科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学校卫生科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职业卫生科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微生物检验科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理化检验科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传染病执法大队</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医疗卫生执法大队</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公共卫生执法一大队</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公共卫生执法二大队</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职业健康执法大队</w:t>
      </w:r>
      <w:r>
        <w:rPr>
          <w:rFonts w:hint="eastAsia" w:ascii="Times New Roman" w:hAnsi="Times New Roman" w:eastAsia="方正仿宋_GBK" w:cs="Times New Roman"/>
          <w:sz w:val="32"/>
          <w:szCs w:val="32"/>
          <w:shd w:val="clear" w:color="auto" w:fill="FFFFFF"/>
          <w:lang w:val="en-US" w:eastAsia="zh-CN" w:bidi="ar-SA"/>
        </w:rPr>
        <w:t xml:space="preserve">。   </w:t>
      </w:r>
    </w:p>
    <w:p>
      <w:pPr>
        <w:pStyle w:val="2"/>
        <w:keepNext w:val="0"/>
        <w:keepLines w:val="0"/>
        <w:pageBreakBefore w:val="0"/>
        <w:kinsoku/>
        <w:overflowPunct/>
        <w:topLinePunct w:val="0"/>
        <w:autoSpaceDN/>
        <w:bidi w:val="0"/>
        <w:adjustRightInd/>
        <w:spacing w:line="576" w:lineRule="exact"/>
        <w:ind w:firstLine="640" w:firstLineChars="200"/>
        <w:textAlignment w:val="auto"/>
        <w:rPr>
          <w:rFonts w:hint="eastAsia"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（三）单位构成</w:t>
      </w:r>
    </w:p>
    <w:p>
      <w:pPr>
        <w:pStyle w:val="2"/>
        <w:keepNext w:val="0"/>
        <w:keepLines w:val="0"/>
        <w:pageBreakBefore w:val="0"/>
        <w:kinsoku/>
        <w:overflowPunct/>
        <w:topLinePunct w:val="0"/>
        <w:autoSpaceDN/>
        <w:bidi w:val="0"/>
        <w:adjustRightInd/>
        <w:spacing w:line="576"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重庆市綦江区</w:t>
      </w:r>
      <w:r>
        <w:rPr>
          <w:rFonts w:hint="eastAsia" w:ascii="Times New Roman" w:hAnsi="Times New Roman" w:eastAsia="方正仿宋_GBK" w:cs="Times New Roman"/>
          <w:sz w:val="32"/>
          <w:szCs w:val="32"/>
          <w:shd w:val="clear" w:color="auto" w:fill="FFFFFF"/>
          <w:lang w:val="en-US" w:eastAsia="zh-CN" w:bidi="ar-SA"/>
        </w:rPr>
        <w:t>疾病预防控制</w:t>
      </w:r>
      <w:r>
        <w:rPr>
          <w:rFonts w:hint="default" w:ascii="Times New Roman" w:hAnsi="Times New Roman" w:eastAsia="方正仿宋_GBK" w:cs="Times New Roman"/>
          <w:sz w:val="32"/>
          <w:szCs w:val="32"/>
          <w:shd w:val="clear" w:color="auto" w:fill="FFFFFF"/>
          <w:lang w:val="en-US" w:eastAsia="zh-CN" w:bidi="ar-SA"/>
        </w:rPr>
        <w:t>中心（</w:t>
      </w:r>
      <w:r>
        <w:rPr>
          <w:rFonts w:hint="eastAsia" w:ascii="Times New Roman" w:hAnsi="Times New Roman" w:eastAsia="方正仿宋_GBK" w:cs="Times New Roman"/>
          <w:sz w:val="32"/>
          <w:szCs w:val="32"/>
          <w:shd w:val="clear" w:color="auto" w:fill="FFFFFF"/>
          <w:lang w:val="en-US" w:eastAsia="zh-CN" w:bidi="ar-SA"/>
        </w:rPr>
        <w:t>重庆市綦江</w:t>
      </w:r>
      <w:r>
        <w:rPr>
          <w:rFonts w:hint="default" w:ascii="Times New Roman" w:hAnsi="Times New Roman" w:eastAsia="方正仿宋_GBK" w:cs="Times New Roman"/>
          <w:sz w:val="32"/>
          <w:szCs w:val="32"/>
          <w:shd w:val="clear" w:color="auto" w:fill="FFFFFF"/>
          <w:lang w:val="en-US" w:eastAsia="zh-CN" w:bidi="ar-SA"/>
        </w:rPr>
        <w:t>区</w:t>
      </w:r>
      <w:r>
        <w:rPr>
          <w:rFonts w:hint="eastAsia" w:ascii="Times New Roman" w:hAnsi="Times New Roman" w:eastAsia="方正仿宋_GBK" w:cs="Times New Roman"/>
          <w:sz w:val="32"/>
          <w:szCs w:val="32"/>
          <w:shd w:val="clear" w:color="auto" w:fill="FFFFFF"/>
          <w:lang w:val="en-US" w:eastAsia="zh-CN" w:bidi="ar-SA"/>
        </w:rPr>
        <w:t>卫生监督所</w:t>
      </w: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为公益一类全额拨款事业单位，纳入重庆市綦江区卫生健康委员会2024年决算编制的二级预算单位，本单位无下级预算单位。</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二、单位决算收支情况说明</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（一）收入支出决算总体情况说明</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5534.57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收、支与2023年度相比，增加28.04万元，增长0.5%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一是迁建工程进入收尾阶段，按进度付款，项目投入比去年增加；二是重大传染病项目中艾滋病示范区建设增加项目款；三是年初人社对</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lang w:eastAsia="zh-CN"/>
        </w:rPr>
        <w:t>年超额绩效清算补发。</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6"/>
          <w:rFonts w:hint="eastAsia" w:ascii="Times New Roman" w:hAnsi="Times New Roman" w:eastAsia="方正仿宋_GBK"/>
          <w:sz w:val="32"/>
          <w:szCs w:val="32"/>
          <w:shd w:val="clear" w:color="auto" w:fill="FFFFFF"/>
          <w:lang w:val="en-US" w:eastAsia="zh-CN"/>
        </w:rPr>
        <w:t>1</w:t>
      </w:r>
      <w:r>
        <w:rPr>
          <w:rStyle w:val="16"/>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5534.57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与2023年度相比，增加32.11万元，增长0.6%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是财政投入因项目进度情况加大了投入。</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3320.44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2214.13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；经营收入</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6"/>
          <w:rFonts w:hint="eastAsia" w:ascii="Times New Roman" w:hAnsi="Times New Roman" w:eastAsia="方正仿宋_GBK"/>
          <w:sz w:val="32"/>
          <w:szCs w:val="32"/>
          <w:shd w:val="clear" w:color="auto" w:fill="FFFFFF"/>
          <w:lang w:val="en-US" w:eastAsia="zh-CN"/>
        </w:rPr>
        <w:t>2</w:t>
      </w:r>
      <w:r>
        <w:rPr>
          <w:rStyle w:val="16"/>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5534.57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与2023年度相比，增加589.80万元，增长11.9%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一是迁建工程进入收尾阶段，按进度付款，项目投入比去年增加；二是重大传染病项目中艾滋病示范区建设增加项目款；三是年初人社对</w:t>
      </w:r>
      <w:r>
        <w:rPr>
          <w:rFonts w:hint="default"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lang w:eastAsia="zh-CN"/>
        </w:rPr>
        <w:t>年超额绩效清算补发。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3895.51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1639.06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29.6%</w:t>
      </w:r>
      <w:r>
        <w:rPr>
          <w:rFonts w:ascii="方正仿宋_GBK" w:hAnsi="方正仿宋_GBK" w:eastAsia="方正仿宋_GBK" w:cs="方正仿宋_GBK"/>
          <w:sz w:val="32"/>
          <w:szCs w:val="32"/>
          <w:shd w:val="clear" w:color="auto" w:fill="FFFFFF"/>
        </w:rPr>
        <w:t>；经营支出</w:t>
      </w:r>
      <w:r>
        <w:rPr>
          <w:rFonts w:hint="eastAsia" w:ascii="Times New Roman" w:hAnsi="Times New Roman" w:eastAsia="方正仿宋_GBK"/>
          <w:sz w:val="32"/>
          <w:szCs w:val="32"/>
          <w:lang w:val="en-US"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Style w:val="16"/>
          <w:rFonts w:hint="eastAsia" w:ascii="Times New Roman" w:hAnsi="Times New Roman" w:eastAsia="方正仿宋_GBK"/>
          <w:sz w:val="32"/>
          <w:szCs w:val="32"/>
          <w:shd w:val="clear" w:color="auto" w:fill="FFFFFF"/>
          <w:lang w:val="en-US" w:eastAsia="zh-CN"/>
        </w:rPr>
        <w:t>3</w:t>
      </w:r>
      <w:r>
        <w:rPr>
          <w:rStyle w:val="16"/>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（二）财政拨款收入支出决算总体情况说明</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3320.44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lang w:eastAsia="zh-CN"/>
        </w:rPr>
        <w:t>年度相比，</w:t>
      </w:r>
      <w:r>
        <w:rPr>
          <w:rFonts w:hint="default" w:ascii="方正仿宋_GBK" w:hAnsi="方正仿宋_GBK" w:eastAsia="方正仿宋_GBK" w:cs="方正仿宋_GBK"/>
          <w:sz w:val="32"/>
          <w:szCs w:val="32"/>
          <w:shd w:val="clear" w:color="auto" w:fill="FFFFFF"/>
          <w:lang w:eastAsia="zh-CN"/>
        </w:rPr>
        <w:t>财政拨款收、支总计各增加</w:t>
      </w:r>
      <w:r>
        <w:rPr>
          <w:rFonts w:hint="default" w:ascii="Times New Roman" w:hAnsi="Times New Roman" w:eastAsia="方正仿宋_GBK" w:cs="Times New Roman"/>
          <w:sz w:val="32"/>
          <w:szCs w:val="32"/>
          <w:shd w:val="clear" w:color="auto" w:fill="FFFFFF"/>
          <w:lang w:eastAsia="zh-CN"/>
        </w:rPr>
        <w:t>849.28</w:t>
      </w:r>
      <w:r>
        <w:rPr>
          <w:rFonts w:hint="default" w:ascii="方正仿宋_GBK" w:hAnsi="方正仿宋_GBK" w:eastAsia="方正仿宋_GBK" w:cs="方正仿宋_GBK"/>
          <w:sz w:val="32"/>
          <w:szCs w:val="32"/>
          <w:shd w:val="clear" w:color="auto" w:fill="FFFFFF"/>
          <w:lang w:eastAsia="zh-CN"/>
        </w:rPr>
        <w:t>万元，增长</w:t>
      </w:r>
      <w:r>
        <w:rPr>
          <w:rFonts w:hint="default" w:ascii="Times New Roman" w:hAnsi="Times New Roman" w:eastAsia="方正仿宋_GBK" w:cs="Times New Roman"/>
          <w:sz w:val="32"/>
          <w:szCs w:val="32"/>
          <w:shd w:val="clear" w:color="auto" w:fill="FFFFFF"/>
          <w:lang w:eastAsia="zh-CN"/>
        </w:rPr>
        <w:t>34.4%</w:t>
      </w:r>
      <w:r>
        <w:rPr>
          <w:rFonts w:hint="eastAsia" w:ascii="方正仿宋_GBK" w:hAnsi="方正仿宋_GBK" w:eastAsia="方正仿宋_GBK" w:cs="方正仿宋_GBK"/>
          <w:sz w:val="32"/>
          <w:szCs w:val="32"/>
          <w:shd w:val="clear" w:color="auto" w:fill="FFFFFF"/>
          <w:lang w:eastAsia="zh-CN"/>
        </w:rPr>
        <w:t>。主要原因一是迁建工程进入收尾阶段，按进度付款，项目投入比去年增加；二是重大传染病项目中艾滋病示范区建设增加项目款；三是年初人社对</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lang w:eastAsia="zh-CN"/>
        </w:rPr>
        <w:t>年、</w:t>
      </w:r>
      <w:r>
        <w:rPr>
          <w:rFonts w:hint="eastAsia"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lang w:eastAsia="zh-CN"/>
        </w:rPr>
        <w:t>年超额绩效清算补发及保险的补缴。</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（三）一般公共预算财政拨款收入支出决算情况说明</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sz w:val="32"/>
          <w:szCs w:val="32"/>
          <w:shd w:val="clear" w:color="auto" w:fill="FFFFFF"/>
        </w:rPr>
      </w:pPr>
      <w:r>
        <w:rPr>
          <w:rStyle w:val="16"/>
          <w:rFonts w:hint="default" w:ascii="Times New Roman" w:hAnsi="Times New Roman" w:eastAsia="方正仿宋_GBK"/>
          <w:sz w:val="32"/>
          <w:szCs w:val="32"/>
          <w:shd w:val="clear" w:color="auto" w:fill="FFFFFF"/>
        </w:rPr>
        <w:t>1</w:t>
      </w:r>
      <w:r>
        <w:rPr>
          <w:rStyle w:val="16"/>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2024年度一般公共预算财政拨款收入3212.99万元，与2023年度相比，增加745.89万元，增长30.2%。主要原因是</w:t>
      </w:r>
      <w:r>
        <w:rPr>
          <w:rFonts w:hint="eastAsia" w:ascii="Times New Roman" w:hAnsi="Times New Roman" w:eastAsia="方正仿宋_GBK"/>
          <w:sz w:val="32"/>
          <w:szCs w:val="32"/>
          <w:shd w:val="clear" w:color="auto" w:fill="FFFFFF"/>
        </w:rPr>
        <w:t>一是迁建工程进入收尾阶段，按进度付款，项目投入比去年增加</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二是重大传染病项目中艾滋病示范区建设增加项目款</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三是年初人社对2021年、2022年超额绩效清算补发</w:t>
      </w:r>
      <w:r>
        <w:rPr>
          <w:rFonts w:hint="eastAsia" w:ascii="Times New Roman" w:hAnsi="Times New Roman" w:eastAsia="方正仿宋_GBK"/>
          <w:sz w:val="32"/>
          <w:szCs w:val="32"/>
          <w:shd w:val="clear" w:color="auto" w:fill="FFFFFF"/>
          <w:lang w:eastAsia="zh-CN"/>
        </w:rPr>
        <w:t>及保险的补缴。</w:t>
      </w:r>
      <w:r>
        <w:rPr>
          <w:rFonts w:hint="default" w:ascii="Times New Roman" w:hAnsi="Times New Roman" w:eastAsia="方正仿宋_GBK"/>
          <w:sz w:val="32"/>
          <w:szCs w:val="32"/>
          <w:shd w:val="clear" w:color="auto" w:fill="FFFFFF"/>
        </w:rPr>
        <w:t>较年初预算数增加1221.52万元，增长61.3%。主要原因是</w:t>
      </w:r>
      <w:r>
        <w:rPr>
          <w:rFonts w:hint="eastAsia" w:ascii="Times New Roman" w:hAnsi="Times New Roman" w:eastAsia="方正仿宋_GBK"/>
          <w:sz w:val="32"/>
          <w:szCs w:val="32"/>
          <w:shd w:val="clear" w:color="auto" w:fill="FFFFFF"/>
          <w:lang w:eastAsia="zh-CN"/>
        </w:rPr>
        <w:t>一是</w:t>
      </w:r>
      <w:r>
        <w:rPr>
          <w:rFonts w:hint="eastAsia" w:ascii="Times New Roman" w:hAnsi="Times New Roman" w:eastAsia="方正仿宋_GBK"/>
          <w:sz w:val="32"/>
          <w:szCs w:val="32"/>
          <w:shd w:val="clear" w:color="auto" w:fill="FFFFFF"/>
        </w:rPr>
        <w:t>迁建工程进入收尾阶段，按进度付款，项目投入比去年增加</w:t>
      </w:r>
      <w:r>
        <w:rPr>
          <w:rFonts w:hint="eastAsia" w:ascii="Times New Roman" w:hAnsi="Times New Roman" w:eastAsia="方正仿宋_GBK"/>
          <w:sz w:val="32"/>
          <w:szCs w:val="32"/>
          <w:shd w:val="clear" w:color="auto" w:fill="FFFFFF"/>
          <w:lang w:eastAsia="zh-CN"/>
        </w:rPr>
        <w:t>；二是二期工程开工，增加了财政预算调剂；三是重大</w:t>
      </w:r>
      <w:r>
        <w:rPr>
          <w:rFonts w:hint="eastAsia" w:ascii="Times New Roman" w:hAnsi="Times New Roman" w:eastAsia="方正仿宋_GBK"/>
          <w:sz w:val="32"/>
          <w:szCs w:val="32"/>
          <w:shd w:val="clear" w:color="auto" w:fill="FFFFFF"/>
        </w:rPr>
        <w:t>传染病项目</w:t>
      </w:r>
      <w:r>
        <w:rPr>
          <w:rFonts w:hint="eastAsia" w:ascii="Times New Roman" w:hAnsi="Times New Roman" w:eastAsia="方正仿宋_GBK"/>
          <w:sz w:val="32"/>
          <w:szCs w:val="32"/>
          <w:shd w:val="clear" w:color="auto" w:fill="FFFFFF"/>
          <w:lang w:eastAsia="zh-CN"/>
        </w:rPr>
        <w:t>经费的投入；四是</w:t>
      </w:r>
      <w:r>
        <w:rPr>
          <w:rFonts w:hint="eastAsia" w:ascii="Times New Roman" w:hAnsi="Times New Roman" w:eastAsia="方正仿宋_GBK"/>
          <w:sz w:val="32"/>
          <w:szCs w:val="32"/>
          <w:shd w:val="clear" w:color="auto" w:fill="FFFFFF"/>
        </w:rPr>
        <w:t>年初人社对2021年、2022年超额绩效清算补发</w:t>
      </w:r>
      <w:r>
        <w:rPr>
          <w:rFonts w:hint="eastAsia" w:ascii="Times New Roman" w:hAnsi="Times New Roman" w:eastAsia="方正仿宋_GBK"/>
          <w:sz w:val="32"/>
          <w:szCs w:val="32"/>
          <w:shd w:val="clear" w:color="auto" w:fill="FFFFFF"/>
          <w:lang w:eastAsia="zh-CN"/>
        </w:rPr>
        <w:t>及保险的补缴。</w:t>
      </w:r>
      <w:r>
        <w:rPr>
          <w:rFonts w:hint="default" w:ascii="Times New Roman" w:hAnsi="Times New Roman" w:eastAsia="方正仿宋_GBK"/>
          <w:sz w:val="32"/>
          <w:szCs w:val="32"/>
          <w:shd w:val="clear" w:color="auto" w:fill="FFFFFF"/>
        </w:rPr>
        <w:t>此外，年初财政拨款结转和结余</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6"/>
          <w:rFonts w:hint="default" w:ascii="Times New Roman" w:hAnsi="Times New Roman" w:eastAsia="方正仿宋_GBK"/>
          <w:sz w:val="32"/>
          <w:szCs w:val="32"/>
          <w:shd w:val="clear" w:color="auto" w:fill="FFFFFF"/>
        </w:rPr>
        <w:t>2</w:t>
      </w:r>
      <w:r>
        <w:rPr>
          <w:rStyle w:val="16"/>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3212.99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与2023年度相比，增加741.83万元，增长30.0%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一是迁建工程进入收尾阶段，按进度付款，项目投入比去年增加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二是重大传染病项目中艾滋病示范区建设增加项目款</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三是年初人社对</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rPr>
        <w:t>年超额绩效清算补发</w:t>
      </w:r>
      <w:r>
        <w:rPr>
          <w:rFonts w:hint="eastAsia" w:ascii="方正仿宋_GBK" w:hAnsi="方正仿宋_GBK" w:eastAsia="方正仿宋_GBK" w:cs="方正仿宋_GBK"/>
          <w:sz w:val="32"/>
          <w:szCs w:val="32"/>
          <w:shd w:val="clear" w:color="auto" w:fill="FFFFFF"/>
          <w:lang w:eastAsia="zh-CN"/>
        </w:rPr>
        <w:t>及保险的补缴。</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eastAsia="zh-CN"/>
        </w:rPr>
        <w:t>1221.52</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eastAsia="zh-CN"/>
        </w:rPr>
        <w:t>61.3%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一是</w:t>
      </w:r>
      <w:r>
        <w:rPr>
          <w:rFonts w:hint="eastAsia" w:ascii="方正仿宋_GBK" w:hAnsi="方正仿宋_GBK" w:eastAsia="方正仿宋_GBK" w:cs="方正仿宋_GBK"/>
          <w:sz w:val="32"/>
          <w:szCs w:val="32"/>
          <w:shd w:val="clear" w:color="auto" w:fill="FFFFFF"/>
        </w:rPr>
        <w:t>迁建工程进入收尾阶段，按进度付款，项目投入比去年增加</w:t>
      </w:r>
      <w:r>
        <w:rPr>
          <w:rFonts w:hint="eastAsia" w:ascii="方正仿宋_GBK" w:hAnsi="方正仿宋_GBK" w:eastAsia="方正仿宋_GBK" w:cs="方正仿宋_GBK"/>
          <w:sz w:val="32"/>
          <w:szCs w:val="32"/>
          <w:shd w:val="clear" w:color="auto" w:fill="FFFFFF"/>
          <w:lang w:eastAsia="zh-CN"/>
        </w:rPr>
        <w:t>；二是二期工程开工，增加了财政预算调剂；三是重大</w:t>
      </w:r>
      <w:r>
        <w:rPr>
          <w:rFonts w:hint="eastAsia" w:ascii="方正仿宋_GBK" w:hAnsi="方正仿宋_GBK" w:eastAsia="方正仿宋_GBK" w:cs="方正仿宋_GBK"/>
          <w:sz w:val="32"/>
          <w:szCs w:val="32"/>
          <w:shd w:val="clear" w:color="auto" w:fill="FFFFFF"/>
        </w:rPr>
        <w:t>传染病项目</w:t>
      </w:r>
      <w:r>
        <w:rPr>
          <w:rFonts w:hint="eastAsia" w:ascii="方正仿宋_GBK" w:hAnsi="方正仿宋_GBK" w:eastAsia="方正仿宋_GBK" w:cs="方正仿宋_GBK"/>
          <w:sz w:val="32"/>
          <w:szCs w:val="32"/>
          <w:shd w:val="clear" w:color="auto" w:fill="FFFFFF"/>
          <w:lang w:eastAsia="zh-CN"/>
        </w:rPr>
        <w:t>经费的投入；四是</w:t>
      </w:r>
      <w:r>
        <w:rPr>
          <w:rFonts w:hint="eastAsia" w:ascii="方正仿宋_GBK" w:hAnsi="方正仿宋_GBK" w:eastAsia="方正仿宋_GBK" w:cs="方正仿宋_GBK"/>
          <w:sz w:val="32"/>
          <w:szCs w:val="32"/>
          <w:shd w:val="clear" w:color="auto" w:fill="FFFFFF"/>
        </w:rPr>
        <w:t>年初人社对</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rPr>
        <w:t>年超额绩效清算补发</w:t>
      </w:r>
      <w:r>
        <w:rPr>
          <w:rFonts w:hint="eastAsia" w:ascii="方正仿宋_GBK" w:hAnsi="方正仿宋_GBK" w:eastAsia="方正仿宋_GBK" w:cs="方正仿宋_GBK"/>
          <w:sz w:val="32"/>
          <w:szCs w:val="32"/>
          <w:shd w:val="clear" w:color="auto" w:fill="FFFFFF"/>
          <w:lang w:eastAsia="zh-CN"/>
        </w:rPr>
        <w:t>及保险的补缴。</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w:t>
      </w:r>
      <w:r>
        <w:rPr>
          <w:rFonts w:hint="eastAsia" w:ascii="方正仿宋_GBK" w:hAnsi="方正仿宋_GBK" w:eastAsia="方正仿宋_GBK" w:cs="方正仿宋_GBK"/>
          <w:sz w:val="32"/>
          <w:szCs w:val="32"/>
          <w:shd w:val="clear" w:color="auto" w:fill="FFFFFF"/>
          <w:lang w:eastAsia="zh-CN"/>
        </w:rPr>
        <w:t>用途如下</w:t>
      </w:r>
      <w:r>
        <w:rPr>
          <w:rFonts w:ascii="方正仿宋_GBK" w:hAnsi="方正仿宋_GBK" w:eastAsia="方正仿宋_GBK" w:cs="方正仿宋_GBK"/>
          <w:sz w:val="32"/>
          <w:szCs w:val="32"/>
          <w:shd w:val="clear" w:color="auto" w:fill="FFFFFF"/>
        </w:rPr>
        <w:t>：</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cs="Times New Roman"/>
          <w:sz w:val="32"/>
          <w:szCs w:val="32"/>
          <w:shd w:val="clear" w:color="auto" w:fill="FFFFFF"/>
          <w:lang w:eastAsia="zh-CN"/>
        </w:rPr>
        <w:t>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lang w:eastAsia="zh-CN"/>
        </w:rPr>
        <w:t>0.7%</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cs="Times New Roman"/>
          <w:sz w:val="32"/>
          <w:szCs w:val="32"/>
          <w:shd w:val="clear" w:color="auto" w:fill="FFFFFF"/>
          <w:lang w:eastAsia="zh-CN"/>
        </w:rPr>
        <w:t>279.49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lang w:eastAsia="zh-CN"/>
        </w:rPr>
        <w:t>8.7%</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eastAsia="zh-CN"/>
        </w:rPr>
        <w:t>68.68</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eastAsia="zh-CN"/>
        </w:rPr>
        <w:t>32.6%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年初人社对</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基数变动保险的补缴；二是退休人员</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健康休养费的补发。</w:t>
      </w:r>
    </w:p>
    <w:p>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sz w:val="32"/>
          <w:szCs w:val="32"/>
          <w:shd w:val="clear" w:color="auto" w:fill="FFFFFF"/>
          <w:lang w:eastAsia="zh-CN"/>
        </w:rPr>
        <w:t>2845.47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lang w:eastAsia="zh-CN"/>
        </w:rPr>
        <w:t>88.6%</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eastAsia="zh-CN"/>
        </w:rPr>
        <w:t>1151.68</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eastAsia="zh-CN"/>
        </w:rPr>
        <w:t>68.0%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一是迁建工程进入收尾阶段，按进度付款，项目投入比去年增加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二是重大传染病项目中艾滋病示范区建设增加项目款</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三是年初人社对</w:t>
      </w:r>
      <w:r>
        <w:rPr>
          <w:rFonts w:hint="eastAsia" w:ascii="Times New Roman" w:hAnsi="Times New Roman" w:eastAsia="方正仿宋_GBK" w:cs="Times New Roman"/>
          <w:sz w:val="32"/>
          <w:szCs w:val="32"/>
          <w:shd w:val="clear" w:color="auto" w:fill="FFFFFF"/>
          <w:lang w:eastAsia="zh-CN"/>
        </w:rPr>
        <w:t>2021</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2022</w:t>
      </w:r>
      <w:r>
        <w:rPr>
          <w:rFonts w:hint="eastAsia" w:ascii="方正仿宋_GBK" w:hAnsi="方正仿宋_GBK" w:eastAsia="方正仿宋_GBK" w:cs="方正仿宋_GBK"/>
          <w:sz w:val="32"/>
          <w:szCs w:val="32"/>
          <w:shd w:val="clear" w:color="auto" w:fill="FFFFFF"/>
        </w:rPr>
        <w:t>年超额绩效清算补发</w:t>
      </w:r>
      <w:r>
        <w:rPr>
          <w:rFonts w:hint="eastAsia" w:ascii="方正仿宋_GBK" w:hAnsi="方正仿宋_GBK" w:eastAsia="方正仿宋_GBK" w:cs="方正仿宋_GBK"/>
          <w:sz w:val="32"/>
          <w:szCs w:val="32"/>
          <w:shd w:val="clear" w:color="auto" w:fill="FFFFFF"/>
          <w:lang w:eastAsia="zh-CN"/>
        </w:rPr>
        <w:t>及保险的补缴</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住房保障支出</w:t>
      </w:r>
      <w:r>
        <w:rPr>
          <w:rFonts w:hint="default" w:ascii="Times New Roman" w:hAnsi="Times New Roman" w:eastAsia="方正仿宋_GBK" w:cs="Times New Roman"/>
          <w:sz w:val="32"/>
          <w:szCs w:val="32"/>
          <w:shd w:val="clear" w:color="auto" w:fill="FFFFFF"/>
          <w:lang w:eastAsia="zh-CN"/>
        </w:rPr>
        <w:t>65.03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lang w:eastAsia="zh-CN"/>
        </w:rPr>
        <w:t>2.0%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eastAsia="zh-CN"/>
        </w:rPr>
        <w:t>1.16</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eastAsia="zh-CN"/>
        </w:rPr>
        <w:t>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岗位变动后，缴费基数相应增加。</w:t>
      </w:r>
    </w:p>
    <w:p>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6"/>
          <w:rFonts w:hint="default" w:ascii="Times New Roman" w:hAnsi="Times New Roman" w:eastAsia="方正仿宋_GBK"/>
          <w:sz w:val="32"/>
          <w:szCs w:val="32"/>
          <w:shd w:val="clear" w:color="auto" w:fill="FFFFFF"/>
        </w:rPr>
        <w:t>3</w:t>
      </w:r>
      <w:r>
        <w:rPr>
          <w:rStyle w:val="16"/>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p>
    <w:p>
      <w:pPr>
        <w:pStyle w:val="17"/>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（四）一般公共预算财政拨款基本支出决算情况说明</w:t>
      </w:r>
    </w:p>
    <w:p>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2024年度一般公共财政拨款基本支出1681.38万元。其中：人员经费1403.51万元，与2023年度相比，增加186.51万元，增长15.3%，主要原因是</w:t>
      </w:r>
      <w:r>
        <w:rPr>
          <w:rFonts w:hint="eastAsia" w:ascii="Times New Roman" w:hAnsi="Times New Roman" w:eastAsia="方正仿宋_GBK"/>
          <w:sz w:val="32"/>
          <w:szCs w:val="32"/>
          <w:shd w:val="clear" w:color="auto" w:fill="FFFFFF"/>
          <w:lang w:eastAsia="zh-CN"/>
        </w:rPr>
        <w:t>一</w:t>
      </w:r>
      <w:r>
        <w:rPr>
          <w:rFonts w:hint="eastAsia" w:ascii="Times New Roman" w:hAnsi="Times New Roman" w:eastAsia="方正仿宋_GBK"/>
          <w:sz w:val="32"/>
          <w:szCs w:val="32"/>
          <w:shd w:val="clear" w:color="auto" w:fill="FFFFFF"/>
        </w:rPr>
        <w:t>是年初人社对2021年、2022年超额绩效清算补发</w:t>
      </w:r>
      <w:r>
        <w:rPr>
          <w:rFonts w:hint="eastAsia" w:ascii="Times New Roman" w:hAnsi="Times New Roman" w:eastAsia="方正仿宋_GBK"/>
          <w:sz w:val="32"/>
          <w:szCs w:val="32"/>
          <w:shd w:val="clear" w:color="auto" w:fill="FFFFFF"/>
          <w:lang w:eastAsia="zh-CN"/>
        </w:rPr>
        <w:t>及保险的补缴；二是退休人员</w:t>
      </w:r>
      <w:r>
        <w:rPr>
          <w:rFonts w:hint="eastAsia" w:ascii="Times New Roman" w:hAnsi="Times New Roman" w:eastAsia="方正仿宋_GBK"/>
          <w:sz w:val="32"/>
          <w:szCs w:val="32"/>
          <w:shd w:val="clear" w:color="auto" w:fill="FFFFFF"/>
        </w:rPr>
        <w:t>2021年、2022年</w:t>
      </w:r>
      <w:r>
        <w:rPr>
          <w:rFonts w:hint="eastAsia" w:ascii="Times New Roman" w:hAnsi="Times New Roman" w:eastAsia="方正仿宋_GBK"/>
          <w:sz w:val="32"/>
          <w:szCs w:val="32"/>
          <w:shd w:val="clear" w:color="auto" w:fill="FFFFFF"/>
          <w:lang w:eastAsia="zh-CN"/>
        </w:rPr>
        <w:t>健康休养费的补发</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人员经费用途主要包括基本工资、津贴补贴、绩效工资、五险二金等人员费用。</w:t>
      </w:r>
    </w:p>
    <w:p>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公用经费277.86万元，与2023年度相比，增加84.19万元，增长43.5%，主要原因是</w:t>
      </w:r>
      <w:r>
        <w:rPr>
          <w:rFonts w:hint="eastAsia" w:ascii="Times New Roman" w:hAnsi="Times New Roman" w:eastAsia="方正仿宋_GBK"/>
          <w:sz w:val="32"/>
          <w:szCs w:val="32"/>
          <w:shd w:val="clear" w:color="auto" w:fill="FFFFFF"/>
          <w:lang w:eastAsia="zh-CN"/>
        </w:rPr>
        <w:t>原来的临聘人员劳务费从原来的运转项目经费转入基本支出的公用经费</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公用经费用途主要包括办公费、水费、电费、邮电费、劳务费、工会经费等中心运转经费。</w:t>
      </w:r>
    </w:p>
    <w:p>
      <w:pPr>
        <w:pStyle w:val="17"/>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（五）政府性基金预算收支决算情况说明</w:t>
      </w:r>
    </w:p>
    <w:p>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万元，年末结转结余</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万元。本年收入107.45万元，与2023年度相比，增加107.45万元，增长100.0%，主要原因是</w:t>
      </w:r>
      <w:r>
        <w:rPr>
          <w:rFonts w:hint="eastAsia" w:ascii="Times New Roman" w:hAnsi="Times New Roman" w:eastAsia="方正仿宋_GBK"/>
          <w:sz w:val="32"/>
          <w:szCs w:val="32"/>
          <w:shd w:val="clear" w:color="auto" w:fill="FFFFFF"/>
          <w:lang w:eastAsia="zh-CN"/>
        </w:rPr>
        <w:t>二期工程开工，增加了财政预算调剂</w:t>
      </w:r>
      <w:r>
        <w:rPr>
          <w:rFonts w:hint="eastAsia" w:ascii="Times New Roman" w:hAnsi="Times New Roman" w:eastAsia="方正仿宋_GBK"/>
          <w:sz w:val="32"/>
          <w:szCs w:val="32"/>
          <w:shd w:val="clear" w:color="auto" w:fill="FFFFFF"/>
          <w:lang w:val="en-US" w:eastAsia="zh-CN"/>
        </w:rPr>
        <w:t>107.45万元</w:t>
      </w:r>
      <w:r>
        <w:rPr>
          <w:rFonts w:hint="default" w:ascii="Times New Roman" w:hAnsi="Times New Roman" w:eastAsia="方正仿宋_GBK"/>
          <w:sz w:val="32"/>
          <w:szCs w:val="32"/>
          <w:shd w:val="clear" w:color="auto" w:fill="FFFFFF"/>
        </w:rPr>
        <w:t>。本年支出107.45万元，与2023年度相比，增加107.45万元，增长100.0%，主要原因是</w:t>
      </w:r>
      <w:r>
        <w:rPr>
          <w:rFonts w:hint="eastAsia" w:ascii="Times New Roman" w:hAnsi="Times New Roman" w:eastAsia="方正仿宋_GBK"/>
          <w:sz w:val="32"/>
          <w:szCs w:val="32"/>
          <w:shd w:val="clear" w:color="auto" w:fill="FFFFFF"/>
          <w:lang w:eastAsia="zh-CN"/>
        </w:rPr>
        <w:t>二期工程开工，增加了财政预算调剂</w:t>
      </w:r>
      <w:r>
        <w:rPr>
          <w:rFonts w:hint="eastAsia" w:ascii="Times New Roman" w:hAnsi="Times New Roman" w:eastAsia="方正仿宋_GBK"/>
          <w:sz w:val="32"/>
          <w:szCs w:val="32"/>
          <w:shd w:val="clear" w:color="auto" w:fill="FFFFFF"/>
          <w:lang w:val="en-US" w:eastAsia="zh-CN"/>
        </w:rPr>
        <w:t>107.45万元</w:t>
      </w:r>
      <w:r>
        <w:rPr>
          <w:rFonts w:hint="default" w:ascii="Times New Roman" w:hAnsi="Times New Roman" w:eastAsia="方正仿宋_GBK"/>
          <w:sz w:val="32"/>
          <w:szCs w:val="32"/>
          <w:shd w:val="clear" w:color="auto" w:fill="FFFFFF"/>
        </w:rPr>
        <w:t>。</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（六）国有资本经营预算财政拨款支出决算情况说明</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三、财政拨款“三公”经费情况说明</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（一）“三公”经费支出总体情况说明</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15.88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3.12</w:t>
      </w:r>
      <w:r>
        <w:rPr>
          <w:rFonts w:hint="default"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16.4%</w:t>
      </w:r>
      <w:r>
        <w:rPr>
          <w:rFonts w:ascii="方正仿宋_GBK" w:hAnsi="方正仿宋_GBK" w:eastAsia="方正仿宋_GBK" w:cs="方正仿宋_GBK"/>
          <w:sz w:val="32"/>
          <w:szCs w:val="32"/>
          <w:shd w:val="clear" w:color="auto" w:fill="FFFFFF"/>
        </w:rPr>
        <w:t>，主要原因是按上级“过紧日子”的要求</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公务车运行维护费用</w:t>
      </w:r>
      <w:r>
        <w:rPr>
          <w:rFonts w:hint="eastAsia" w:ascii="方正仿宋_GBK" w:hAnsi="方正仿宋_GBK" w:eastAsia="方正仿宋_GBK" w:cs="方正仿宋_GBK"/>
          <w:sz w:val="32"/>
          <w:szCs w:val="32"/>
          <w:shd w:val="clear" w:color="auto" w:fill="FFFFFF"/>
          <w:lang w:eastAsia="zh-CN"/>
        </w:rPr>
        <w:t>每辆车减少预算</w:t>
      </w:r>
      <w:r>
        <w:rPr>
          <w:rFonts w:hint="eastAsia" w:ascii="Times New Roman" w:hAnsi="Times New Roman" w:eastAsia="方正仿宋_GBK" w:cs="Times New Roman"/>
          <w:sz w:val="32"/>
          <w:szCs w:val="32"/>
          <w:shd w:val="clear" w:color="auto" w:fill="FFFFFF"/>
          <w:lang w:val="en-US" w:eastAsia="zh-CN"/>
        </w:rPr>
        <w:t>0.5</w:t>
      </w:r>
      <w:r>
        <w:rPr>
          <w:rFonts w:hint="eastAsia" w:ascii="方正仿宋_GBK" w:hAnsi="方正仿宋_GBK" w:eastAsia="方正仿宋_GBK" w:cs="方正仿宋_GBK"/>
          <w:sz w:val="32"/>
          <w:szCs w:val="32"/>
          <w:shd w:val="clear" w:color="auto" w:fill="FFFFFF"/>
          <w:lang w:val="en-US" w:eastAsia="zh-CN"/>
        </w:rPr>
        <w:t>万元/年。</w:t>
      </w:r>
      <w:r>
        <w:rPr>
          <w:rFonts w:hint="default" w:ascii="方正仿宋_GBK" w:hAnsi="方正仿宋_GBK" w:eastAsia="方正仿宋_GBK" w:cs="方正仿宋_GBK"/>
          <w:sz w:val="32"/>
          <w:szCs w:val="32"/>
          <w:shd w:val="clear" w:color="auto" w:fill="FFFFFF"/>
        </w:rPr>
        <w:t>较上年支出数减少</w:t>
      </w:r>
      <w:r>
        <w:rPr>
          <w:rFonts w:hint="default" w:ascii="Times New Roman" w:hAnsi="Times New Roman" w:eastAsia="方正仿宋_GBK" w:cs="Times New Roman"/>
          <w:sz w:val="32"/>
          <w:szCs w:val="32"/>
          <w:shd w:val="clear" w:color="auto" w:fill="FFFFFF"/>
        </w:rPr>
        <w:t>3.22</w:t>
      </w:r>
      <w:r>
        <w:rPr>
          <w:rFonts w:hint="default"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16.9%</w:t>
      </w:r>
      <w:r>
        <w:rPr>
          <w:rFonts w:ascii="方正仿宋_GBK" w:hAnsi="方正仿宋_GBK" w:eastAsia="方正仿宋_GBK" w:cs="方正仿宋_GBK"/>
          <w:sz w:val="32"/>
          <w:szCs w:val="32"/>
          <w:shd w:val="clear" w:color="auto" w:fill="FFFFFF"/>
        </w:rPr>
        <w:t>，主要原因是按上级“过紧日子”的要求公务车运行维护费用</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2.75</w:t>
      </w:r>
      <w:r>
        <w:rPr>
          <w:rFonts w:hint="eastAsia"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eastAsia="zh-CN"/>
        </w:rPr>
        <w:t>，公务接待费减少</w:t>
      </w:r>
      <w:r>
        <w:rPr>
          <w:rFonts w:hint="eastAsia" w:ascii="Times New Roman" w:hAnsi="Times New Roman" w:eastAsia="方正仿宋_GBK" w:cs="Times New Roman"/>
          <w:sz w:val="32"/>
          <w:szCs w:val="32"/>
          <w:shd w:val="clear" w:color="auto" w:fill="FFFFFF"/>
          <w:lang w:val="en-US" w:eastAsia="zh-CN"/>
        </w:rPr>
        <w:t>0.47</w:t>
      </w:r>
      <w:r>
        <w:rPr>
          <w:rFonts w:ascii="方正仿宋_GBK" w:hAnsi="方正仿宋_GBK" w:eastAsia="方正仿宋_GBK" w:cs="方正仿宋_GBK"/>
          <w:sz w:val="32"/>
          <w:szCs w:val="32"/>
          <w:shd w:val="clear" w:color="auto" w:fill="FFFFFF"/>
        </w:rPr>
        <w:t>。</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（二）“三公”经费分项支出情况</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因公出国（境）费用</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本单位</w:t>
      </w:r>
      <w:r>
        <w:rPr>
          <w:rFonts w:hint="eastAsia" w:ascii="Times New Roman" w:hAnsi="Times New Roman" w:eastAsia="方正仿宋_GBK"/>
          <w:sz w:val="32"/>
          <w:szCs w:val="32"/>
          <w:shd w:val="clear" w:color="auto" w:fill="FFFFFF"/>
          <w:lang w:val="en-US" w:eastAsia="zh-CN"/>
        </w:rPr>
        <w:t>2024年</w:t>
      </w:r>
      <w:r>
        <w:rPr>
          <w:rFonts w:hint="eastAsia" w:ascii="Times New Roman" w:hAnsi="Times New Roman" w:eastAsia="方正仿宋_GBK"/>
          <w:sz w:val="32"/>
          <w:szCs w:val="32"/>
          <w:shd w:val="clear" w:color="auto" w:fill="FFFFFF"/>
          <w:lang w:eastAsia="zh-CN"/>
        </w:rPr>
        <w:t>无因公出国人员</w:t>
      </w:r>
      <w:r>
        <w:rPr>
          <w:rFonts w:hint="default" w:ascii="Times New Roman" w:hAnsi="Times New Roman" w:eastAsia="方正仿宋_GBK"/>
          <w:sz w:val="32"/>
          <w:szCs w:val="32"/>
          <w:shd w:val="clear" w:color="auto" w:fill="FFFFFF"/>
        </w:rPr>
        <w:t>。费用支出较年初预算数无增减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车购置费</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val="en-US" w:eastAsia="zh-CN"/>
        </w:rPr>
        <w:t>本单位2024年未发生公务车购置费</w:t>
      </w:r>
      <w:r>
        <w:rPr>
          <w:rFonts w:hint="default" w:ascii="Times New Roman" w:hAnsi="Times New Roman" w:eastAsia="方正仿宋_GBK"/>
          <w:sz w:val="32"/>
          <w:szCs w:val="32"/>
          <w:shd w:val="clear" w:color="auto" w:fill="FFFFFF"/>
        </w:rPr>
        <w:t>。费用支出较年初预算数无增减。较上年支出数无增减。</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车运行维护费14.75万元，</w:t>
      </w:r>
      <w:r>
        <w:rPr>
          <w:rFonts w:hint="eastAsia" w:ascii="Times New Roman" w:hAnsi="Times New Roman" w:eastAsia="方正仿宋_GBK"/>
          <w:sz w:val="32"/>
          <w:szCs w:val="32"/>
          <w:shd w:val="clear" w:color="auto" w:fill="FFFFFF"/>
          <w:lang w:val="en-US" w:eastAsia="zh-CN"/>
        </w:rPr>
        <w:t>主要用于燃油费、维修费、过路过桥费、保险费、停车费、洗车费等相关费用</w:t>
      </w:r>
      <w:r>
        <w:rPr>
          <w:rFonts w:hint="default" w:ascii="Times New Roman" w:hAnsi="Times New Roman" w:eastAsia="方正仿宋_GBK"/>
          <w:sz w:val="32"/>
          <w:szCs w:val="32"/>
          <w:shd w:val="clear" w:color="auto" w:fill="FFFFFF"/>
        </w:rPr>
        <w:t>。费用支出较年初预算数减少1.25万元，下降7.8%，主要原因是按上级“过紧日子”的要求</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公务车运行维护费用</w:t>
      </w:r>
      <w:r>
        <w:rPr>
          <w:rFonts w:hint="eastAsia" w:ascii="Times New Roman" w:hAnsi="Times New Roman" w:eastAsia="方正仿宋_GBK"/>
          <w:sz w:val="32"/>
          <w:szCs w:val="32"/>
          <w:shd w:val="clear" w:color="auto" w:fill="FFFFFF"/>
          <w:lang w:eastAsia="zh-CN"/>
        </w:rPr>
        <w:t>每辆车减少预算</w:t>
      </w:r>
      <w:r>
        <w:rPr>
          <w:rFonts w:hint="eastAsia" w:ascii="Times New Roman" w:hAnsi="Times New Roman" w:eastAsia="方正仿宋_GBK"/>
          <w:sz w:val="32"/>
          <w:szCs w:val="32"/>
          <w:shd w:val="clear" w:color="auto" w:fill="FFFFFF"/>
          <w:lang w:val="en-US" w:eastAsia="zh-CN"/>
        </w:rPr>
        <w:t>0.5万元/年</w:t>
      </w:r>
      <w:r>
        <w:rPr>
          <w:rFonts w:hint="default" w:ascii="Times New Roman" w:hAnsi="Times New Roman" w:eastAsia="方正仿宋_GBK"/>
          <w:sz w:val="32"/>
          <w:szCs w:val="32"/>
          <w:shd w:val="clear" w:color="auto" w:fill="FFFFFF"/>
        </w:rPr>
        <w:t>。较上年支出数减少2.75万元，下降15.7%，主要原因是按上级“过紧日子”的要求公务车运行维护费用</w:t>
      </w:r>
      <w:r>
        <w:rPr>
          <w:rFonts w:hint="eastAsia" w:ascii="Times New Roman" w:hAnsi="Times New Roman" w:eastAsia="方正仿宋_GBK"/>
          <w:sz w:val="32"/>
          <w:szCs w:val="32"/>
          <w:shd w:val="clear" w:color="auto" w:fill="FFFFFF"/>
          <w:lang w:eastAsia="zh-CN"/>
        </w:rPr>
        <w:t>减少</w:t>
      </w:r>
      <w:r>
        <w:rPr>
          <w:rFonts w:hint="eastAsia" w:ascii="Times New Roman" w:hAnsi="Times New Roman" w:eastAsia="方正仿宋_GBK"/>
          <w:sz w:val="32"/>
          <w:szCs w:val="32"/>
          <w:shd w:val="clear" w:color="auto" w:fill="FFFFFF"/>
          <w:lang w:val="en-US" w:eastAsia="zh-CN"/>
        </w:rPr>
        <w:t>2.75万元。</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公务接待费1.13万元，主要用于接待</w:t>
      </w:r>
      <w:r>
        <w:rPr>
          <w:rFonts w:hint="eastAsia" w:ascii="Times New Roman" w:hAnsi="Times New Roman" w:eastAsia="方正仿宋_GBK"/>
          <w:sz w:val="32"/>
          <w:szCs w:val="32"/>
          <w:shd w:val="clear" w:color="auto" w:fill="FFFFFF"/>
          <w:lang w:val="en-US" w:eastAsia="zh-CN"/>
        </w:rPr>
        <w:t>市级专家对中心等级疾控创建及业务指导相关接待费用</w:t>
      </w:r>
      <w:r>
        <w:rPr>
          <w:rFonts w:hint="default" w:ascii="Times New Roman" w:hAnsi="Times New Roman" w:eastAsia="方正仿宋_GBK"/>
          <w:sz w:val="32"/>
          <w:szCs w:val="32"/>
          <w:shd w:val="clear" w:color="auto" w:fill="FFFFFF"/>
        </w:rPr>
        <w:t>。费用支出较年初预算数减少1.87万元，下降62.3%，</w:t>
      </w:r>
      <w:r>
        <w:rPr>
          <w:rFonts w:hint="eastAsia" w:ascii="Times New Roman" w:hAnsi="Times New Roman" w:eastAsia="方正仿宋_GBK"/>
          <w:sz w:val="32"/>
          <w:szCs w:val="32"/>
          <w:shd w:val="clear" w:color="auto" w:fill="FFFFFF"/>
          <w:lang w:val="en-US" w:eastAsia="zh-CN"/>
        </w:rPr>
        <w:t>主要原因是厉行勤俭节约，一</w:t>
      </w:r>
      <w:r>
        <w:rPr>
          <w:rFonts w:hint="default" w:ascii="Times New Roman" w:hAnsi="Times New Roman" w:eastAsia="方正仿宋_GBK"/>
          <w:sz w:val="32"/>
          <w:szCs w:val="32"/>
          <w:shd w:val="clear" w:color="auto" w:fill="FFFFFF"/>
          <w:lang w:eastAsia="zh-CN"/>
        </w:rPr>
        <w:t>事</w:t>
      </w:r>
      <w:r>
        <w:rPr>
          <w:rFonts w:hint="eastAsia" w:ascii="Times New Roman" w:hAnsi="Times New Roman" w:eastAsia="方正仿宋_GBK"/>
          <w:sz w:val="32"/>
          <w:szCs w:val="32"/>
          <w:shd w:val="clear" w:color="auto" w:fill="FFFFFF"/>
          <w:lang w:val="en-US" w:eastAsia="zh-CN"/>
        </w:rPr>
        <w:t>一结，责任到人，按预算开支，</w:t>
      </w:r>
      <w:r>
        <w:rPr>
          <w:rFonts w:hint="default" w:ascii="Times New Roman" w:hAnsi="Times New Roman" w:eastAsia="方正仿宋_GBK"/>
          <w:sz w:val="32"/>
          <w:szCs w:val="32"/>
          <w:shd w:val="clear" w:color="auto" w:fill="FFFFFF"/>
        </w:rPr>
        <w:t>较上年支出数减少0.47万元，下降29.4%，主要原因是按上级“过紧日子”的要求</w:t>
      </w:r>
      <w:r>
        <w:rPr>
          <w:rFonts w:hint="eastAsia" w:ascii="Times New Roman" w:hAnsi="Times New Roman" w:eastAsia="方正仿宋_GBK"/>
          <w:sz w:val="32"/>
          <w:szCs w:val="32"/>
          <w:shd w:val="clear" w:color="auto" w:fill="FFFFFF"/>
          <w:lang w:eastAsia="zh-CN"/>
        </w:rPr>
        <w:t>公务接待费减少</w:t>
      </w:r>
      <w:r>
        <w:rPr>
          <w:rFonts w:hint="default" w:ascii="Times New Roman" w:hAnsi="Times New Roman" w:eastAsia="方正仿宋_GBK"/>
          <w:sz w:val="32"/>
          <w:szCs w:val="32"/>
          <w:shd w:val="clear" w:color="auto" w:fill="FFFFFF"/>
        </w:rPr>
        <w:t>。</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（三）“三公”经费实物量情况</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人，其中：国内外事接待</w:t>
      </w:r>
      <w:r>
        <w:rPr>
          <w:rFonts w:hint="eastAsia" w:ascii="Times New Roman" w:hAnsi="Times New Roman" w:eastAsia="方正仿宋_GBK"/>
          <w:sz w:val="32"/>
          <w:szCs w:val="32"/>
          <w:shd w:val="clear" w:color="auto" w:fill="FFFFFF"/>
          <w:lang w:val="en-US" w:eastAsia="zh-CN"/>
        </w:rPr>
        <w:t>21</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sz w:val="32"/>
          <w:szCs w:val="32"/>
          <w:shd w:val="clear" w:color="auto" w:fill="FFFFFF"/>
          <w:lang w:val="en-US" w:eastAsia="zh-CN"/>
        </w:rPr>
        <w:t>140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80.38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万元。</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四、其他需要说明的事项</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（一）财政拨款会议费、培训费和差旅费情况说明</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10.59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hint="default" w:ascii="Times New Roman" w:hAnsi="Times New Roman" w:eastAsia="方正仿宋_GBK" w:cs="Times New Roman"/>
          <w:sz w:val="32"/>
          <w:szCs w:val="32"/>
          <w:shd w:val="clear" w:color="auto" w:fill="FFFFFF"/>
        </w:rPr>
        <w:t>2023</w:t>
      </w:r>
      <w:r>
        <w:rPr>
          <w:rFonts w:hint="default"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7.07</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200.9%</w:t>
      </w:r>
      <w:r>
        <w:rPr>
          <w:rFonts w:ascii="方正仿宋_GBK" w:hAnsi="方正仿宋_GBK" w:eastAsia="方正仿宋_GBK" w:cs="方正仿宋_GBK"/>
          <w:sz w:val="32"/>
          <w:szCs w:val="32"/>
          <w:shd w:val="clear" w:color="auto" w:fill="FFFFFF"/>
        </w:rPr>
        <w:t>，主要原因是新增“临床试验基地的创建”，加强了对基层的业务培训，相应的各级会议</w:t>
      </w:r>
      <w:r>
        <w:rPr>
          <w:rFonts w:hint="eastAsia" w:ascii="方正仿宋_GBK" w:hAnsi="方正仿宋_GBK" w:eastAsia="方正仿宋_GBK" w:cs="方正仿宋_GBK"/>
          <w:sz w:val="32"/>
          <w:szCs w:val="32"/>
          <w:shd w:val="clear" w:color="auto" w:fill="FFFFFF"/>
          <w:lang w:eastAsia="zh-CN"/>
        </w:rPr>
        <w:t>相关的费用</w:t>
      </w:r>
      <w:r>
        <w:rPr>
          <w:rFonts w:ascii="方正仿宋_GBK" w:hAnsi="方正仿宋_GBK" w:eastAsia="方正仿宋_GBK" w:cs="方正仿宋_GBK"/>
          <w:sz w:val="32"/>
          <w:szCs w:val="32"/>
          <w:shd w:val="clear" w:color="auto" w:fill="FFFFFF"/>
        </w:rPr>
        <w:t>也增加。本年度培训费支出</w:t>
      </w:r>
      <w:r>
        <w:rPr>
          <w:rFonts w:hint="default" w:ascii="Times New Roman" w:hAnsi="Times New Roman" w:eastAsia="方正仿宋_GBK" w:cs="Times New Roman"/>
          <w:sz w:val="32"/>
          <w:szCs w:val="32"/>
          <w:shd w:val="clear" w:color="auto" w:fill="FFFFFF"/>
        </w:rPr>
        <w:t>13.4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hint="default" w:ascii="Times New Roman" w:hAnsi="Times New Roman" w:eastAsia="方正仿宋_GBK" w:cs="Times New Roman"/>
          <w:sz w:val="32"/>
          <w:szCs w:val="32"/>
          <w:shd w:val="clear" w:color="auto" w:fill="FFFFFF"/>
        </w:rPr>
        <w:t>2023</w:t>
      </w:r>
      <w:r>
        <w:rPr>
          <w:rFonts w:hint="default"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0.17</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1.3%</w:t>
      </w:r>
      <w:r>
        <w:rPr>
          <w:rFonts w:ascii="方正仿宋_GBK" w:hAnsi="方正仿宋_GBK" w:eastAsia="方正仿宋_GBK" w:cs="方正仿宋_GBK"/>
          <w:sz w:val="32"/>
          <w:szCs w:val="32"/>
          <w:shd w:val="clear" w:color="auto" w:fill="FFFFFF"/>
        </w:rPr>
        <w:t>，主要原因是新增了“临床试验基地的创建”，</w:t>
      </w:r>
      <w:r>
        <w:rPr>
          <w:rFonts w:hint="eastAsia" w:ascii="方正仿宋_GBK" w:hAnsi="方正仿宋_GBK" w:eastAsia="方正仿宋_GBK" w:cs="方正仿宋_GBK"/>
          <w:sz w:val="32"/>
          <w:szCs w:val="32"/>
          <w:shd w:val="clear" w:color="auto" w:fill="FFFFFF"/>
          <w:lang w:eastAsia="zh-CN"/>
        </w:rPr>
        <w:t>对工作人员的培训相关费用增长</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3.33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hint="default" w:ascii="Times New Roman" w:hAnsi="Times New Roman" w:eastAsia="方正仿宋_GBK" w:cs="Times New Roman"/>
          <w:sz w:val="32"/>
          <w:szCs w:val="32"/>
          <w:shd w:val="clear" w:color="auto" w:fill="FFFFFF"/>
        </w:rPr>
        <w:t>2023</w:t>
      </w:r>
      <w:r>
        <w:rPr>
          <w:rFonts w:hint="default"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0.5</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17.7%</w:t>
      </w:r>
      <w:r>
        <w:rPr>
          <w:rFonts w:ascii="方正仿宋_GBK" w:hAnsi="方正仿宋_GBK" w:eastAsia="方正仿宋_GBK" w:cs="方正仿宋_GBK"/>
          <w:sz w:val="32"/>
          <w:szCs w:val="32"/>
          <w:shd w:val="clear" w:color="auto" w:fill="FFFFFF"/>
        </w:rPr>
        <w:t>，主要原因是新增了“临床试验基地的创建”，</w:t>
      </w:r>
      <w:r>
        <w:rPr>
          <w:rFonts w:hint="eastAsia" w:ascii="方正仿宋_GBK" w:hAnsi="方正仿宋_GBK" w:eastAsia="方正仿宋_GBK" w:cs="方正仿宋_GBK"/>
          <w:sz w:val="32"/>
          <w:szCs w:val="32"/>
          <w:shd w:val="clear" w:color="auto" w:fill="FFFFFF"/>
          <w:lang w:eastAsia="zh-CN"/>
        </w:rPr>
        <w:t>对工作人员的业务要求有所增加，相关人员外派市疾控业务学习提升费用相应增长</w:t>
      </w:r>
      <w:r>
        <w:rPr>
          <w:rFonts w:ascii="方正仿宋_GBK" w:hAnsi="方正仿宋_GBK" w:eastAsia="方正仿宋_GBK" w:cs="方正仿宋_GBK"/>
          <w:sz w:val="32"/>
          <w:szCs w:val="32"/>
          <w:shd w:val="clear" w:color="auto" w:fill="FFFFFF"/>
        </w:rPr>
        <w:t>。</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（二）机关运行经费情况说明</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按照部门决算列报口径，我单位不在机关运行经费统计范围之内。</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（三）国有资产占用情况说明</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台（套）。</w:t>
      </w:r>
    </w:p>
    <w:p>
      <w:pPr>
        <w:pStyle w:val="17"/>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（四）政府采购支出情况说明</w:t>
      </w:r>
    </w:p>
    <w:p>
      <w:pPr>
        <w:pStyle w:val="12"/>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2429.49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1.67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2427.82</w:t>
      </w:r>
      <w:r>
        <w:rPr>
          <w:rFonts w:ascii="方正仿宋_GBK" w:hAnsi="方正仿宋_GBK" w:eastAsia="方正仿宋_GBK" w:cs="方正仿宋_GBK"/>
          <w:sz w:val="32"/>
          <w:szCs w:val="32"/>
          <w:shd w:val="clear" w:color="auto" w:fill="FFFFFF"/>
        </w:rPr>
        <w:t>万元、政府采购服务支出</w:t>
      </w:r>
      <w:r>
        <w:rPr>
          <w:rFonts w:hint="eastAsia" w:ascii="Times New Roman" w:hAnsi="Times New Roman" w:eastAsia="方正仿宋_GBK" w:cs="Times New Roman"/>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cs="Times New Roman"/>
          <w:sz w:val="32"/>
          <w:szCs w:val="32"/>
          <w:shd w:val="clear" w:color="auto" w:fill="FFFFFF"/>
        </w:rPr>
        <w:t>2429.49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cs="Times New Roman"/>
          <w:sz w:val="32"/>
          <w:szCs w:val="32"/>
          <w:shd w:val="clear" w:color="auto" w:fill="FFFFFF"/>
        </w:rPr>
        <w:t>1.67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0.1 %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工程项目采购</w:t>
      </w:r>
      <w:r>
        <w:rPr>
          <w:rFonts w:ascii="方正仿宋_GBK" w:hAnsi="方正仿宋_GBK" w:eastAsia="方正仿宋_GBK" w:cs="方正仿宋_GBK"/>
          <w:sz w:val="32"/>
          <w:szCs w:val="32"/>
          <w:shd w:val="clear" w:color="auto" w:fill="FFFFFF"/>
        </w:rPr>
        <w:t>。</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五、2024年度预算绩效管理情况说明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rPr>
          <w:rFonts w:hint="eastAsia"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（一）</w:t>
      </w:r>
      <w:r>
        <w:rPr>
          <w:rFonts w:hint="eastAsia" w:ascii="方正楷体_GBK" w:hAnsi="宋体" w:eastAsia="方正楷体_GBK" w:cs="宋体"/>
          <w:kern w:val="0"/>
          <w:sz w:val="32"/>
          <w:szCs w:val="32"/>
        </w:rPr>
        <w:t>预算绩效管理工作开展情况</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kern w:val="0"/>
          <w:sz w:val="32"/>
          <w:szCs w:val="32"/>
          <w:highlight w:val="yellow"/>
          <w:shd w:val="clear" w:fill="FFFFFF"/>
          <w:lang w:eastAsia="zh-CN"/>
        </w:rPr>
      </w:pPr>
      <w:r>
        <w:rPr>
          <w:rFonts w:hint="eastAsia" w:ascii="Times New Roman" w:hAnsi="Times New Roman" w:eastAsia="方正仿宋_GBK" w:cs="Times New Roman"/>
          <w:sz w:val="32"/>
          <w:szCs w:val="32"/>
          <w:lang w:val="en-US" w:eastAsia="zh-CN"/>
        </w:rPr>
        <w:t>根据预算绩效管理要求，我中心对部门20个项目开展了绩效自评，全部以填报绩效自评表形式开展自评，涉及资金1639万元。</w:t>
      </w:r>
    </w:p>
    <w:p>
      <w:pPr>
        <w:pStyle w:val="22"/>
        <w:tabs>
          <w:tab w:val="center" w:pos="4153"/>
          <w:tab w:val="left" w:pos="7275"/>
        </w:tabs>
        <w:spacing w:line="600" w:lineRule="exact"/>
        <w:ind w:firstLine="640"/>
        <w:rPr>
          <w:rFonts w:hint="eastAsia" w:ascii="Times New Roman" w:hAnsi="Times New Roman" w:eastAsia="方正仿宋_GBK" w:cs="Times New Roman"/>
          <w:sz w:val="32"/>
          <w:szCs w:val="32"/>
          <w:lang w:val="en-US" w:eastAsia="zh-CN"/>
        </w:rPr>
      </w:pPr>
      <w:r>
        <w:rPr>
          <w:rFonts w:hint="eastAsia" w:ascii="方正楷体_GBK" w:hAnsi="宋体" w:eastAsia="方正楷体_GBK" w:cs="宋体"/>
          <w:kern w:val="0"/>
          <w:sz w:val="32"/>
          <w:szCs w:val="32"/>
        </w:rPr>
        <w:t>（二）绩效自评结果</w:t>
      </w:r>
      <w:bookmarkStart w:id="0" w:name="_GoBack"/>
      <w:bookmarkEnd w:id="0"/>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1.绩效目标自评表</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详见公开表。</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2.绩效自评报告或案例</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无</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3.关于绩效自评结果的说明</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本年度免疫规划管理、</w:t>
      </w:r>
      <w:r>
        <w:rPr>
          <w:rFonts w:hint="eastAsia" w:ascii="Times New Roman" w:hAnsi="Times New Roman" w:eastAsia="方正仿宋_GBK" w:cs="Times New Roman"/>
          <w:sz w:val="32"/>
          <w:lang w:val="en-US" w:eastAsia="zh-CN"/>
        </w:rPr>
        <w:t>公共卫生健康危害因素监测、慢性病管理</w:t>
      </w:r>
      <w:r>
        <w:rPr>
          <w:rFonts w:hint="eastAsia" w:ascii="Times New Roman" w:hAnsi="Times New Roman" w:eastAsia="方正仿宋_GBK" w:cs="Times New Roman"/>
          <w:sz w:val="32"/>
          <w:szCs w:val="32"/>
          <w:lang w:val="en-US" w:eastAsia="zh-CN"/>
        </w:rPr>
        <w:t>、重大传染病管理等工作均顺利完成。完成了年初工作计划，自评绩效完成较好。</w:t>
      </w:r>
    </w:p>
    <w:p>
      <w:pPr>
        <w:pStyle w:val="18"/>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六、专业名词解释</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（十二）“三公”经费：</w:t>
      </w:r>
      <w:r>
        <w:rPr>
          <w:rFonts w:hint="eastAsia" w:ascii="方正仿宋_GBK" w:hAnsi="方正仿宋_GBK" w:eastAsia="方正仿宋_GBK" w:cs="方正仿宋_GBK"/>
          <w:kern w:val="0"/>
          <w:sz w:val="32"/>
          <w:szCs w:val="32"/>
          <w:shd w:val="clear" w:fill="FFFFFF"/>
          <w:lang w:val="en-US" w:eastAsia="zh-CN"/>
        </w:rPr>
        <w:t>指用一般公共预算财政拨款安排的</w:t>
      </w:r>
      <w:r>
        <w:rPr>
          <w:rFonts w:hint="eastAsia" w:ascii="方正仿宋_GBK" w:hAnsi="方正仿宋_GBK" w:eastAsia="方正仿宋_GBK" w:cs="方正仿宋_GBK"/>
          <w:kern w:val="0"/>
          <w:sz w:val="32"/>
          <w:szCs w:val="32"/>
          <w:shd w:val="clear" w:fill="FFFFFF"/>
        </w:rPr>
        <w:t>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楷体_GBK" w:cs="Times New Roman"/>
          <w:b w:val="0"/>
          <w:bCs w:val="0"/>
          <w:color w:val="000000"/>
          <w:kern w:val="2"/>
          <w:sz w:val="32"/>
          <w:szCs w:val="32"/>
          <w:lang w:val="en-US" w:eastAsia="zh-CN" w:bidi="ar-SA"/>
        </w:rPr>
      </w:pPr>
      <w:r>
        <w:rPr>
          <w:rFonts w:hint="eastAsia" w:ascii="Times New Roman" w:hAnsi="Times New Roman" w:eastAsia="方正楷体_GBK" w:cs="Times New Roman"/>
          <w:b w:val="0"/>
          <w:bCs w:val="0"/>
          <w:color w:val="000000"/>
          <w:kern w:val="2"/>
          <w:sz w:val="32"/>
          <w:szCs w:val="3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w:t>
      </w:r>
      <w:r>
        <w:rPr>
          <w:rFonts w:hint="eastAsia" w:ascii="方正仿宋_GBK" w:hAnsi="方正仿宋_GBK" w:eastAsia="方正仿宋_GBK" w:cs="方正仿宋_GBK"/>
          <w:kern w:val="0"/>
          <w:sz w:val="32"/>
          <w:szCs w:val="32"/>
          <w:shd w:val="clear" w:fill="FFFFFF"/>
          <w:lang w:val="en-US" w:eastAsia="zh-CN"/>
        </w:rPr>
        <w:t>用。</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color w:val="000000"/>
          <w:kern w:val="2"/>
          <w:sz w:val="32"/>
          <w:szCs w:val="3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kern w:val="2"/>
          <w:sz w:val="32"/>
          <w:szCs w:val="33"/>
          <w:lang w:val="en-US" w:eastAsia="zh-CN" w:bidi="ar-SA"/>
        </w:rPr>
      </w:pPr>
      <w:r>
        <w:rPr>
          <w:rFonts w:hint="eastAsia" w:ascii="方正黑体_GBK" w:hAnsi="方正黑体_GBK" w:eastAsia="方正黑体_GBK" w:cs="方正黑体_GBK"/>
          <w:kern w:val="2"/>
          <w:sz w:val="32"/>
          <w:szCs w:val="33"/>
          <w:lang w:val="en-US" w:eastAsia="zh-CN" w:bidi="ar-SA"/>
        </w:rPr>
        <w:t>七、决算公开联系方式及信息反馈渠道</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sz w:val="32"/>
          <w:szCs w:val="32"/>
          <w:shd w:val="clear" w:color="auto" w:fill="FFFFFF"/>
          <w:lang w:val="en-US" w:eastAsia="zh-CN" w:bidi="ar-SA"/>
        </w:rPr>
        <w:t>023-48626478</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3520" w:firstLineChars="1100"/>
        <w:textAlignment w:val="auto"/>
        <w:rPr>
          <w:rFonts w:hint="eastAsia" w:ascii="方正仿宋_GBK" w:hAnsi="方正仿宋_GBK" w:eastAsia="方正仿宋_GBK" w:cs="方正仿宋_GBK"/>
          <w:kern w:val="0"/>
          <w:sz w:val="32"/>
          <w:szCs w:val="32"/>
          <w:shd w:val="clear" w:fill="FFFFFF"/>
        </w:rPr>
      </w:pPr>
    </w:p>
    <w:p>
      <w:pPr>
        <w:pStyle w:val="18"/>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3520" w:firstLineChars="1100"/>
        <w:jc w:val="right"/>
        <w:textAlignment w:val="auto"/>
        <w:rPr>
          <w:rFonts w:hint="eastAsia" w:ascii="方正仿宋_GBK" w:hAnsi="方正仿宋_GBK" w:eastAsia="方正仿宋_GBK" w:cs="方正仿宋_GBK"/>
          <w:kern w:val="0"/>
          <w:sz w:val="32"/>
          <w:szCs w:val="32"/>
          <w:shd w:val="clear" w:fill="FFFFFF"/>
        </w:rPr>
      </w:pPr>
    </w:p>
    <w:p>
      <w:pPr>
        <w:pStyle w:val="18"/>
        <w:keepNext w:val="0"/>
        <w:keepLines w:val="0"/>
        <w:pageBreakBefore w:val="0"/>
        <w:widowControl/>
        <w:kinsoku/>
        <w:wordWrap w:val="0"/>
        <w:overflowPunct/>
        <w:topLinePunct w:val="0"/>
        <w:autoSpaceDN/>
        <w:bidi w:val="0"/>
        <w:adjustRightInd/>
        <w:snapToGrid/>
        <w:spacing w:before="0" w:beforeAutospacing="0" w:after="0" w:afterAutospacing="0" w:line="576" w:lineRule="exact"/>
        <w:ind w:firstLine="3120" w:firstLineChars="1300"/>
        <w:jc w:val="right"/>
        <w:textAlignment w:val="auto"/>
        <w:rPr>
          <w:rFonts w:hint="default"/>
          <w:lang w:val="en-US" w:eastAsia="zh-CN"/>
        </w:rPr>
      </w:pPr>
    </w:p>
    <w:sectPr>
      <w:headerReference r:id="rId3" w:type="default"/>
      <w:footerReference r:id="rId4" w:type="default"/>
      <w:pgSz w:w="11850" w:h="16783"/>
      <w:pgMar w:top="2098" w:right="1474" w:bottom="1984" w:left="1587" w:header="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05ABF"/>
    <w:rsid w:val="01F3521E"/>
    <w:rsid w:val="03B87EA0"/>
    <w:rsid w:val="03E3214F"/>
    <w:rsid w:val="044C50BA"/>
    <w:rsid w:val="05BC6D49"/>
    <w:rsid w:val="05CC60EE"/>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9A265D"/>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1720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C59A6"/>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1D7BC9"/>
    <w:rsid w:val="495C4A24"/>
    <w:rsid w:val="497135DF"/>
    <w:rsid w:val="4A263DF2"/>
    <w:rsid w:val="4A2F278B"/>
    <w:rsid w:val="4A6F6675"/>
    <w:rsid w:val="4B135857"/>
    <w:rsid w:val="4B7951CB"/>
    <w:rsid w:val="4B7C315C"/>
    <w:rsid w:val="4D1F53CA"/>
    <w:rsid w:val="4DAC4ACA"/>
    <w:rsid w:val="4DBE01D2"/>
    <w:rsid w:val="4E606875"/>
    <w:rsid w:val="4EFD467F"/>
    <w:rsid w:val="4F0C6BA3"/>
    <w:rsid w:val="4F186D58"/>
    <w:rsid w:val="4FFE7F08"/>
    <w:rsid w:val="504B6EAA"/>
    <w:rsid w:val="50A95A6D"/>
    <w:rsid w:val="50F06B6E"/>
    <w:rsid w:val="51064DCD"/>
    <w:rsid w:val="51D21804"/>
    <w:rsid w:val="52234D33"/>
    <w:rsid w:val="522F6E0C"/>
    <w:rsid w:val="523264DE"/>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74AF9"/>
    <w:rsid w:val="5842572D"/>
    <w:rsid w:val="58F148A3"/>
    <w:rsid w:val="5A3B59D6"/>
    <w:rsid w:val="5AD134D8"/>
    <w:rsid w:val="5B9C2056"/>
    <w:rsid w:val="5BF41F67"/>
    <w:rsid w:val="5C263CE4"/>
    <w:rsid w:val="5C5D2777"/>
    <w:rsid w:val="5CF66BF3"/>
    <w:rsid w:val="5D290C69"/>
    <w:rsid w:val="5DA80C2C"/>
    <w:rsid w:val="5E2152D4"/>
    <w:rsid w:val="5F2D4A41"/>
    <w:rsid w:val="5FBE24F3"/>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C26F03"/>
    <w:rsid w:val="66EE5541"/>
    <w:rsid w:val="67924660"/>
    <w:rsid w:val="68407834"/>
    <w:rsid w:val="68666A58"/>
    <w:rsid w:val="6883293E"/>
    <w:rsid w:val="688412AD"/>
    <w:rsid w:val="68EB1B71"/>
    <w:rsid w:val="696C0310"/>
    <w:rsid w:val="6A6C7940"/>
    <w:rsid w:val="6A9F1565"/>
    <w:rsid w:val="6AAD2300"/>
    <w:rsid w:val="6B474EF5"/>
    <w:rsid w:val="6BC938E5"/>
    <w:rsid w:val="6C020CB6"/>
    <w:rsid w:val="6C0A5AC5"/>
    <w:rsid w:val="6C560CAE"/>
    <w:rsid w:val="6C576495"/>
    <w:rsid w:val="6D903FF5"/>
    <w:rsid w:val="6DA955B8"/>
    <w:rsid w:val="6DE346AB"/>
    <w:rsid w:val="6DE5391A"/>
    <w:rsid w:val="6EFD1324"/>
    <w:rsid w:val="6F5A53AC"/>
    <w:rsid w:val="6FAC003D"/>
    <w:rsid w:val="6FD926BF"/>
    <w:rsid w:val="6FE55E12"/>
    <w:rsid w:val="6FFB2E76"/>
    <w:rsid w:val="70376240"/>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21"/>
    <w:qFormat/>
    <w:uiPriority w:val="0"/>
    <w:rPr>
      <w:sz w:val="18"/>
      <w:szCs w:val="18"/>
    </w:rPr>
  </w:style>
  <w:style w:type="paragraph" w:styleId="4">
    <w:name w:val="Body Text"/>
    <w:basedOn w:val="1"/>
    <w:next w:val="5"/>
    <w:qFormat/>
    <w:uiPriority w:val="0"/>
    <w:rPr>
      <w:rFonts w:ascii="Arial" w:hAnsi="Arial" w:eastAsia="Arial" w:cs="Arial"/>
      <w:sz w:val="21"/>
      <w:szCs w:val="21"/>
      <w:lang w:val="en-US" w:eastAsia="en-US" w:bidi="ar-SA"/>
    </w:rPr>
  </w:style>
  <w:style w:type="paragraph" w:styleId="5">
    <w:name w:val="Body Text First Indent"/>
    <w:basedOn w:val="4"/>
    <w:qFormat/>
    <w:uiPriority w:val="0"/>
    <w:pPr>
      <w:widowControl w:val="0"/>
      <w:autoSpaceDE/>
      <w:autoSpaceDN/>
      <w:adjustRightInd/>
      <w:spacing w:after="120" w:afterLines="0" w:afterAutospacing="0"/>
      <w:ind w:firstLine="420" w:firstLineChars="100"/>
      <w:jc w:val="both"/>
    </w:pPr>
    <w:rPr>
      <w:rFonts w:ascii="Calibri" w:hAnsi="Calibri" w:eastAsia="宋体" w:cs="Times New Roman"/>
      <w:color w:val="auto"/>
      <w:kern w:val="2"/>
      <w:sz w:val="21"/>
      <w:szCs w:val="24"/>
      <w:lang w:val="en-US" w:eastAsia="zh-CN" w:bidi="ar-SA"/>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footnote text"/>
    <w:basedOn w:val="1"/>
    <w:next w:val="7"/>
    <w:semiHidden/>
    <w:qFormat/>
    <w:uiPriority w:val="0"/>
    <w:pPr>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2">
    <w:name w:val="Normal (Web)"/>
    <w:basedOn w:val="1"/>
    <w:unhideWhenUsed/>
    <w:qFormat/>
    <w:uiPriority w:val="0"/>
    <w:pPr>
      <w:spacing w:before="100" w:beforeAutospacing="1" w:after="100" w:afterAutospacing="1"/>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qFormat/>
    <w:uiPriority w:val="0"/>
    <w:rPr>
      <w:b/>
    </w:rPr>
  </w:style>
  <w:style w:type="paragraph" w:customStyle="1" w:styleId="17">
    <w:name w:val="列出段落1"/>
    <w:basedOn w:val="1"/>
    <w:qFormat/>
    <w:uiPriority w:val="99"/>
    <w:pPr>
      <w:ind w:firstLine="420" w:firstLineChars="200"/>
    </w:pPr>
    <w:rPr>
      <w:rFonts w:hint="default"/>
    </w:rPr>
  </w:style>
  <w:style w:type="paragraph" w:customStyle="1" w:styleId="1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9">
    <w:name w:val="21"/>
    <w:basedOn w:val="15"/>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Char"/>
    <w:basedOn w:val="15"/>
    <w:link w:val="2"/>
    <w:qFormat/>
    <w:uiPriority w:val="0"/>
    <w:rPr>
      <w:rFonts w:ascii="宋体" w:hAnsi="宋体"/>
      <w:sz w:val="18"/>
      <w:szCs w:val="18"/>
    </w:rPr>
  </w:style>
  <w:style w:type="paragraph" w:customStyle="1" w:styleId="2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5393</Words>
  <Characters>6038</Characters>
  <Lines>186</Lines>
  <Paragraphs>52</Paragraphs>
  <TotalTime>1</TotalTime>
  <ScaleCrop>false</ScaleCrop>
  <LinksUpToDate>false</LinksUpToDate>
  <CharactersWithSpaces>6055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2025-10-24T06:51:24Z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eyJoZGlkIjoiMWQxNTI5Y2U4ZTk1MjJmZTY2MmMzYmJhZmUwMDk1ODQifQ==</vt:lpwstr>
  </property>
</Properties>
</file>