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A1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600" w:lineRule="atLeast"/>
        <w:ind w:right="0"/>
        <w:jc w:val="both"/>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綦江区妇女“两癌”免费筛查项目服务指南</w:t>
      </w:r>
    </w:p>
    <w:p w14:paraId="09C018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40" w:firstLineChars="200"/>
        <w:jc w:val="both"/>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【服务对象】</w:t>
      </w:r>
    </w:p>
    <w:p w14:paraId="055B9F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40" w:firstLineChars="200"/>
        <w:jc w:val="both"/>
        <w:textAlignment w:val="auto"/>
        <w:rPr>
          <w:rFonts w:hint="eastAsia" w:ascii="方正黑体_GBK" w:hAnsi="方正黑体_GBK" w:eastAsia="方正黑体_GBK" w:cs="方正黑体_GBK"/>
          <w:i w:val="0"/>
          <w:iCs w:val="0"/>
          <w:caps w:val="0"/>
          <w:color w:val="333333"/>
          <w:spacing w:val="0"/>
          <w:sz w:val="31"/>
          <w:szCs w:val="31"/>
          <w:bdr w:val="none" w:color="auto" w:sz="0" w:space="0"/>
        </w:rPr>
      </w:pPr>
      <w:r>
        <w:rPr>
          <w:rFonts w:hint="default" w:ascii="Times New Roman" w:hAnsi="Times New Roman" w:eastAsia="宋体" w:cs="Times New Roman"/>
          <w:i w:val="0"/>
          <w:iCs w:val="0"/>
          <w:caps w:val="0"/>
          <w:color w:val="333333"/>
          <w:spacing w:val="0"/>
          <w:sz w:val="32"/>
          <w:szCs w:val="32"/>
          <w:shd w:val="clear" w:fill="FFFFFF"/>
        </w:rPr>
        <w:t>35-64</w:t>
      </w:r>
      <w:r>
        <w:rPr>
          <w:rFonts w:ascii="方正仿宋_GBK" w:hAnsi="方正仿宋_GBK" w:eastAsia="方正仿宋_GBK" w:cs="方正仿宋_GBK"/>
          <w:i w:val="0"/>
          <w:iCs w:val="0"/>
          <w:caps w:val="0"/>
          <w:color w:val="333333"/>
          <w:spacing w:val="0"/>
          <w:sz w:val="32"/>
          <w:szCs w:val="32"/>
          <w:shd w:val="clear" w:fill="FFFFFF"/>
        </w:rPr>
        <w:t>岁城乡妇女（</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非</w:t>
      </w:r>
      <w:r>
        <w:rPr>
          <w:rFonts w:ascii="方正仿宋_GBK" w:hAnsi="方正仿宋_GBK" w:eastAsia="方正仿宋_GBK" w:cs="方正仿宋_GBK"/>
          <w:i w:val="0"/>
          <w:iCs w:val="0"/>
          <w:caps w:val="0"/>
          <w:color w:val="333333"/>
          <w:spacing w:val="0"/>
          <w:sz w:val="32"/>
          <w:szCs w:val="32"/>
          <w:shd w:val="clear" w:fill="FFFFFF"/>
        </w:rPr>
        <w:t>财政供养人员），优先保障农村地区妇女和城镇贫困妇女享受检查服务，且一个服务对象在一个检查周期（三年）内只能检查一次。</w:t>
      </w:r>
    </w:p>
    <w:p w14:paraId="1500DF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40" w:firstLineChars="200"/>
        <w:jc w:val="both"/>
        <w:textAlignment w:val="auto"/>
        <w:rPr>
          <w:rFonts w:ascii="方正黑体_GBK" w:hAnsi="方正黑体_GBK" w:eastAsia="方正黑体_GBK" w:cs="方正黑体_GBK"/>
          <w:i w:val="0"/>
          <w:iCs w:val="0"/>
          <w:caps w:val="0"/>
          <w:color w:val="333333"/>
          <w:spacing w:val="0"/>
          <w:sz w:val="32"/>
          <w:szCs w:val="32"/>
          <w:shd w:val="clear" w:fill="FFFFFF"/>
        </w:rPr>
      </w:pPr>
      <w:r>
        <w:rPr>
          <w:rFonts w:ascii="方正黑体_GBK" w:hAnsi="方正黑体_GBK" w:eastAsia="方正黑体_GBK" w:cs="方正黑体_GBK"/>
          <w:i w:val="0"/>
          <w:iCs w:val="0"/>
          <w:caps w:val="0"/>
          <w:color w:val="333333"/>
          <w:spacing w:val="0"/>
          <w:sz w:val="32"/>
          <w:szCs w:val="32"/>
          <w:shd w:val="clear" w:fill="FFFFFF"/>
        </w:rPr>
        <w:t>【服务机构】</w:t>
      </w:r>
    </w:p>
    <w:p w14:paraId="20CB76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40" w:firstLineChars="200"/>
        <w:jc w:val="both"/>
        <w:textAlignment w:val="auto"/>
        <w:rPr>
          <w:rFonts w:ascii="方正仿宋_GBK" w:hAnsi="方正仿宋_GBK" w:eastAsia="方正仿宋_GBK" w:cs="方正仿宋_GBK"/>
          <w:i w:val="0"/>
          <w:iCs w:val="0"/>
          <w:caps w:val="0"/>
          <w:color w:val="333333"/>
          <w:spacing w:val="0"/>
          <w:sz w:val="32"/>
          <w:szCs w:val="32"/>
          <w:shd w:val="clear" w:fill="FFFFFF"/>
        </w:rPr>
      </w:pPr>
      <w:r>
        <w:rPr>
          <w:rFonts w:ascii="方正仿宋_GBK" w:hAnsi="方正仿宋_GBK" w:eastAsia="方正仿宋_GBK" w:cs="方正仿宋_GBK"/>
          <w:i w:val="0"/>
          <w:iCs w:val="0"/>
          <w:caps w:val="0"/>
          <w:color w:val="333333"/>
          <w:spacing w:val="0"/>
          <w:sz w:val="32"/>
          <w:szCs w:val="32"/>
          <w:shd w:val="clear" w:fill="FFFFFF"/>
        </w:rPr>
        <w:t>綦江区妇幼保健院。</w:t>
      </w:r>
    </w:p>
    <w:p w14:paraId="13F6E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40" w:firstLineChars="200"/>
        <w:jc w:val="both"/>
        <w:textAlignment w:val="auto"/>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【服务内容】</w:t>
      </w:r>
    </w:p>
    <w:p w14:paraId="5E721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20" w:firstLineChars="200"/>
        <w:jc w:val="both"/>
        <w:textAlignment w:val="auto"/>
        <w:rPr>
          <w:rFonts w:hint="eastAsia" w:ascii="MicrosoftYaHei" w:hAnsi="MicrosoftYaHei" w:eastAsia="方正仿宋_GBK" w:cs="MicrosoftYaHei"/>
          <w:i w:val="0"/>
          <w:iCs w:val="0"/>
          <w:caps w:val="0"/>
          <w:color w:val="333333"/>
          <w:spacing w:val="0"/>
          <w:sz w:val="24"/>
          <w:szCs w:val="24"/>
          <w:lang w:eastAsia="zh-CN"/>
        </w:rPr>
      </w:pPr>
      <w:r>
        <w:rPr>
          <w:rFonts w:hint="eastAsia" w:ascii="方正仿宋_GBK" w:hAnsi="方正仿宋_GBK" w:eastAsia="方正仿宋_GBK" w:cs="方正仿宋_GBK"/>
          <w:i w:val="0"/>
          <w:iCs w:val="0"/>
          <w:caps w:val="0"/>
          <w:color w:val="333333"/>
          <w:spacing w:val="0"/>
          <w:sz w:val="31"/>
          <w:szCs w:val="31"/>
          <w:lang w:val="en-US" w:eastAsia="zh-CN"/>
        </w:rPr>
        <w:t>1.</w:t>
      </w:r>
      <w:r>
        <w:rPr>
          <w:rFonts w:hint="eastAsia" w:ascii="方正仿宋_GBK" w:hAnsi="方正仿宋_GBK" w:eastAsia="方正仿宋_GBK" w:cs="方正仿宋_GBK"/>
          <w:i w:val="0"/>
          <w:iCs w:val="0"/>
          <w:caps w:val="0"/>
          <w:color w:val="333333"/>
          <w:spacing w:val="0"/>
          <w:sz w:val="31"/>
          <w:szCs w:val="31"/>
        </w:rPr>
        <w:t>免费宫颈癌检查项目：妇查、白带常规、</w:t>
      </w:r>
      <w:r>
        <w:rPr>
          <w:rFonts w:hint="default" w:ascii="Times New Roman" w:hAnsi="Times New Roman" w:eastAsia="MicrosoftYaHei" w:cs="Times New Roman"/>
          <w:i w:val="0"/>
          <w:iCs w:val="0"/>
          <w:caps w:val="0"/>
          <w:color w:val="333333"/>
          <w:spacing w:val="0"/>
          <w:sz w:val="31"/>
          <w:szCs w:val="31"/>
        </w:rPr>
        <w:t>TCT</w:t>
      </w:r>
      <w:r>
        <w:rPr>
          <w:rFonts w:hint="eastAsia" w:ascii="方正仿宋_GBK" w:hAnsi="方正仿宋_GBK" w:eastAsia="方正仿宋_GBK" w:cs="方正仿宋_GBK"/>
          <w:i w:val="0"/>
          <w:iCs w:val="0"/>
          <w:caps w:val="0"/>
          <w:color w:val="333333"/>
          <w:spacing w:val="0"/>
          <w:sz w:val="31"/>
          <w:szCs w:val="31"/>
        </w:rPr>
        <w:t>、阴道镜（必要时）、病检（必要时）</w:t>
      </w:r>
      <w:r>
        <w:rPr>
          <w:rFonts w:hint="eastAsia" w:ascii="方正仿宋_GBK" w:hAnsi="方正仿宋_GBK" w:eastAsia="方正仿宋_GBK" w:cs="方正仿宋_GBK"/>
          <w:i w:val="0"/>
          <w:iCs w:val="0"/>
          <w:caps w:val="0"/>
          <w:color w:val="333333"/>
          <w:spacing w:val="0"/>
          <w:sz w:val="31"/>
          <w:szCs w:val="31"/>
          <w:lang w:eastAsia="zh-CN"/>
        </w:rPr>
        <w:t>。</w:t>
      </w:r>
    </w:p>
    <w:p w14:paraId="08E12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6" w:lineRule="atLeast"/>
        <w:ind w:right="0" w:firstLine="620" w:firstLineChars="200"/>
        <w:jc w:val="both"/>
        <w:textAlignment w:val="auto"/>
        <w:rPr>
          <w:rFonts w:hint="default" w:ascii="MicrosoftYaHei" w:hAnsi="MicrosoftYaHei" w:eastAsia="MicrosoftYaHei" w:cs="MicrosoftYaHe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lang w:val="en-US" w:eastAsia="zh-CN"/>
        </w:rPr>
        <w:t>2.</w:t>
      </w:r>
      <w:r>
        <w:rPr>
          <w:rFonts w:hint="eastAsia" w:ascii="方正仿宋_GBK" w:hAnsi="方正仿宋_GBK" w:eastAsia="方正仿宋_GBK" w:cs="方正仿宋_GBK"/>
          <w:i w:val="0"/>
          <w:iCs w:val="0"/>
          <w:caps w:val="0"/>
          <w:color w:val="333333"/>
          <w:spacing w:val="0"/>
          <w:sz w:val="31"/>
          <w:szCs w:val="31"/>
        </w:rPr>
        <w:t>免费乳腺癌检查项目：乳腺临床检查、乳腺彩超检查、乳腺钼靶检查（必要时）、乳腺病检（必要时）。</w:t>
      </w:r>
      <w:bookmarkStart w:id="0" w:name="_GoBack"/>
      <w:bookmarkEnd w:id="0"/>
    </w:p>
    <w:p w14:paraId="58253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【服务流程】</w:t>
      </w:r>
    </w:p>
    <w:p w14:paraId="74F31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b/>
          <w:bCs/>
          <w:i w:val="0"/>
          <w:iCs w:val="0"/>
          <w:caps w:val="0"/>
          <w:color w:val="333333"/>
          <w:spacing w:val="0"/>
          <w:sz w:val="24"/>
          <w:szCs w:val="24"/>
        </w:rPr>
      </w:pPr>
      <w:r>
        <w:rPr>
          <w:rFonts w:ascii="方正仿宋_GBK" w:hAnsi="方正仿宋_GBK" w:eastAsia="方正仿宋_GBK" w:cs="方正仿宋_GBK"/>
          <w:b/>
          <w:bCs/>
          <w:i w:val="0"/>
          <w:iCs w:val="0"/>
          <w:caps w:val="0"/>
          <w:color w:val="333333"/>
          <w:spacing w:val="0"/>
          <w:sz w:val="32"/>
          <w:szCs w:val="32"/>
          <w:bdr w:val="none" w:color="auto" w:sz="0" w:space="0"/>
          <w:shd w:val="clear" w:fill="FFFFFF"/>
        </w:rPr>
        <w:t>宫颈癌：</w:t>
      </w:r>
    </w:p>
    <w:p w14:paraId="79311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妇科检查：包括盆腔检查及阴道分泌物湿片显微镜检查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革兰染色检查（白带常规）。</w:t>
      </w:r>
    </w:p>
    <w:p w14:paraId="739FB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宫颈细胞学检查：全部采用宫颈脱落细胞学检查（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TCT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），包括取材（拭子刷取宫颈表面及宫颈内约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厘米范围的脱落细胞）、固定及采用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TBS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分类描述性报告对宫颈细胞进行评价。</w:t>
      </w:r>
    </w:p>
    <w:p w14:paraId="547FB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阴道镜检查：对宫颈细胞学检查结果可疑者或异常者以及肉眼检查异常者进行阴道镜检查。</w:t>
      </w:r>
    </w:p>
    <w:p w14:paraId="6F826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组织病理学检查：对阴道镜检查结果可疑或异常者进行组织病理学检查。</w:t>
      </w:r>
    </w:p>
    <w:p w14:paraId="71B23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检查工作流程如下：填写相关表册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妇科盆腔检查和白带常规及宫颈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TCT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阴道镜检查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病理检查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可疑或确诊患者进行追访。</w:t>
      </w:r>
    </w:p>
    <w:p w14:paraId="0C9B3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b/>
          <w:bCs/>
          <w:i w:val="0"/>
          <w:iCs w:val="0"/>
          <w:caps w:val="0"/>
          <w:color w:val="333333"/>
          <w:spacing w:val="0"/>
          <w:sz w:val="24"/>
          <w:szCs w:val="24"/>
        </w:rPr>
      </w:pPr>
      <w:r>
        <w:rPr>
          <w:rFonts w:hint="eastAsia" w:ascii="方正仿宋_GBK" w:hAnsi="方正仿宋_GBK" w:eastAsia="方正仿宋_GBK" w:cs="方正仿宋_GBK"/>
          <w:b/>
          <w:bCs/>
          <w:i w:val="0"/>
          <w:iCs w:val="0"/>
          <w:caps w:val="0"/>
          <w:color w:val="333333"/>
          <w:spacing w:val="0"/>
          <w:sz w:val="32"/>
          <w:szCs w:val="32"/>
          <w:bdr w:val="none" w:color="auto" w:sz="0" w:space="0"/>
          <w:shd w:val="clear" w:fill="FFFFFF"/>
        </w:rPr>
        <w:t>乳腺癌：</w:t>
      </w:r>
    </w:p>
    <w:p w14:paraId="3694E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乳腺临床检查和乳腺彩色超声检查：对接受检查的妇女均进行乳腺的视诊、触诊和乳腺彩色超声检查（采用乳腺超声检查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BI-RADS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分级评估报告系统）。</w:t>
      </w:r>
    </w:p>
    <w:p w14:paraId="0B8748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乳腺钼靶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线检查：对乳腺彩色超声检查可疑者（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BI-RADS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级以及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级）进行乳腺钼靶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线检查（采用乳腺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BI-RADS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分级评估报告系统）。</w:t>
      </w:r>
    </w:p>
    <w:p w14:paraId="5AC9C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对乳腺彩超检查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BI-RADS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BI-RADS</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分级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级者应当直接进行组织病理学检查（以下简称活检）。</w:t>
      </w:r>
    </w:p>
    <w:p w14:paraId="4C737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对乳腺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级者应当由专科医生综合评估后进行随访、活检或其他进一步检查。</w:t>
      </w:r>
    </w:p>
    <w:p w14:paraId="61677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检查流程如下：填写相关表册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乳腺视诊、触诊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乳腺彩色</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超检查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钼靶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X</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线检查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病理检查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可疑或确诊患者进行追访。</w:t>
      </w:r>
    </w:p>
    <w:p w14:paraId="4B32B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【举报投诉电话】</w:t>
      </w:r>
    </w:p>
    <w:p w14:paraId="0A081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32"/>
          <w:szCs w:val="32"/>
          <w:bdr w:val="none" w:color="auto" w:sz="0" w:space="0"/>
          <w:shd w:val="clear" w:fill="FFFFFF"/>
        </w:rPr>
        <w:t>区卫生健康委举报投诉电话：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023-85895000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7C7807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A20A5"/>
    <w:rsid w:val="2ECA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2026-05-12T04:54:00Z</dcterms:created>
  <dc:creator>雨雪</dc:creator>
  <cp:lastModifiedBy>雨雪</cp:lastModifiedBy>
  <dcterms:modified xsi:type="dcterms:W3CDTF">2026-05-12T05:10:32Z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99258EA3EAB64D4A88E4856D2A9CBD7B_11</vt:lpwstr>
  </property>
  <property fmtid="{D5CDD505-2E9C-101B-9397-08002B2CF9AE}" pid="4" name="KSOTemplateDocerSaveRecord">
    <vt:lpwstr>eyJoZGlkIjoiODkwYjNkNGM3ZWExMDhiMTU4ZGZhYWM4ZTJmMmVhMWMiLCJ1c2VySWQiOiI0MDIwNjU5MDcifQ==</vt:lpwstr>
  </property>
</Properties>
</file>