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重庆市綦江区安稳镇综合行政执法大队</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eastAsia="方正仿宋_GBK"/>
          <w:sz w:val="32"/>
          <w:szCs w:val="32"/>
          <w:lang w:eastAsia="zh-CN"/>
        </w:rPr>
      </w:pPr>
      <w:r>
        <w:rPr>
          <w:rFonts w:hint="eastAsia" w:eastAsia="方正仿宋_GBK"/>
          <w:sz w:val="32"/>
          <w:szCs w:val="32"/>
        </w:rPr>
        <w:t>重庆市綦江区安稳镇综合行政执法大队</w:t>
      </w:r>
      <w:r>
        <w:rPr>
          <w:rFonts w:hint="eastAsia" w:eastAsia="方正仿宋_GBK"/>
          <w:sz w:val="32"/>
          <w:szCs w:val="32"/>
          <w:lang w:eastAsia="zh-CN"/>
        </w:rPr>
        <w:t>承担综合行政执法工作，集中行驶法定、依法授权或委托的农林水利、规划建设、生态环境保护、城市管理、交通、卫生健康、文化旅游、民政管理等领域的行政执法权；配合区级有关部门及派驻机构开展其他领域的联合执法。</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楷体_GB2312" w:hAnsi="楷体_GB2312" w:eastAsia="楷体_GB2312" w:cs="楷体_GB2312"/>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重庆市綦江区安稳镇综合行政执法大队，为重庆市綦江区安稳镇人民政府所属二级预算单位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，2024年在职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6</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本单位无结转结余。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较年初预算数增加14.42万元，增长15.0%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较年初预算数增加14.42万元，增长15.0%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较年初预算数增加4.99万元，增长55.9%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较年初预算数增加0.26万元，增长6.0%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87.44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较年初预算数增加8.85万元，增长11.3%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较年初预算数增加0.33万元，增长7.4%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2"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本单位无结转结余。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96.12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与2023年度相比，增加19.42万元，增长25.3%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2024年6月机构改革，本单位人数增加，人员经费支出增加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与2023年度相比，减少0.36万元，下降2.4%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较上年支出数减少1.11万元，下降100.0%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费</w:t>
      </w:r>
      <w:r>
        <w:rPr>
          <w:rFonts w:ascii="方正仿宋_GBK" w:hAnsi="方正仿宋_GBK" w:eastAsia="方正仿宋_GBK" w:cs="方正仿宋_GBK"/>
          <w:sz w:val="32"/>
          <w:szCs w:val="32"/>
          <w:shd w:val="clear" w:color="auto" w:fill="FFFFFF"/>
        </w:rPr>
        <w:t>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w:t>
      </w:r>
      <w:r>
        <w:rPr>
          <w:rFonts w:hint="eastAsia" w:ascii="方正仿宋_GBK" w:hAnsi="方正仿宋_GBK" w:eastAsia="方正仿宋_GBK" w:cs="方正仿宋_GBK"/>
          <w:sz w:val="32"/>
          <w:szCs w:val="32"/>
          <w:shd w:val="clear" w:color="auto" w:fill="FFFFFF"/>
          <w:lang w:eastAsia="zh-CN"/>
        </w:rPr>
        <w:t>费支出。</w:t>
      </w:r>
      <w:r>
        <w:rPr>
          <w:rFonts w:hint="default" w:ascii="Times New Roman" w:hAnsi="Times New Roman" w:eastAsia="方正仿宋_GBK"/>
          <w:sz w:val="32"/>
          <w:szCs w:val="32"/>
          <w:shd w:val="clear" w:color="auto" w:fill="FFFFFF"/>
        </w:rPr>
        <w:t>较上年支出数减少1.11万元，下降100.0%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w:t>
      </w:r>
      <w:r>
        <w:rPr>
          <w:rFonts w:hint="eastAsia" w:ascii="方正仿宋_GBK" w:hAnsi="方正仿宋_GBK" w:eastAsia="方正仿宋_GBK" w:cs="方正仿宋_GBK"/>
          <w:sz w:val="32"/>
          <w:szCs w:val="32"/>
          <w:shd w:val="clear" w:color="auto" w:fill="FFFFFF"/>
          <w:lang w:eastAsia="zh-CN"/>
        </w:rPr>
        <w:t>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与2023年度相比，增加0.02万元，增长3.7%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2024年6月机构改革，新进人员一人，培训费支出增加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与机关合署办公</w:t>
      </w:r>
      <w:r>
        <w:rPr>
          <w:rFonts w:hint="default" w:ascii="方正仿宋_GBK" w:hAnsi="方正仿宋_GBK" w:eastAsia="方正仿宋_GBK" w:cs="方正仿宋_GBK"/>
          <w:sz w:val="32"/>
          <w:szCs w:val="32"/>
          <w:shd w:val="clear" w:color="auto" w:fill="FFFFFF"/>
        </w:rPr>
        <w:t>原因，我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资产未</w:t>
      </w:r>
      <w:r>
        <w:rPr>
          <w:rFonts w:hint="eastAsia" w:ascii="方正仿宋_GBK" w:hAnsi="方正仿宋_GBK" w:eastAsia="方正仿宋_GBK" w:cs="方正仿宋_GBK"/>
          <w:sz w:val="32"/>
          <w:szCs w:val="32"/>
          <w:shd w:val="clear" w:color="auto" w:fill="FFFFFF"/>
          <w:lang w:eastAsia="zh-CN"/>
        </w:rPr>
        <w:t>单独</w:t>
      </w:r>
      <w:r>
        <w:rPr>
          <w:rFonts w:hint="default" w:ascii="方正仿宋_GBK" w:hAnsi="方正仿宋_GBK" w:eastAsia="方正仿宋_GBK" w:cs="方正仿宋_GBK"/>
          <w:sz w:val="32"/>
          <w:szCs w:val="32"/>
          <w:shd w:val="clear" w:color="auto" w:fill="FFFFFF"/>
        </w:rPr>
        <w:t>纳入部门决算报表。</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五、</w:t>
      </w:r>
      <w:r>
        <w:rPr>
          <w:rStyle w:val="13"/>
          <w:rFonts w:hint="eastAsia" w:ascii="方正黑体_GBK" w:hAnsi="方正黑体_GBK" w:eastAsia="方正黑体_GBK" w:cs="方正黑体_GBK"/>
          <w:b w:val="0"/>
          <w:bCs/>
          <w:sz w:val="32"/>
          <w:szCs w:val="32"/>
          <w:shd w:val="clear" w:color="auto" w:fill="FFFFFF"/>
        </w:rPr>
        <w:t>预算绩效管理情况说明</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highlight w:val="yellow"/>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楷体" w:hAnsi="楷体" w:eastAsia="楷体" w:cs="楷体"/>
          <w:b w:val="0"/>
          <w:bCs w:val="0"/>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w:t>
      </w:r>
      <w:r>
        <w:rPr>
          <w:rFonts w:hint="eastAsia" w:ascii="方正楷体_GBK" w:hAnsi="方正楷体_GBK" w:eastAsia="方正楷体_GBK" w:cs="方正楷体_GBK"/>
          <w:b w:val="0"/>
          <w:bCs w:val="0"/>
          <w:sz w:val="32"/>
          <w:szCs w:val="32"/>
          <w:shd w:val="clear" w:color="auto" w:fill="FFFFFF"/>
          <w:lang w:eastAsia="zh-CN"/>
        </w:rPr>
        <w:t>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楷体" w:hAnsi="楷体" w:eastAsia="楷体" w:cs="楷体"/>
          <w:b w:val="0"/>
          <w:bCs w:val="0"/>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w:t>
      </w:r>
      <w:r>
        <w:rPr>
          <w:rFonts w:hint="eastAsia" w:ascii="方正楷体_GBK" w:hAnsi="方正楷体_GBK" w:eastAsia="方正楷体_GBK" w:cs="方正楷体_GBK"/>
          <w:b w:val="0"/>
          <w:bCs w:val="0"/>
          <w:sz w:val="32"/>
          <w:szCs w:val="32"/>
          <w:shd w:val="clear" w:color="auto" w:fill="FFFFFF"/>
        </w:rPr>
        <w:t>财政绩效评价情况</w:t>
      </w:r>
    </w:p>
    <w:p>
      <w:pPr>
        <w:pStyle w:val="14"/>
        <w:keepNext w:val="0"/>
        <w:keepLines w:val="0"/>
        <w:pageBreakBefore w:val="0"/>
        <w:numPr>
          <w:ilvl w:val="0"/>
          <w:numId w:val="0"/>
        </w:numPr>
        <w:kinsoku/>
        <w:wordWrap/>
        <w:overflowPunct/>
        <w:topLinePunct w:val="0"/>
        <w:autoSpaceDE w:val="0"/>
        <w:autoSpaceDN/>
        <w:bidi w:val="0"/>
        <w:adjustRightInd/>
        <w:spacing w:line="600" w:lineRule="exact"/>
        <w:ind w:firstLine="640" w:firstLineChars="200"/>
        <w:textAlignment w:val="auto"/>
        <w:rPr>
          <w:rFonts w:hint="eastAsia" w:ascii="楷体" w:hAnsi="楷体" w:eastAsia="楷体" w:cs="楷体"/>
          <w:b w:val="0"/>
          <w:bCs w:val="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pPr>
        <w:pStyle w:val="14"/>
        <w:keepNext w:val="0"/>
        <w:keepLines w:val="0"/>
        <w:pageBreakBefore w:val="0"/>
        <w:numPr>
          <w:ilvl w:val="0"/>
          <w:numId w:val="0"/>
        </w:numPr>
        <w:kinsoku/>
        <w:wordWrap/>
        <w:overflowPunct/>
        <w:topLinePunct w:val="0"/>
        <w:autoSpaceDE w:val="0"/>
        <w:autoSpaceDN/>
        <w:bidi w:val="0"/>
        <w:adjustRightInd/>
        <w:spacing w:line="600" w:lineRule="exact"/>
        <w:ind w:firstLine="640"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六、专业名词解释</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楷体" w:hAnsi="楷体" w:eastAsia="楷体" w:cs="楷体"/>
          <w:sz w:val="32"/>
          <w:szCs w:val="32"/>
          <w:shd w:val="clear" w:color="auto" w:fill="FFFFFF"/>
          <w:lang w:val="en-US" w:eastAsia="zh-CN" w:bidi="ar-SA"/>
        </w:rPr>
        <w:t>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Style w:val="13"/>
          <w:rFonts w:hint="eastAsia" w:ascii="楷体" w:hAnsi="楷体" w:eastAsia="楷体" w:cs="楷体"/>
          <w:sz w:val="32"/>
          <w:szCs w:val="32"/>
          <w:shd w:val="clear" w:color="auto" w:fill="FFFFFF"/>
          <w:lang w:val="en-US" w:eastAsia="zh-CN" w:bidi="ar-SA"/>
        </w:rPr>
        <w:t>（二）基本支出：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楷体" w:hAnsi="楷体" w:eastAsia="楷体" w:cs="楷体"/>
          <w:sz w:val="32"/>
          <w:szCs w:val="32"/>
          <w:shd w:val="clear" w:color="auto" w:fill="FFFFFF"/>
          <w:lang w:val="en-US" w:eastAsia="zh-CN" w:bidi="ar-SA"/>
        </w:rPr>
        <w:t> （三）“三公”经费：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textAlignment w:val="auto"/>
        <w:rPr>
          <w:rFonts w:ascii="方正仿宋_GBK" w:hAnsi="方正仿宋_GBK" w:eastAsia="方正仿宋_GBK" w:cs="方正仿宋_GBK"/>
          <w:sz w:val="32"/>
          <w:szCs w:val="32"/>
          <w:shd w:val="clear" w:color="auto" w:fill="FFFFFF"/>
        </w:rPr>
      </w:pPr>
      <w:bookmarkStart w:id="0" w:name="_GoBack"/>
      <w:bookmarkEnd w:id="0"/>
      <w:r>
        <w:rPr>
          <w:rStyle w:val="13"/>
          <w:rFonts w:ascii="方正仿宋_GBK" w:hAnsi="方正仿宋_GBK" w:eastAsia="方正仿宋_GBK" w:cs="方正仿宋_GBK"/>
          <w:sz w:val="32"/>
          <w:szCs w:val="32"/>
          <w:shd w:val="clear" w:color="auto" w:fill="FFFFFF"/>
        </w:rPr>
        <w:t xml:space="preserve">  </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张利娟</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023-</w:t>
      </w:r>
      <w:r>
        <w:rPr>
          <w:rFonts w:hint="eastAsia" w:ascii="方正仿宋_GBK" w:hAnsi="方正仿宋_GBK" w:eastAsia="方正仿宋_GBK" w:cs="方正仿宋_GBK"/>
          <w:sz w:val="32"/>
          <w:szCs w:val="32"/>
          <w:shd w:val="clear" w:color="auto" w:fill="FFFFFF"/>
          <w:lang w:val="en-US" w:eastAsia="zh-CN"/>
        </w:rPr>
        <w:t>48826140</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1"/>
        <w:gridCol w:w="3560"/>
        <w:gridCol w:w="4044"/>
        <w:gridCol w:w="284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96.12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魏碑_GBK">
    <w:panose1 w:val="02000000000000000000"/>
    <w:charset w:val="86"/>
    <w:family w:val="auto"/>
    <w:pitch w:val="default"/>
    <w:sig w:usb0="00000001" w:usb1="08000000" w:usb2="00000000" w:usb3="00000000" w:csb0="00040000" w:csb1="00000000"/>
  </w:font>
  <w:font w:name="Noto Sans Adlam Unjoined">
    <w:panose1 w:val="020B0502040504020204"/>
    <w:charset w:val="00"/>
    <w:family w:val="auto"/>
    <w:pitch w:val="default"/>
    <w:sig w:usb0="80002003" w:usb1="02000000" w:usb2="00000000" w:usb3="00000000" w:csb0="00000001" w:csb1="00000000"/>
  </w:font>
  <w:font w:name="Noto Sans Avestan">
    <w:panose1 w:val="020B0502040504020204"/>
    <w:charset w:val="00"/>
    <w:family w:val="auto"/>
    <w:pitch w:val="default"/>
    <w:sig w:usb0="80000003" w:usb1="02000000" w:usb2="00000000" w:usb3="00000000" w:csb0="00000001" w:csb1="00000000"/>
  </w:font>
  <w:font w:name="Noto Sans CJK KR Bold">
    <w:panose1 w:val="020B0800000000000000"/>
    <w:charset w:val="86"/>
    <w:family w:val="auto"/>
    <w:pitch w:val="default"/>
    <w:sig w:usb0="30000003" w:usb1="2BDF3C10" w:usb2="00000016" w:usb3="00000000" w:csb0="602E0107" w:csb1="0000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宋体-GB2312">
    <w:panose1 w:val="02000500000000000000"/>
    <w:charset w:val="86"/>
    <w:family w:val="auto"/>
    <w:pitch w:val="default"/>
    <w:sig w:usb0="800002AF" w:usb1="08476CF8"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Courier 10 Pitch">
    <w:panose1 w:val="00000000000000000000"/>
    <w:charset w:val="00"/>
    <w:family w:val="auto"/>
    <w:pitch w:val="default"/>
    <w:sig w:usb0="00000000" w:usb1="00000000" w:usb2="00000000" w:usb3="00000000" w:csb0="00000000" w:csb1="00000000"/>
  </w:font>
  <w:font w:name="Noto Mono">
    <w:panose1 w:val="020B0609030804020204"/>
    <w:charset w:val="00"/>
    <w:family w:val="auto"/>
    <w:pitch w:val="default"/>
    <w:sig w:usb0="E00002EF" w:usb1="4000205B" w:usb2="00000028" w:usb3="00000000" w:csb0="2000019F" w:csb1="00000000"/>
  </w:font>
  <w:font w:name="Noto Sans Armenian">
    <w:panose1 w:val="020B0502040504020204"/>
    <w:charset w:val="00"/>
    <w:family w:val="auto"/>
    <w:pitch w:val="default"/>
    <w:sig w:usb0="80000403" w:usb1="40000000" w:usb2="00000000" w:usb3="00000000" w:csb0="00000001" w:csb1="00000000"/>
  </w:font>
  <w:font w:name="Noto Sans Batak">
    <w:panose1 w:val="020B0502040504020204"/>
    <w:charset w:val="00"/>
    <w:family w:val="auto"/>
    <w:pitch w:val="default"/>
    <w:sig w:usb0="80000003" w:usb1="00002000" w:usb2="00000000" w:usb3="00000000" w:csb0="00000001" w:csb1="00000000"/>
  </w:font>
  <w:font w:name="Noto Sans Carian">
    <w:panose1 w:val="020B0502040504020204"/>
    <w:charset w:val="00"/>
    <w:family w:val="auto"/>
    <w:pitch w:val="default"/>
    <w:sig w:usb0="00000003" w:usb1="02000000" w:usb2="00000000" w:usb3="02000000" w:csb0="00000001" w:csb1="00000000"/>
  </w:font>
  <w:font w:name="Noto Sans Cypriot">
    <w:panose1 w:val="020B0502040504020204"/>
    <w:charset w:val="00"/>
    <w:family w:val="auto"/>
    <w:pitch w:val="default"/>
    <w:sig w:usb0="00000003" w:usb1="02000000" w:usb2="00000000" w:usb3="00000800" w:csb0="00000001" w:csb1="00000000"/>
  </w:font>
  <w:font w:name="Noto Sans Elbasan">
    <w:panose1 w:val="020B0502040504020204"/>
    <w:charset w:val="00"/>
    <w:family w:val="auto"/>
    <w:pitch w:val="default"/>
    <w:sig w:usb0="000000C3" w:usb1="02002000" w:usb2="00000000" w:usb3="00000000" w:csb0="00000001" w:csb1="00000000"/>
  </w:font>
  <w:font w:name="Noto Sans Gujarati">
    <w:panose1 w:val="020B0502040504020204"/>
    <w:charset w:val="00"/>
    <w:family w:val="auto"/>
    <w:pitch w:val="default"/>
    <w:sig w:usb0="00040000" w:usb1="00000000" w:usb2="00000000" w:usb3="00000000" w:csb0="00000001" w:csb1="00000000"/>
  </w:font>
  <w:font w:name="Noto Sans Javanese">
    <w:panose1 w:val="020B0502040504020204"/>
    <w:charset w:val="00"/>
    <w:family w:val="auto"/>
    <w:pitch w:val="default"/>
    <w:sig w:usb0="00000000" w:usb1="00000000" w:usb2="00000000" w:usb3="00000000" w:csb0="00000001" w:csb1="00000000"/>
  </w:font>
  <w:font w:name="Noto Sans Khojki">
    <w:panose1 w:val="020B0502040504020204"/>
    <w:charset w:val="00"/>
    <w:family w:val="auto"/>
    <w:pitch w:val="default"/>
    <w:sig w:usb0="80040003" w:usb1="02002000" w:usb2="00000000" w:usb3="00000000" w:csb0="00000001" w:csb1="00000000"/>
  </w:font>
  <w:font w:name="Noto Sans Mahajani">
    <w:panose1 w:val="020B0502040504020204"/>
    <w:charset w:val="00"/>
    <w:family w:val="auto"/>
    <w:pitch w:val="default"/>
    <w:sig w:usb0="80008003" w:usb1="02002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BF8577"/>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6FA023"/>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37073"/>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EDEF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langchao</cp:lastModifiedBy>
  <cp:lastPrinted>2025-10-13T17:05:00Z</cp:lastPrinted>
  <dcterms:modified xsi:type="dcterms:W3CDTF">2025-10-16T14:32:47Z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13575113999E5FBD6D73E8688030A706</vt:lpwstr>
  </property>
</Properties>
</file>