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重庆市綦江区三江街道新时代文明实践服务中心</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keepNext w:val="0"/>
        <w:keepLines w:val="0"/>
        <w:pageBreakBefore w:val="0"/>
        <w:widowControl/>
        <w:numPr>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主要负责文化、体育（老体协）、旅游、广播电视等工作。负责文化宣传、文艺活动的组织实施；承担农家书屋（图书室）、农体工程管理工作，协助监督管理辖区文化市场；负责文化交流、民间文化艺术遗产的收集整理与保护工作；负责开展群众性文化体育活动。机构情况，包括当年变动情况及原因。</w:t>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机构情况，包括当年变动情况及原因。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color w:val="auto"/>
          <w:sz w:val="32"/>
          <w:szCs w:val="32"/>
          <w:shd w:val="clear" w:color="auto" w:fill="auto"/>
        </w:rPr>
        <w:t>本单位设事业单位1个，是新时代文明实践服务中心。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w:t>
      </w:r>
      <w:r>
        <w:rPr>
          <w:rFonts w:hint="eastAsia" w:ascii="方正楷体_GBK" w:hAnsi="方正楷体_GBK" w:eastAsia="方正楷体_GBK" w:cs="方正楷体_GBK"/>
          <w:b/>
          <w:bCs/>
          <w:color w:val="auto"/>
          <w:sz w:val="32"/>
          <w:szCs w:val="32"/>
          <w:shd w:val="clear" w:color="auto" w:fill="auto"/>
        </w:rPr>
        <w:t>收入支出决算总体情况说明</w:t>
      </w:r>
    </w:p>
    <w:p>
      <w:pPr>
        <w:snapToGrid w:val="0"/>
        <w:spacing w:line="520" w:lineRule="exact"/>
        <w:ind w:firstLine="643" w:firstLineChars="200"/>
        <w:rPr>
          <w:rFonts w:hint="eastAsia" w:ascii="方正仿宋_GBK" w:hAnsi="方正仿宋_GBK" w:eastAsia="方正仿宋_GBK" w:cs="方正仿宋_GBK"/>
          <w:color w:val="auto"/>
          <w:sz w:val="32"/>
          <w:szCs w:val="32"/>
          <w:lang w:val="en-US" w:eastAsia="zh-CN"/>
        </w:rPr>
      </w:pPr>
      <w:r>
        <w:rPr>
          <w:rStyle w:val="10"/>
          <w:rFonts w:hint="eastAsia" w:ascii="方正仿宋_GBK" w:hAnsi="方正仿宋_GBK" w:eastAsia="方正仿宋_GBK" w:cs="方正仿宋_GBK"/>
          <w:color w:val="auto"/>
          <w:sz w:val="32"/>
          <w:szCs w:val="32"/>
        </w:rPr>
        <w:t>1.总体情况。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度收入总计</w:t>
      </w:r>
      <w:r>
        <w:rPr>
          <w:rFonts w:hint="eastAsia" w:ascii="仿宋_GB2312" w:hAnsi="仿宋" w:eastAsia="仿宋_GB2312"/>
          <w:sz w:val="32"/>
          <w:szCs w:val="32"/>
          <w:lang w:val="en-US" w:eastAsia="zh-CN"/>
        </w:rPr>
        <w:t>114.64</w:t>
      </w:r>
      <w:r>
        <w:rPr>
          <w:rFonts w:hint="eastAsia" w:ascii="方正仿宋_GBK" w:hAnsi="方正仿宋_GBK" w:eastAsia="方正仿宋_GBK" w:cs="方正仿宋_GBK"/>
          <w:color w:val="auto"/>
          <w:sz w:val="32"/>
          <w:szCs w:val="32"/>
        </w:rPr>
        <w:t>万元，支出总计</w:t>
      </w:r>
      <w:r>
        <w:rPr>
          <w:rFonts w:hint="eastAsia" w:ascii="仿宋_GB2312" w:hAnsi="仿宋" w:eastAsia="仿宋_GB2312"/>
          <w:sz w:val="32"/>
          <w:szCs w:val="32"/>
          <w:lang w:val="en-US" w:eastAsia="zh-CN"/>
        </w:rPr>
        <w:t>114.64</w:t>
      </w:r>
      <w:r>
        <w:rPr>
          <w:rFonts w:hint="eastAsia" w:ascii="方正仿宋_GBK" w:hAnsi="方正仿宋_GBK" w:eastAsia="方正仿宋_GBK" w:cs="方正仿宋_GBK"/>
          <w:color w:val="auto"/>
          <w:sz w:val="32"/>
          <w:szCs w:val="32"/>
        </w:rPr>
        <w:t>万元。收支较上年决算数</w:t>
      </w:r>
      <w:r>
        <w:rPr>
          <w:rFonts w:hint="eastAsia" w:ascii="仿宋_GB2312" w:hAnsi="仿宋" w:eastAsia="仿宋_GB2312"/>
          <w:sz w:val="32"/>
          <w:szCs w:val="32"/>
          <w:lang w:val="en-US" w:eastAsia="zh-CN"/>
        </w:rPr>
        <w:t>增加22.12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上升23.9</w:t>
      </w:r>
      <w:r>
        <w:rPr>
          <w:rFonts w:hint="eastAsia" w:ascii="仿宋_GB2312" w:hAnsi="仿宋" w:eastAsia="仿宋_GB2312"/>
          <w:sz w:val="32"/>
          <w:szCs w:val="32"/>
        </w:rPr>
        <w:t>%，主要原因是今年上级政府性一般公共预算拨款数额增加，因此比去年上升。</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2.收入情况。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年全年收入</w:t>
      </w:r>
      <w:r>
        <w:rPr>
          <w:rFonts w:hint="eastAsia" w:ascii="仿宋_GB2312" w:hAnsi="仿宋" w:eastAsia="仿宋_GB2312"/>
          <w:sz w:val="32"/>
          <w:szCs w:val="32"/>
          <w:lang w:val="en-US" w:eastAsia="zh-CN"/>
        </w:rPr>
        <w:t>114.64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增加22.12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上升23.9</w:t>
      </w:r>
      <w:r>
        <w:rPr>
          <w:rFonts w:hint="eastAsia" w:ascii="仿宋_GB2312" w:hAnsi="仿宋" w:eastAsia="仿宋_GB2312"/>
          <w:sz w:val="32"/>
          <w:szCs w:val="32"/>
        </w:rPr>
        <w:t>%，主要原因是今年上级政府性一般公共预算拨款数额增加，因此比去年上升</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3.支出情况。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年全年支出</w:t>
      </w:r>
      <w:r>
        <w:rPr>
          <w:rFonts w:hint="eastAsia" w:ascii="仿宋_GB2312" w:hAnsi="仿宋" w:eastAsia="仿宋_GB2312"/>
          <w:sz w:val="32"/>
          <w:szCs w:val="32"/>
          <w:lang w:val="en-US" w:eastAsia="zh-CN"/>
        </w:rPr>
        <w:t>114.64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增加22.12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上升23.9</w:t>
      </w:r>
      <w:r>
        <w:rPr>
          <w:rFonts w:hint="eastAsia" w:ascii="仿宋_GB2312" w:hAnsi="仿宋" w:eastAsia="仿宋_GB2312"/>
          <w:sz w:val="32"/>
          <w:szCs w:val="32"/>
        </w:rPr>
        <w:t>%，主要原因是今年上级政府性一般公共预算拨款数额增加，因此比去年上升。</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（二）财政拨款收入支出决算总体情况说明</w:t>
      </w:r>
    </w:p>
    <w:p>
      <w:pPr>
        <w:snapToGrid w:val="0"/>
        <w:spacing w:line="520" w:lineRule="exact"/>
        <w:ind w:firstLine="640" w:firstLineChars="200"/>
        <w:rPr>
          <w:rFonts w:hint="eastAsia" w:ascii="仿宋_GB2312" w:hAnsi="仿宋" w:eastAsia="仿宋_GB2312"/>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年度财政拨款收、支总计</w:t>
      </w:r>
      <w:r>
        <w:rPr>
          <w:rFonts w:hint="eastAsia" w:ascii="仿宋_GB2312" w:hAnsi="仿宋" w:eastAsia="仿宋_GB2312"/>
          <w:sz w:val="32"/>
          <w:szCs w:val="32"/>
          <w:lang w:val="en-US" w:eastAsia="zh-CN"/>
        </w:rPr>
        <w:t>114.64</w:t>
      </w:r>
      <w:r>
        <w:rPr>
          <w:rFonts w:hint="eastAsia" w:ascii="方正仿宋_GBK" w:hAnsi="方正仿宋_GBK" w:eastAsia="方正仿宋_GBK" w:cs="方正仿宋_GBK"/>
          <w:color w:val="auto"/>
          <w:sz w:val="32"/>
          <w:szCs w:val="32"/>
        </w:rPr>
        <w:t>万元。与202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年相比，财政拨款收、支总计各</w:t>
      </w:r>
      <w:r>
        <w:rPr>
          <w:rFonts w:hint="eastAsia" w:ascii="仿宋_GB2312" w:hAnsi="仿宋" w:eastAsia="仿宋_GB2312"/>
          <w:sz w:val="32"/>
          <w:szCs w:val="32"/>
          <w:lang w:val="en-US" w:eastAsia="zh-CN"/>
        </w:rPr>
        <w:t>增加22.12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上升23.9</w:t>
      </w:r>
      <w:r>
        <w:rPr>
          <w:rFonts w:hint="eastAsia" w:ascii="仿宋_GB2312" w:hAnsi="仿宋" w:eastAsia="仿宋_GB2312"/>
          <w:sz w:val="32"/>
          <w:szCs w:val="32"/>
        </w:rPr>
        <w:t>%，主要原因是今年上级政府性一般公共预算拨款数额增加，因此比去年上升。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1.收入情况。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年度一般公共预算财政拨款收入</w:t>
      </w:r>
      <w:r>
        <w:rPr>
          <w:rFonts w:hint="eastAsia" w:ascii="仿宋_GB2312" w:hAnsi="仿宋" w:eastAsia="仿宋_GB2312"/>
          <w:sz w:val="32"/>
          <w:szCs w:val="32"/>
          <w:lang w:val="en-US" w:eastAsia="zh-CN"/>
        </w:rPr>
        <w:t>114.64</w:t>
      </w:r>
      <w:r>
        <w:rPr>
          <w:rFonts w:hint="eastAsia" w:ascii="方正仿宋_GBK" w:hAnsi="方正仿宋_GBK" w:eastAsia="方正仿宋_GBK" w:cs="方正仿宋_GBK"/>
          <w:color w:val="auto"/>
          <w:sz w:val="32"/>
          <w:szCs w:val="32"/>
        </w:rPr>
        <w:t>万元，较上年决算数</w:t>
      </w:r>
      <w:r>
        <w:rPr>
          <w:rFonts w:hint="eastAsia" w:ascii="仿宋_GB2312" w:hAnsi="仿宋" w:eastAsia="仿宋_GB2312"/>
          <w:sz w:val="32"/>
          <w:szCs w:val="32"/>
          <w:lang w:val="en-US" w:eastAsia="zh-CN"/>
        </w:rPr>
        <w:t>增加22.12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上升23.9</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lang w:eastAsia="zh-CN"/>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增加1.73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上升1.53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文化旅游体育与传媒</w:t>
      </w:r>
      <w:r>
        <w:rPr>
          <w:rFonts w:hint="eastAsia" w:ascii="方正仿宋_GBK" w:hAnsi="方正仿宋_GBK" w:eastAsia="方正仿宋_GBK" w:cs="方正仿宋_GBK"/>
          <w:sz w:val="32"/>
          <w:szCs w:val="32"/>
        </w:rPr>
        <w:t>支出增加。此外，年初财政拨款结转和结余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p>
    <w:p>
      <w:pPr>
        <w:snapToGrid w:val="0"/>
        <w:spacing w:line="520" w:lineRule="exact"/>
        <w:ind w:firstLine="643" w:firstLineChars="200"/>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2.支出情况。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w:t>
      </w:r>
      <w:r>
        <w:rPr>
          <w:rFonts w:hint="eastAsia" w:ascii="仿宋_GB2312" w:hAnsi="仿宋" w:eastAsia="仿宋_GB2312"/>
          <w:sz w:val="32"/>
          <w:szCs w:val="32"/>
          <w:lang w:val="en-US" w:eastAsia="zh-CN"/>
        </w:rPr>
        <w:t>114.64</w:t>
      </w:r>
      <w:r>
        <w:rPr>
          <w:rFonts w:hint="eastAsia" w:ascii="方正仿宋_GBK" w:hAnsi="方正仿宋_GBK" w:eastAsia="方正仿宋_GBK" w:cs="方正仿宋_GBK"/>
          <w:color w:val="auto"/>
          <w:sz w:val="32"/>
          <w:szCs w:val="32"/>
        </w:rPr>
        <w:t>万元，较上年决算数</w:t>
      </w:r>
      <w:r>
        <w:rPr>
          <w:rFonts w:hint="eastAsia" w:ascii="仿宋_GB2312" w:hAnsi="仿宋" w:eastAsia="仿宋_GB2312"/>
          <w:sz w:val="32"/>
          <w:szCs w:val="32"/>
          <w:lang w:val="en-US" w:eastAsia="zh-CN"/>
        </w:rPr>
        <w:t>增加22.12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上升23.9</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。主要原因是今年上级政府性一般公共预算拨款数额增加，因此比去年上升</w:t>
      </w:r>
      <w:r>
        <w:rPr>
          <w:rFonts w:hint="eastAsia" w:ascii="仿宋_GB2312" w:hAnsi="仿宋" w:eastAsia="仿宋_GB2312"/>
          <w:sz w:val="32"/>
          <w:szCs w:val="32"/>
        </w:rPr>
        <w:t>。</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增加1.73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上升1.53</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lang w:val="en-US" w:eastAsia="zh-CN"/>
        </w:rPr>
        <w:t>社会保障和就业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文化旅游体育与传媒</w:t>
      </w:r>
      <w:r>
        <w:rPr>
          <w:rFonts w:hint="eastAsia" w:ascii="方正仿宋_GBK" w:hAnsi="方正仿宋_GBK" w:eastAsia="方正仿宋_GBK" w:cs="方正仿宋_GBK"/>
          <w:sz w:val="32"/>
          <w:szCs w:val="32"/>
        </w:rPr>
        <w:t>支出增加</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3.结转结余情况。</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年度年末一般公共预算财政拨款结转和结余0.00万元，较上年决算数增加0.00万元，增长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color w:val="auto"/>
          <w:sz w:val="32"/>
          <w:szCs w:val="32"/>
        </w:rPr>
        <w:t>4.比较情况。</w:t>
      </w:r>
      <w:r>
        <w:rPr>
          <w:rFonts w:hint="eastAsia" w:ascii="方正仿宋_GBK" w:hAnsi="方正仿宋_GBK" w:eastAsia="方正仿宋_GBK" w:cs="方正仿宋_GBK"/>
          <w:color w:val="auto"/>
          <w:sz w:val="32"/>
          <w:szCs w:val="32"/>
        </w:rPr>
        <w:t>本部门202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）社会保障与就业支出</w:t>
      </w:r>
      <w:r>
        <w:rPr>
          <w:rFonts w:hint="eastAsia" w:ascii="方正仿宋_GBK" w:hAnsi="方正仿宋_GBK" w:eastAsia="方正仿宋_GBK" w:cs="方正仿宋_GBK"/>
          <w:color w:val="auto"/>
          <w:sz w:val="32"/>
          <w:szCs w:val="32"/>
          <w:lang w:val="en-US" w:eastAsia="zh-CN"/>
        </w:rPr>
        <w:t>12.16</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10.61</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增加3.46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上升39.77</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shd w:val="clear" w:color="auto" w:fill="auto"/>
          <w:lang w:val="en-US" w:eastAsia="zh-CN"/>
        </w:rPr>
        <w:t>增加了人员的社保费用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）卫生健康支出</w:t>
      </w:r>
      <w:r>
        <w:rPr>
          <w:rFonts w:hint="eastAsia" w:ascii="方正仿宋_GBK" w:hAnsi="方正仿宋_GBK" w:eastAsia="方正仿宋_GBK" w:cs="方正仿宋_GBK"/>
          <w:color w:val="auto"/>
          <w:sz w:val="32"/>
          <w:szCs w:val="32"/>
          <w:lang w:val="en-US" w:eastAsia="zh-CN"/>
        </w:rPr>
        <w:t>5.04</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4.4</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减少0.4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下降7.35</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调整了医疗保险的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lang w:val="en-US" w:eastAsia="zh-CN"/>
        </w:rPr>
        <w:t>文化旅游体育与传媒</w:t>
      </w:r>
      <w:r>
        <w:rPr>
          <w:rFonts w:hint="eastAsia" w:ascii="方正仿宋_GBK" w:hAnsi="方正仿宋_GBK" w:eastAsia="方正仿宋_GBK" w:cs="方正仿宋_GBK"/>
          <w:color w:val="auto"/>
          <w:sz w:val="32"/>
          <w:szCs w:val="32"/>
        </w:rPr>
        <w:t>支出</w:t>
      </w:r>
      <w:r>
        <w:rPr>
          <w:rFonts w:hint="eastAsia" w:ascii="方正仿宋_GBK" w:hAnsi="方正仿宋_GBK" w:eastAsia="方正仿宋_GBK" w:cs="方正仿宋_GBK"/>
          <w:color w:val="auto"/>
          <w:sz w:val="32"/>
          <w:szCs w:val="32"/>
          <w:lang w:val="en-US" w:eastAsia="zh-CN"/>
        </w:rPr>
        <w:t>93.6</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81.65</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减少0.82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下降0.87</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调整了项目支出的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）住房保障支出</w:t>
      </w:r>
      <w:r>
        <w:rPr>
          <w:rFonts w:hint="eastAsia" w:ascii="方正仿宋_GBK" w:hAnsi="方正仿宋_GBK" w:eastAsia="方正仿宋_GBK" w:cs="方正仿宋_GBK"/>
          <w:color w:val="auto"/>
          <w:sz w:val="32"/>
          <w:szCs w:val="32"/>
          <w:lang w:val="en-US" w:eastAsia="zh-CN"/>
        </w:rPr>
        <w:t>3.84</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3.35</w:t>
      </w:r>
      <w:r>
        <w:rPr>
          <w:rFonts w:hint="eastAsia" w:ascii="方正仿宋_GBK" w:hAnsi="方正仿宋_GBK" w:eastAsia="方正仿宋_GBK" w:cs="方正仿宋_GBK"/>
          <w:color w:val="auto"/>
          <w:sz w:val="32"/>
          <w:szCs w:val="32"/>
        </w:rPr>
        <w:t>%，较年初预算数</w:t>
      </w:r>
      <w:r>
        <w:rPr>
          <w:rFonts w:hint="eastAsia" w:ascii="方正仿宋_GBK" w:hAnsi="方正仿宋_GBK" w:eastAsia="方正仿宋_GBK" w:cs="方正仿宋_GBK"/>
          <w:color w:val="auto"/>
          <w:sz w:val="32"/>
          <w:szCs w:val="32"/>
          <w:lang w:val="en-US" w:eastAsia="zh-CN"/>
        </w:rPr>
        <w:t>减少0.51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下降11.72</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调整了住房公积金的</w:t>
      </w:r>
      <w:r>
        <w:rPr>
          <w:rFonts w:hint="eastAsia" w:ascii="方正仿宋_GBK" w:hAnsi="方正仿宋_GBK" w:eastAsia="方正仿宋_GBK" w:cs="方正仿宋_GBK"/>
          <w:color w:val="auto"/>
          <w:sz w:val="32"/>
          <w:szCs w:val="32"/>
          <w:shd w:val="clear" w:color="auto" w:fill="auto"/>
          <w:lang w:val="en-US" w:eastAsia="zh-CN"/>
        </w:rPr>
        <w:t>费用</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年度一般公共预算财政拨款基本支出</w:t>
      </w:r>
      <w:r>
        <w:rPr>
          <w:rFonts w:hint="eastAsia" w:ascii="仿宋_GB2312" w:hAnsi="仿宋" w:eastAsia="仿宋_GB2312"/>
          <w:sz w:val="32"/>
          <w:szCs w:val="32"/>
          <w:lang w:val="en-US" w:eastAsia="zh-CN"/>
        </w:rPr>
        <w:t>114.64</w:t>
      </w:r>
      <w:r>
        <w:rPr>
          <w:rFonts w:hint="eastAsia" w:ascii="方正仿宋_GBK" w:hAnsi="方正仿宋_GBK" w:eastAsia="方正仿宋_GBK" w:cs="方正仿宋_GBK"/>
          <w:color w:val="auto"/>
          <w:sz w:val="32"/>
          <w:szCs w:val="32"/>
        </w:rPr>
        <w:t>万元。其中：人员经费</w:t>
      </w:r>
      <w:r>
        <w:rPr>
          <w:rFonts w:hint="eastAsia" w:ascii="方正仿宋_GBK" w:hAnsi="方正仿宋_GBK" w:eastAsia="方正仿宋_GBK" w:cs="方正仿宋_GBK"/>
          <w:color w:val="auto"/>
          <w:sz w:val="32"/>
          <w:szCs w:val="32"/>
          <w:lang w:val="en-US" w:eastAsia="zh-CN"/>
        </w:rPr>
        <w:t>99.88</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增加21.82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上升27.95</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。人员经费用途主要包括</w:t>
      </w:r>
      <w:r>
        <w:rPr>
          <w:rFonts w:hint="eastAsia" w:ascii="方正仿宋_GBK" w:hAnsi="方正仿宋_GBK" w:eastAsia="方正仿宋_GBK" w:cs="方正仿宋_GBK"/>
          <w:color w:val="auto"/>
          <w:sz w:val="32"/>
          <w:szCs w:val="32"/>
          <w:shd w:val="clear" w:color="auto" w:fill="auto"/>
        </w:rPr>
        <w:t>工资、绩效、补助等</w:t>
      </w: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14.77</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上升2.07</w:t>
      </w:r>
      <w:r>
        <w:rPr>
          <w:rFonts w:hint="eastAsia" w:ascii="方正仿宋_GBK" w:hAnsi="方正仿宋_GBK" w:eastAsia="方正仿宋_GBK" w:cs="方正仿宋_GBK"/>
          <w:color w:val="auto"/>
          <w:sz w:val="32"/>
          <w:szCs w:val="32"/>
        </w:rPr>
        <w:t>%，主要原因是</w:t>
      </w:r>
      <w:r>
        <w:rPr>
          <w:rFonts w:hint="eastAsia" w:ascii="仿宋_GB2312" w:hAnsi="仿宋" w:eastAsia="仿宋_GB2312"/>
          <w:sz w:val="32"/>
          <w:szCs w:val="32"/>
        </w:rPr>
        <w:t>单位工作人员、工资调整等变动</w:t>
      </w:r>
      <w:r>
        <w:rPr>
          <w:rFonts w:hint="eastAsia" w:ascii="方正仿宋_GBK" w:hAnsi="方正仿宋_GBK" w:eastAsia="方正仿宋_GBK" w:cs="方正仿宋_GBK"/>
          <w:color w:val="auto"/>
          <w:sz w:val="32"/>
          <w:szCs w:val="32"/>
        </w:rPr>
        <w:t>。公用经费用途主要包括</w:t>
      </w:r>
      <w:r>
        <w:rPr>
          <w:rFonts w:hint="eastAsia" w:ascii="方正仿宋_GBK" w:hAnsi="方正仿宋_GBK" w:eastAsia="方正仿宋_GBK" w:cs="方正仿宋_GBK"/>
          <w:color w:val="auto"/>
          <w:sz w:val="32"/>
          <w:szCs w:val="32"/>
          <w:shd w:val="clear" w:color="auto" w:fill="auto"/>
        </w:rPr>
        <w:t>办公费用、三公经费、伙食费、印刷费、水电费等。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年度政府性基金预算财政拨款年初结转结余0.00万元，年末结转结余0.00万元。本年收入</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本年支出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w:t>
      </w:r>
      <w:r>
        <w:rPr>
          <w:rFonts w:hint="eastAsia" w:ascii="方正仿宋_GBK" w:hAnsi="方正仿宋_GBK" w:eastAsia="方正仿宋_GBK" w:cs="方正仿宋_GBK"/>
          <w:color w:val="auto"/>
          <w:sz w:val="32"/>
          <w:szCs w:val="32"/>
          <w:lang w:val="en-US" w:eastAsia="zh-CN"/>
        </w:rPr>
        <w:t>增加0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本单位无政府性基金预算</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（六）国有资本经营预算财政拨款支出决算情况说明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auto"/>
        </w:rPr>
        <w:t xml:space="preserve">本部门 </w:t>
      </w:r>
      <w:r>
        <w:rPr>
          <w:rFonts w:hint="eastAsia" w:ascii="方正仿宋_GBK" w:hAnsi="方正仿宋_GBK" w:eastAsia="方正仿宋_GBK" w:cs="方正仿宋_GBK"/>
          <w:color w:val="auto"/>
          <w:sz w:val="32"/>
          <w:szCs w:val="32"/>
          <w:shd w:val="clear" w:color="auto" w:fill="auto"/>
          <w:lang w:eastAsia="zh-CN"/>
        </w:rPr>
        <w:t>202</w:t>
      </w:r>
      <w:r>
        <w:rPr>
          <w:rFonts w:hint="eastAsia" w:ascii="方正仿宋_GBK" w:hAnsi="方正仿宋_GBK" w:eastAsia="方正仿宋_GBK" w:cs="方正仿宋_GBK"/>
          <w:color w:val="auto"/>
          <w:sz w:val="32"/>
          <w:szCs w:val="32"/>
          <w:shd w:val="clear" w:color="auto" w:fill="auto"/>
          <w:lang w:val="en-US" w:eastAsia="zh-CN"/>
        </w:rPr>
        <w:t>4</w:t>
      </w:r>
      <w:r>
        <w:rPr>
          <w:rFonts w:hint="eastAsia" w:ascii="方正仿宋_GBK" w:hAnsi="方正仿宋_GBK" w:eastAsia="方正仿宋_GBK" w:cs="方正仿宋_GBK"/>
          <w:color w:val="auto"/>
          <w:sz w:val="32"/>
          <w:szCs w:val="32"/>
          <w:shd w:val="clear" w:color="auto" w:fill="auto"/>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本单位无公务用车，无“三公”经费支出。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本年度会议费支出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本单位无线下</w:t>
      </w:r>
      <w:r>
        <w:rPr>
          <w:rFonts w:hint="eastAsia" w:ascii="方正仿宋_GBK" w:hAnsi="方正仿宋_GBK" w:eastAsia="方正仿宋_GBK" w:cs="方正仿宋_GBK"/>
          <w:color w:val="auto"/>
          <w:sz w:val="32"/>
          <w:szCs w:val="32"/>
        </w:rPr>
        <w:t>会议。本年度培训费支出</w:t>
      </w:r>
      <w:r>
        <w:rPr>
          <w:rFonts w:hint="eastAsia" w:ascii="方正仿宋_GBK" w:hAnsi="方正仿宋_GBK" w:eastAsia="方正仿宋_GBK" w:cs="方正仿宋_GBK"/>
          <w:color w:val="auto"/>
          <w:sz w:val="32"/>
          <w:szCs w:val="32"/>
          <w:lang w:val="en-US" w:eastAsia="zh-CN"/>
        </w:rPr>
        <w:t>0.04</w:t>
      </w:r>
      <w:r>
        <w:rPr>
          <w:rFonts w:hint="eastAsia" w:ascii="方正仿宋_GBK" w:hAnsi="方正仿宋_GBK" w:eastAsia="方正仿宋_GBK" w:cs="方正仿宋_GBK"/>
          <w:color w:val="auto"/>
          <w:sz w:val="32"/>
          <w:szCs w:val="32"/>
        </w:rPr>
        <w:t>万元，较上年决算数增加</w:t>
      </w:r>
      <w:r>
        <w:rPr>
          <w:rFonts w:hint="eastAsia" w:ascii="方正仿宋_GBK" w:hAnsi="方正仿宋_GBK" w:eastAsia="方正仿宋_GBK" w:cs="方正仿宋_GBK"/>
          <w:color w:val="auto"/>
          <w:sz w:val="32"/>
          <w:szCs w:val="32"/>
          <w:lang w:val="en-US" w:eastAsia="zh-CN"/>
        </w:rPr>
        <w:t>0.04</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%，主要原因是继续教育学习网上培训费</w:t>
      </w:r>
      <w:r>
        <w:rPr>
          <w:rFonts w:hint="eastAsia" w:ascii="方正仿宋_GBK" w:hAnsi="方正仿宋_GBK" w:eastAsia="方正仿宋_GBK" w:cs="方正仿宋_GBK"/>
          <w:color w:val="auto"/>
          <w:sz w:val="32"/>
          <w:szCs w:val="32"/>
          <w:lang w:val="en-US" w:eastAsia="zh-CN"/>
        </w:rPr>
        <w:t>增加</w:t>
      </w:r>
      <w:r>
        <w:rPr>
          <w:rFonts w:hint="eastAsia" w:ascii="方正仿宋_GBK" w:hAnsi="方正仿宋_GBK" w:eastAsia="方正仿宋_GBK" w:cs="方正仿宋_GBK"/>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（二）机关运行经费支出情况说明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年度本部门机关运行经费支出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万元，主要用于开支</w:t>
      </w:r>
      <w:r>
        <w:rPr>
          <w:rFonts w:hint="eastAsia" w:ascii="方正仿宋_GBK" w:hAnsi="方正仿宋_GBK" w:eastAsia="方正仿宋_GBK" w:cs="方正仿宋_GBK"/>
          <w:color w:val="auto"/>
          <w:sz w:val="32"/>
          <w:szCs w:val="32"/>
          <w:shd w:val="clear" w:color="auto" w:fill="auto"/>
        </w:rPr>
        <w:t>办公用品消耗、水电费、印刷费等</w:t>
      </w:r>
      <w:r>
        <w:rPr>
          <w:rFonts w:hint="eastAsia" w:ascii="方正仿宋_GBK" w:hAnsi="方正仿宋_GBK" w:eastAsia="方正仿宋_GBK" w:cs="方正仿宋_GBK"/>
          <w:color w:val="auto"/>
          <w:sz w:val="32"/>
          <w:szCs w:val="32"/>
        </w:rPr>
        <w:t>。机关运行经费较上年决算数</w:t>
      </w:r>
      <w:r>
        <w:rPr>
          <w:rFonts w:hint="eastAsia" w:ascii="方正仿宋_GBK" w:hAnsi="方正仿宋_GBK" w:eastAsia="方正仿宋_GBK" w:cs="方正仿宋_GBK"/>
          <w:color w:val="auto"/>
          <w:sz w:val="32"/>
          <w:szCs w:val="32"/>
          <w:lang w:val="en-US" w:eastAsia="zh-CN"/>
        </w:rPr>
        <w:t>增加0万</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val="en-US" w:eastAsia="zh-CN"/>
        </w:rPr>
        <w:t>上升0</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本单位是三江街道下属事业单位，无机关运行经费</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（三）国有资产占用情况说明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年12月31日，本部门共有车辆</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辆，其中，副部（省）级及以上领导用车0辆、主要领导干部用车0辆、机要通信用车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辆、应急保障用车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辆、执法执勤用车0辆，特种专业技术用车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辆，离退休干部用车0辆，其他用车0辆。单价100万元（含）以上设备（不含车辆）0台（套）。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楷体_GBK" w:hAnsi="方正楷体_GBK" w:eastAsia="方正楷体_GBK" w:cs="方正楷体_GBK"/>
          <w:b/>
          <w:bCs/>
          <w:color w:val="auto"/>
          <w:sz w:val="32"/>
          <w:szCs w:val="32"/>
          <w:shd w:val="clear" w:color="auto" w:fill="auto"/>
        </w:rPr>
      </w:pPr>
      <w:r>
        <w:rPr>
          <w:rFonts w:hint="eastAsia" w:ascii="方正楷体_GBK" w:hAnsi="方正楷体_GBK" w:eastAsia="方正楷体_GBK" w:cs="方正楷体_GBK"/>
          <w:b/>
          <w:bCs/>
          <w:color w:val="auto"/>
          <w:sz w:val="32"/>
          <w:szCs w:val="32"/>
          <w:shd w:val="clear" w:color="auto" w:fill="auto"/>
        </w:rPr>
        <w:t>（四）政府采购支出说明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年度本部门政府采购支出总额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万元，其中：政府采购货物支出0.00万元、政府采购工程支出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万元、政府采购服务支出</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万元。授予中小企业合同金额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%，其中：授予小微企业合同金额</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万元，占政府采购支出总额的</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本单位是三江街道下属事业单位，绩效评价由机关本级统一进行。</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none"/>
          <w:shd w:val="clear" w:fill="FFFFFF"/>
          <w:lang w:val="en-US" w:eastAsia="zh-CN"/>
        </w:rPr>
      </w:pPr>
      <w:r>
        <w:rPr>
          <w:rFonts w:hint="eastAsia" w:ascii="方正仿宋_GBK" w:hAnsi="方正仿宋_GBK" w:eastAsia="方正仿宋_GBK" w:cs="方正仿宋_GBK"/>
          <w:b w:val="0"/>
          <w:bCs w:val="0"/>
          <w:kern w:val="0"/>
          <w:sz w:val="32"/>
          <w:szCs w:val="32"/>
          <w:highlight w:val="none"/>
          <w:shd w:val="clear" w:fill="FFFFFF"/>
          <w:lang w:val="en-US" w:eastAsia="zh-CN"/>
        </w:rPr>
        <w:t>无</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kern w:val="0"/>
          <w:sz w:val="32"/>
          <w:szCs w:val="32"/>
          <w:shd w:val="clear" w:fill="FFFFFF"/>
          <w:lang w:val="en-US" w:eastAsia="zh-CN"/>
        </w:rPr>
        <w:t>李金洋</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15310310567</w:t>
      </w: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重庆市綦江区三江街道新时代文明实践服务中心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114.64</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重庆市綦江区三江街道新时代文明实践服务中心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114.64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114.64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重庆市綦江区三江街道新时代文明实践服务中心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114.64</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114.64</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重庆市綦江区三江街道新时代文明实践服务中心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重庆市綦江区三江街道新时代文明实践服务中心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114.64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重庆市綦江区三江街道新时代文明实践服务中心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99.88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重庆市綦江区三江街道新时代文明实践服务中心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重庆市綦江区三江街道新时代文明实践服务中心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重庆市綦江区三江街道新时代文明实践服务中心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085E8"/>
    <w:multiLevelType w:val="singleLevel"/>
    <w:tmpl w:val="FF4085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5E042F"/>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0</TotalTime>
  <ScaleCrop>false</ScaleCrop>
  <LinksUpToDate>false</LinksUpToDate>
  <CharactersWithSpaces>26302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2025-10-14T02:58:42Z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BB46EABDBB2749749395447164B066B3_12</vt:lpwstr>
  </property>
</Properties>
</file>