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重庆市綦江区三江街道综合行政执法大队</w:t>
      </w:r>
    </w:p>
    <w:p>
      <w:pPr>
        <w:pStyle w:val="6"/>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基本情况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1．主要职能。</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主要负责集中行使依法授权或委托的农林水利、规划建设、卫生健康、环境保护、文化旅游、城市管理等领域的行政执法。</w:t>
      </w:r>
    </w:p>
    <w:p>
      <w:pPr>
        <w:numPr>
          <w:ilvl w:val="0"/>
          <w:numId w:val="1"/>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机构情况，包括当年变动情况及原因。</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Style w:val="10"/>
          <w:rFonts w:hint="eastAsia" w:ascii="方正仿宋_GBK" w:hAnsi="方正仿宋_GBK" w:eastAsia="方正仿宋_GBK" w:cs="方正仿宋_GBK"/>
          <w:b w:val="0"/>
          <w:bCs/>
          <w:sz w:val="32"/>
          <w:szCs w:val="32"/>
          <w:shd w:val="clear" w:color="auto" w:fill="FFFFFF"/>
        </w:rPr>
      </w:pPr>
      <w:r>
        <w:rPr>
          <w:rFonts w:hint="eastAsia" w:ascii="方正仿宋_GBK" w:hAnsi="方正仿宋_GBK" w:eastAsia="方正仿宋_GBK" w:cs="方正仿宋_GBK"/>
          <w:color w:val="auto"/>
          <w:sz w:val="32"/>
          <w:szCs w:val="32"/>
          <w:shd w:val="clear" w:color="auto" w:fill="auto"/>
        </w:rPr>
        <w:t>本单位设事业单位1个，是综合行政执法大队。</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（一）</w:t>
      </w:r>
      <w:r>
        <w:rPr>
          <w:rFonts w:hint="eastAsia" w:ascii="方正楷体_GBK" w:hAnsi="方正楷体_GBK" w:eastAsia="方正楷体_GBK" w:cs="方正楷体_GBK"/>
          <w:b/>
          <w:bCs/>
          <w:color w:val="auto"/>
          <w:sz w:val="32"/>
          <w:szCs w:val="32"/>
          <w:shd w:val="clear" w:color="auto" w:fill="auto"/>
        </w:rPr>
        <w:t>收入支出决算总体情况说明</w:t>
      </w:r>
    </w:p>
    <w:p>
      <w:pPr>
        <w:snapToGrid w:val="0"/>
        <w:spacing w:line="520" w:lineRule="exact"/>
        <w:ind w:firstLine="643" w:firstLineChars="200"/>
        <w:rPr>
          <w:rFonts w:hint="eastAsia" w:ascii="方正仿宋_GBK" w:hAnsi="方正仿宋_GBK" w:eastAsia="方正仿宋_GBK" w:cs="方正仿宋_GBK"/>
          <w:color w:val="auto"/>
          <w:sz w:val="32"/>
          <w:szCs w:val="32"/>
          <w:lang w:val="en-US" w:eastAsia="zh-CN"/>
        </w:rPr>
      </w:pPr>
      <w:r>
        <w:rPr>
          <w:rStyle w:val="10"/>
          <w:rFonts w:hint="eastAsia" w:ascii="方正仿宋_GBK" w:hAnsi="方正仿宋_GBK" w:eastAsia="方正仿宋_GBK" w:cs="方正仿宋_GBK"/>
          <w:color w:val="auto"/>
          <w:sz w:val="32"/>
          <w:szCs w:val="32"/>
        </w:rPr>
        <w:t>1.总体情况。</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度收入总计</w:t>
      </w:r>
      <w:r>
        <w:rPr>
          <w:rFonts w:hint="eastAsia" w:ascii="仿宋_GB2312" w:hAnsi="仿宋" w:eastAsia="仿宋_GB2312"/>
          <w:sz w:val="32"/>
          <w:szCs w:val="32"/>
          <w:lang w:val="en-US" w:eastAsia="zh-CN"/>
        </w:rPr>
        <w:t>142.82</w:t>
      </w:r>
      <w:r>
        <w:rPr>
          <w:rFonts w:hint="eastAsia" w:ascii="方正仿宋_GBK" w:hAnsi="方正仿宋_GBK" w:eastAsia="方正仿宋_GBK" w:cs="方正仿宋_GBK"/>
          <w:color w:val="auto"/>
          <w:sz w:val="32"/>
          <w:szCs w:val="32"/>
        </w:rPr>
        <w:t>万元，支出总计</w:t>
      </w:r>
      <w:r>
        <w:rPr>
          <w:rFonts w:hint="eastAsia" w:ascii="仿宋_GB2312" w:hAnsi="仿宋" w:eastAsia="仿宋_GB2312"/>
          <w:sz w:val="32"/>
          <w:szCs w:val="32"/>
          <w:lang w:val="en-US" w:eastAsia="zh-CN"/>
        </w:rPr>
        <w:t>142.8</w:t>
      </w:r>
      <w:r>
        <w:rPr>
          <w:rFonts w:hint="eastAsia" w:ascii="方正仿宋_GBK" w:hAnsi="方正仿宋_GBK" w:eastAsia="方正仿宋_GBK" w:cs="方正仿宋_GBK"/>
          <w:color w:val="auto"/>
          <w:sz w:val="32"/>
          <w:szCs w:val="32"/>
        </w:rPr>
        <w:t>万元。收支较上年决算数</w:t>
      </w:r>
      <w:r>
        <w:rPr>
          <w:rFonts w:hint="eastAsia" w:ascii="仿宋_GB2312" w:hAnsi="仿宋" w:eastAsia="仿宋_GB2312"/>
          <w:sz w:val="32"/>
          <w:szCs w:val="32"/>
          <w:lang w:val="en-US" w:eastAsia="zh-CN"/>
        </w:rPr>
        <w:t>增加29.72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上升26.28</w:t>
      </w:r>
      <w:r>
        <w:rPr>
          <w:rFonts w:hint="eastAsia" w:ascii="仿宋_GB2312" w:hAnsi="仿宋" w:eastAsia="仿宋_GB2312"/>
          <w:sz w:val="32"/>
          <w:szCs w:val="32"/>
        </w:rPr>
        <w:t>%，主要原因是今年上级政府性一般公共预算拨款数额增加，因此比去年上升。</w:t>
      </w:r>
    </w:p>
    <w:p>
      <w:pPr>
        <w:snapToGrid w:val="0"/>
        <w:spacing w:line="520" w:lineRule="exact"/>
        <w:ind w:firstLine="643" w:firstLineChars="200"/>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2.收入情况。</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年全年收入</w:t>
      </w:r>
      <w:r>
        <w:rPr>
          <w:rFonts w:hint="eastAsia" w:ascii="仿宋_GB2312" w:hAnsi="仿宋" w:eastAsia="仿宋_GB2312"/>
          <w:sz w:val="32"/>
          <w:szCs w:val="32"/>
          <w:lang w:val="en-US" w:eastAsia="zh-CN"/>
        </w:rPr>
        <w:t>142.82</w:t>
      </w:r>
      <w:r>
        <w:rPr>
          <w:rFonts w:hint="eastAsia" w:ascii="仿宋_GB2312" w:hAnsi="仿宋" w:eastAsia="仿宋_GB2312"/>
          <w:sz w:val="32"/>
          <w:szCs w:val="32"/>
        </w:rPr>
        <w:t>万元，比上年</w:t>
      </w:r>
      <w:r>
        <w:rPr>
          <w:rFonts w:hint="eastAsia" w:ascii="仿宋_GB2312" w:hAnsi="仿宋" w:eastAsia="仿宋_GB2312"/>
          <w:sz w:val="32"/>
          <w:szCs w:val="32"/>
          <w:lang w:val="en-US" w:eastAsia="zh-CN"/>
        </w:rPr>
        <w:t>增加29.72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上升26.28</w:t>
      </w:r>
      <w:r>
        <w:rPr>
          <w:rFonts w:hint="eastAsia" w:ascii="仿宋_GB2312" w:hAnsi="仿宋" w:eastAsia="仿宋_GB2312"/>
          <w:sz w:val="32"/>
          <w:szCs w:val="32"/>
        </w:rPr>
        <w:t>%，主要原因是今年上级政府性一般公共预算拨款数额增加，因此比去年上升</w:t>
      </w:r>
      <w:r>
        <w:rPr>
          <w:rFonts w:hint="eastAsia" w:ascii="仿宋_GB2312" w:hAnsi="仿宋" w:eastAsia="仿宋_GB2312"/>
          <w:sz w:val="32"/>
          <w:szCs w:val="32"/>
          <w:lang w:eastAsia="zh-CN"/>
        </w:rPr>
        <w:t>。</w:t>
      </w:r>
    </w:p>
    <w:p>
      <w:pPr>
        <w:snapToGrid w:val="0"/>
        <w:spacing w:line="520" w:lineRule="exact"/>
        <w:ind w:firstLine="643" w:firstLineChars="200"/>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3.支出情况。</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年全年支出</w:t>
      </w:r>
      <w:r>
        <w:rPr>
          <w:rFonts w:hint="eastAsia" w:ascii="仿宋_GB2312" w:hAnsi="仿宋" w:eastAsia="仿宋_GB2312"/>
          <w:sz w:val="32"/>
          <w:szCs w:val="32"/>
          <w:lang w:val="en-US" w:eastAsia="zh-CN"/>
        </w:rPr>
        <w:t>142.82</w:t>
      </w:r>
      <w:r>
        <w:rPr>
          <w:rFonts w:hint="eastAsia" w:ascii="仿宋_GB2312" w:hAnsi="仿宋" w:eastAsia="仿宋_GB2312"/>
          <w:sz w:val="32"/>
          <w:szCs w:val="32"/>
        </w:rPr>
        <w:t>万元，比上年</w:t>
      </w:r>
      <w:r>
        <w:rPr>
          <w:rFonts w:hint="eastAsia" w:ascii="仿宋_GB2312" w:hAnsi="仿宋" w:eastAsia="仿宋_GB2312"/>
          <w:sz w:val="32"/>
          <w:szCs w:val="32"/>
          <w:lang w:val="en-US" w:eastAsia="zh-CN"/>
        </w:rPr>
        <w:t>增加29.72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上升26.28</w:t>
      </w:r>
      <w:r>
        <w:rPr>
          <w:rFonts w:hint="eastAsia" w:ascii="仿宋_GB2312" w:hAnsi="仿宋" w:eastAsia="仿宋_GB2312"/>
          <w:sz w:val="32"/>
          <w:szCs w:val="32"/>
        </w:rPr>
        <w:t>%，主要原因是今年上级政府性一般公共预算拨款数额增加，因此比去年上升。</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4.结转结余情况。</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年度年末结转和结余0.00万元，较上年决算数增加0.00万元，增长</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（二）财政拨款收入支出决算总体情况说明</w:t>
      </w:r>
    </w:p>
    <w:p>
      <w:pPr>
        <w:snapToGrid w:val="0"/>
        <w:spacing w:line="520" w:lineRule="exact"/>
        <w:ind w:firstLine="640" w:firstLineChars="200"/>
        <w:rPr>
          <w:rFonts w:hint="eastAsia" w:ascii="仿宋_GB2312" w:hAnsi="仿宋" w:eastAsia="仿宋_GB2312"/>
          <w:sz w:val="32"/>
          <w:szCs w:val="32"/>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年度财政拨款收、支总计</w:t>
      </w:r>
      <w:r>
        <w:rPr>
          <w:rFonts w:hint="eastAsia" w:ascii="仿宋_GB2312" w:hAnsi="仿宋" w:eastAsia="仿宋_GB2312"/>
          <w:sz w:val="32"/>
          <w:szCs w:val="32"/>
          <w:lang w:val="en-US" w:eastAsia="zh-CN"/>
        </w:rPr>
        <w:t>142.82</w:t>
      </w:r>
      <w:r>
        <w:rPr>
          <w:rFonts w:hint="eastAsia" w:ascii="方正仿宋_GBK" w:hAnsi="方正仿宋_GBK" w:eastAsia="方正仿宋_GBK" w:cs="方正仿宋_GBK"/>
          <w:color w:val="auto"/>
          <w:sz w:val="32"/>
          <w:szCs w:val="32"/>
        </w:rPr>
        <w:t>万元。与202</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年相比，财政拨款收、支总计各</w:t>
      </w:r>
      <w:r>
        <w:rPr>
          <w:rFonts w:hint="eastAsia" w:ascii="仿宋_GB2312" w:hAnsi="仿宋" w:eastAsia="仿宋_GB2312"/>
          <w:sz w:val="32"/>
          <w:szCs w:val="32"/>
          <w:lang w:val="en-US" w:eastAsia="zh-CN"/>
        </w:rPr>
        <w:t>增加29.72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上升26.28</w:t>
      </w:r>
      <w:r>
        <w:rPr>
          <w:rFonts w:hint="eastAsia" w:ascii="仿宋_GB2312" w:hAnsi="仿宋" w:eastAsia="仿宋_GB2312"/>
          <w:sz w:val="32"/>
          <w:szCs w:val="32"/>
        </w:rPr>
        <w:t>%，主要原因是今年上级政府性一般公共预算拨款数额增加，因此比去年上升。</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1.收入情况。</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年度一般公共预算财政拨款收入</w:t>
      </w:r>
      <w:r>
        <w:rPr>
          <w:rFonts w:hint="eastAsia" w:ascii="仿宋_GB2312" w:hAnsi="仿宋" w:eastAsia="仿宋_GB2312"/>
          <w:sz w:val="32"/>
          <w:szCs w:val="32"/>
          <w:lang w:val="en-US" w:eastAsia="zh-CN"/>
        </w:rPr>
        <w:t>142.82</w:t>
      </w:r>
      <w:r>
        <w:rPr>
          <w:rFonts w:hint="eastAsia" w:ascii="方正仿宋_GBK" w:hAnsi="方正仿宋_GBK" w:eastAsia="方正仿宋_GBK" w:cs="方正仿宋_GBK"/>
          <w:color w:val="auto"/>
          <w:sz w:val="32"/>
          <w:szCs w:val="32"/>
        </w:rPr>
        <w:t>万元，较上年决算数</w:t>
      </w:r>
      <w:r>
        <w:rPr>
          <w:rFonts w:hint="eastAsia" w:ascii="仿宋_GB2312" w:hAnsi="仿宋" w:eastAsia="仿宋_GB2312"/>
          <w:sz w:val="32"/>
          <w:szCs w:val="32"/>
          <w:lang w:val="en-US" w:eastAsia="zh-CN"/>
        </w:rPr>
        <w:t>增加29.72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上升26.28</w:t>
      </w:r>
      <w:r>
        <w:rPr>
          <w:rFonts w:hint="eastAsia" w:ascii="仿宋_GB2312" w:hAnsi="仿宋" w:eastAsia="仿宋_GB2312"/>
          <w:sz w:val="32"/>
          <w:szCs w:val="32"/>
        </w:rPr>
        <w:t>%</w:t>
      </w:r>
      <w:r>
        <w:rPr>
          <w:rFonts w:hint="eastAsia" w:ascii="方正仿宋_GBK" w:hAnsi="方正仿宋_GBK" w:eastAsia="方正仿宋_GBK" w:cs="方正仿宋_GBK"/>
          <w:color w:val="auto"/>
          <w:sz w:val="32"/>
          <w:szCs w:val="32"/>
        </w:rPr>
        <w:t>。主要原因是今年上级政府性一般公共预算拨款数额增加，因此比去年上升</w:t>
      </w:r>
      <w:r>
        <w:rPr>
          <w:rFonts w:hint="eastAsia" w:ascii="仿宋_GB2312" w:hAnsi="仿宋" w:eastAsia="仿宋_GB2312"/>
          <w:sz w:val="32"/>
          <w:szCs w:val="32"/>
          <w:lang w:eastAsia="zh-CN"/>
        </w:rPr>
        <w:t>。</w:t>
      </w:r>
      <w:r>
        <w:rPr>
          <w:rFonts w:hint="eastAsia" w:ascii="方正仿宋_GBK" w:hAnsi="方正仿宋_GBK" w:eastAsia="方正仿宋_GBK" w:cs="方正仿宋_GBK"/>
          <w:color w:val="auto"/>
          <w:sz w:val="32"/>
          <w:szCs w:val="32"/>
        </w:rPr>
        <w:t>较年初预算数</w:t>
      </w:r>
      <w:r>
        <w:rPr>
          <w:rFonts w:hint="eastAsia" w:ascii="方正仿宋_GBK" w:hAnsi="方正仿宋_GBK" w:eastAsia="方正仿宋_GBK" w:cs="方正仿宋_GBK"/>
          <w:color w:val="auto"/>
          <w:sz w:val="32"/>
          <w:szCs w:val="32"/>
          <w:lang w:val="en-US" w:eastAsia="zh-CN"/>
        </w:rPr>
        <w:t>增加17.51</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上升13.97</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z w:val="32"/>
          <w:szCs w:val="32"/>
        </w:rPr>
        <w:t>主要原因是</w:t>
      </w:r>
      <w:r>
        <w:rPr>
          <w:rFonts w:hint="eastAsia" w:ascii="仿宋_GB2312" w:hAnsi="仿宋" w:eastAsia="仿宋_GB2312"/>
          <w:sz w:val="32"/>
          <w:szCs w:val="32"/>
          <w:lang w:val="en-US" w:eastAsia="zh-CN"/>
        </w:rPr>
        <w:t>社会保障和就业</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住房保障</w:t>
      </w:r>
      <w:r>
        <w:rPr>
          <w:rFonts w:hint="eastAsia" w:ascii="方正仿宋_GBK" w:hAnsi="方正仿宋_GBK" w:eastAsia="方正仿宋_GBK" w:cs="方正仿宋_GBK"/>
          <w:sz w:val="32"/>
          <w:szCs w:val="32"/>
        </w:rPr>
        <w:t>支出增加。此外，年初财政拨款结转和结余</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w:t>
      </w:r>
    </w:p>
    <w:p>
      <w:pPr>
        <w:snapToGrid w:val="0"/>
        <w:spacing w:line="520" w:lineRule="exact"/>
        <w:ind w:firstLine="643" w:firstLineChars="200"/>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2.支出情况。</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年度一般公共预算财政拨款支出</w:t>
      </w:r>
      <w:r>
        <w:rPr>
          <w:rFonts w:hint="eastAsia" w:ascii="仿宋_GB2312" w:hAnsi="仿宋" w:eastAsia="仿宋_GB2312"/>
          <w:sz w:val="32"/>
          <w:szCs w:val="32"/>
          <w:lang w:val="en-US" w:eastAsia="zh-CN"/>
        </w:rPr>
        <w:t>142.82</w:t>
      </w:r>
      <w:r>
        <w:rPr>
          <w:rFonts w:hint="eastAsia" w:ascii="方正仿宋_GBK" w:hAnsi="方正仿宋_GBK" w:eastAsia="方正仿宋_GBK" w:cs="方正仿宋_GBK"/>
          <w:color w:val="auto"/>
          <w:sz w:val="32"/>
          <w:szCs w:val="32"/>
        </w:rPr>
        <w:t>万元，较上年决算数</w:t>
      </w:r>
      <w:r>
        <w:rPr>
          <w:rFonts w:hint="eastAsia" w:ascii="仿宋_GB2312" w:hAnsi="仿宋" w:eastAsia="仿宋_GB2312"/>
          <w:sz w:val="32"/>
          <w:szCs w:val="32"/>
          <w:lang w:val="en-US" w:eastAsia="zh-CN"/>
        </w:rPr>
        <w:t>增加29.72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上升26.28</w:t>
      </w:r>
      <w:r>
        <w:rPr>
          <w:rFonts w:hint="eastAsia" w:ascii="仿宋_GB2312" w:hAnsi="仿宋" w:eastAsia="仿宋_GB2312"/>
          <w:sz w:val="32"/>
          <w:szCs w:val="32"/>
        </w:rPr>
        <w:t>%</w:t>
      </w:r>
      <w:r>
        <w:rPr>
          <w:rFonts w:hint="eastAsia" w:ascii="方正仿宋_GBK" w:hAnsi="方正仿宋_GBK" w:eastAsia="方正仿宋_GBK" w:cs="方正仿宋_GBK"/>
          <w:color w:val="auto"/>
          <w:sz w:val="32"/>
          <w:szCs w:val="32"/>
        </w:rPr>
        <w:t>。主要原因是今年上级政府性一般公共预算拨款数额增加，因此比去年上升</w:t>
      </w:r>
      <w:r>
        <w:rPr>
          <w:rFonts w:hint="eastAsia" w:ascii="仿宋_GB2312" w:hAnsi="仿宋" w:eastAsia="仿宋_GB2312"/>
          <w:sz w:val="32"/>
          <w:szCs w:val="32"/>
        </w:rPr>
        <w:t>。</w:t>
      </w:r>
      <w:r>
        <w:rPr>
          <w:rFonts w:hint="eastAsia" w:ascii="方正仿宋_GBK" w:hAnsi="方正仿宋_GBK" w:eastAsia="方正仿宋_GBK" w:cs="方正仿宋_GBK"/>
          <w:color w:val="auto"/>
          <w:sz w:val="32"/>
          <w:szCs w:val="32"/>
        </w:rPr>
        <w:t>较年初预算数</w:t>
      </w:r>
      <w:r>
        <w:rPr>
          <w:rFonts w:hint="eastAsia" w:ascii="方正仿宋_GBK" w:hAnsi="方正仿宋_GBK" w:eastAsia="方正仿宋_GBK" w:cs="方正仿宋_GBK"/>
          <w:color w:val="auto"/>
          <w:sz w:val="32"/>
          <w:szCs w:val="32"/>
          <w:lang w:val="en-US" w:eastAsia="zh-CN"/>
        </w:rPr>
        <w:t>增加17.51</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上升13.97</w:t>
      </w:r>
      <w:r>
        <w:rPr>
          <w:rFonts w:hint="eastAsia" w:ascii="方正仿宋_GBK" w:hAnsi="方正仿宋_GBK" w:eastAsia="方正仿宋_GBK" w:cs="方正仿宋_GBK"/>
          <w:color w:val="auto"/>
          <w:sz w:val="32"/>
          <w:szCs w:val="32"/>
        </w:rPr>
        <w:t>%。主要原因是</w:t>
      </w:r>
      <w:r>
        <w:rPr>
          <w:rFonts w:hint="eastAsia" w:ascii="仿宋_GB2312" w:hAnsi="仿宋" w:eastAsia="仿宋_GB2312"/>
          <w:sz w:val="32"/>
          <w:szCs w:val="32"/>
          <w:lang w:val="en-US" w:eastAsia="zh-CN"/>
        </w:rPr>
        <w:t>社会保障和就业</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住房保障</w:t>
      </w:r>
      <w:r>
        <w:rPr>
          <w:rFonts w:hint="eastAsia" w:ascii="方正仿宋_GBK" w:hAnsi="方正仿宋_GBK" w:eastAsia="方正仿宋_GBK" w:cs="方正仿宋_GBK"/>
          <w:sz w:val="32"/>
          <w:szCs w:val="32"/>
        </w:rPr>
        <w:t>支出增加</w:t>
      </w:r>
      <w:r>
        <w:rPr>
          <w:rFonts w:hint="eastAsia" w:ascii="方正仿宋_GBK" w:hAnsi="方正仿宋_GBK" w:eastAsia="方正仿宋_GBK" w:cs="方正仿宋_GBK"/>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3.结转结余情况。</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年度年末一般公共预算财政拨款结转和结余0.00万元，较上年决算数增加0.00万元，增长</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4.比较情况。</w:t>
      </w:r>
      <w:r>
        <w:rPr>
          <w:rFonts w:hint="eastAsia" w:ascii="方正仿宋_GBK" w:hAnsi="方正仿宋_GBK" w:eastAsia="方正仿宋_GBK" w:cs="方正仿宋_GBK"/>
          <w:color w:val="auto"/>
          <w:sz w:val="32"/>
          <w:szCs w:val="32"/>
        </w:rPr>
        <w:t>本部门202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年度一般公共预算财政拨款支出主要用于以下几个方面：</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）社会保障与就业支出</w:t>
      </w:r>
      <w:r>
        <w:rPr>
          <w:rFonts w:hint="eastAsia" w:ascii="方正仿宋_GBK" w:hAnsi="方正仿宋_GBK" w:eastAsia="方正仿宋_GBK" w:cs="方正仿宋_GBK"/>
          <w:color w:val="auto"/>
          <w:sz w:val="32"/>
          <w:szCs w:val="32"/>
          <w:lang w:val="en-US" w:eastAsia="zh-CN"/>
        </w:rPr>
        <w:t>17.44</w:t>
      </w:r>
      <w:r>
        <w:rPr>
          <w:rFonts w:hint="eastAsia" w:ascii="方正仿宋_GBK" w:hAnsi="方正仿宋_GBK" w:eastAsia="方正仿宋_GBK" w:cs="方正仿宋_GBK"/>
          <w:color w:val="auto"/>
          <w:sz w:val="32"/>
          <w:szCs w:val="32"/>
        </w:rPr>
        <w:t>万元，占</w:t>
      </w:r>
      <w:r>
        <w:rPr>
          <w:rFonts w:hint="eastAsia" w:ascii="方正仿宋_GBK" w:hAnsi="方正仿宋_GBK" w:eastAsia="方正仿宋_GBK" w:cs="方正仿宋_GBK"/>
          <w:color w:val="auto"/>
          <w:sz w:val="32"/>
          <w:szCs w:val="32"/>
          <w:lang w:val="en-US" w:eastAsia="zh-CN"/>
        </w:rPr>
        <w:t>12.21</w:t>
      </w:r>
      <w:r>
        <w:rPr>
          <w:rFonts w:hint="eastAsia" w:ascii="方正仿宋_GBK" w:hAnsi="方正仿宋_GBK" w:eastAsia="方正仿宋_GBK" w:cs="方正仿宋_GBK"/>
          <w:color w:val="auto"/>
          <w:sz w:val="32"/>
          <w:szCs w:val="32"/>
        </w:rPr>
        <w:t>%，较年初预算数</w:t>
      </w:r>
      <w:r>
        <w:rPr>
          <w:rFonts w:hint="eastAsia" w:ascii="方正仿宋_GBK" w:hAnsi="方正仿宋_GBK" w:eastAsia="方正仿宋_GBK" w:cs="方正仿宋_GBK"/>
          <w:color w:val="auto"/>
          <w:sz w:val="32"/>
          <w:szCs w:val="32"/>
          <w:lang w:val="en-US" w:eastAsia="zh-CN"/>
        </w:rPr>
        <w:t>增加5.75</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上升49.19</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shd w:val="clear" w:color="auto" w:fill="auto"/>
          <w:lang w:val="en-US" w:eastAsia="zh-CN"/>
        </w:rPr>
        <w:t>增加了人员的社保费用</w:t>
      </w:r>
      <w:r>
        <w:rPr>
          <w:rFonts w:hint="eastAsia" w:ascii="方正仿宋_GBK" w:hAnsi="方正仿宋_GBK" w:eastAsia="方正仿宋_GBK" w:cs="方正仿宋_GBK"/>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）卫生健康支出</w:t>
      </w:r>
      <w:r>
        <w:rPr>
          <w:rFonts w:hint="eastAsia" w:ascii="方正仿宋_GBK" w:hAnsi="方正仿宋_GBK" w:eastAsia="方正仿宋_GBK" w:cs="方正仿宋_GBK"/>
          <w:color w:val="auto"/>
          <w:sz w:val="32"/>
          <w:szCs w:val="32"/>
          <w:lang w:val="en-US" w:eastAsia="zh-CN"/>
        </w:rPr>
        <w:t>5.59</w:t>
      </w:r>
      <w:r>
        <w:rPr>
          <w:rFonts w:hint="eastAsia" w:ascii="方正仿宋_GBK" w:hAnsi="方正仿宋_GBK" w:eastAsia="方正仿宋_GBK" w:cs="方正仿宋_GBK"/>
          <w:color w:val="auto"/>
          <w:sz w:val="32"/>
          <w:szCs w:val="32"/>
        </w:rPr>
        <w:t>万元，占</w:t>
      </w:r>
      <w:r>
        <w:rPr>
          <w:rFonts w:hint="eastAsia" w:ascii="方正仿宋_GBK" w:hAnsi="方正仿宋_GBK" w:eastAsia="方正仿宋_GBK" w:cs="方正仿宋_GBK"/>
          <w:color w:val="auto"/>
          <w:sz w:val="32"/>
          <w:szCs w:val="32"/>
          <w:lang w:val="en-US" w:eastAsia="zh-CN"/>
        </w:rPr>
        <w:t>3.91</w:t>
      </w:r>
      <w:r>
        <w:rPr>
          <w:rFonts w:hint="eastAsia" w:ascii="方正仿宋_GBK" w:hAnsi="方正仿宋_GBK" w:eastAsia="方正仿宋_GBK" w:cs="方正仿宋_GBK"/>
          <w:color w:val="auto"/>
          <w:sz w:val="32"/>
          <w:szCs w:val="32"/>
        </w:rPr>
        <w:t>%，较年初预算数</w:t>
      </w:r>
      <w:r>
        <w:rPr>
          <w:rFonts w:hint="eastAsia" w:ascii="方正仿宋_GBK" w:hAnsi="方正仿宋_GBK" w:eastAsia="方正仿宋_GBK" w:cs="方正仿宋_GBK"/>
          <w:color w:val="auto"/>
          <w:sz w:val="32"/>
          <w:szCs w:val="32"/>
          <w:lang w:val="en-US" w:eastAsia="zh-CN"/>
        </w:rPr>
        <w:t>增加0</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上升0</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医疗保险的</w:t>
      </w:r>
      <w:r>
        <w:rPr>
          <w:rFonts w:hint="eastAsia" w:ascii="方正仿宋_GBK" w:hAnsi="方正仿宋_GBK" w:eastAsia="方正仿宋_GBK" w:cs="方正仿宋_GBK"/>
          <w:color w:val="auto"/>
          <w:sz w:val="32"/>
          <w:szCs w:val="32"/>
          <w:shd w:val="clear" w:color="auto" w:fill="auto"/>
          <w:lang w:val="en-US" w:eastAsia="zh-CN"/>
        </w:rPr>
        <w:t>费用未增加</w:t>
      </w:r>
      <w:r>
        <w:rPr>
          <w:rFonts w:hint="eastAsia" w:ascii="方正仿宋_GBK" w:hAnsi="方正仿宋_GBK" w:eastAsia="方正仿宋_GBK" w:cs="方正仿宋_GBK"/>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）城乡社区支出</w:t>
      </w:r>
      <w:r>
        <w:rPr>
          <w:rFonts w:hint="eastAsia" w:ascii="方正仿宋_GBK" w:hAnsi="方正仿宋_GBK" w:eastAsia="方正仿宋_GBK" w:cs="方正仿宋_GBK"/>
          <w:color w:val="auto"/>
          <w:sz w:val="32"/>
          <w:szCs w:val="32"/>
          <w:lang w:val="en-US" w:eastAsia="zh-CN"/>
        </w:rPr>
        <w:t>113.55</w:t>
      </w:r>
      <w:r>
        <w:rPr>
          <w:rFonts w:hint="eastAsia" w:ascii="方正仿宋_GBK" w:hAnsi="方正仿宋_GBK" w:eastAsia="方正仿宋_GBK" w:cs="方正仿宋_GBK"/>
          <w:color w:val="auto"/>
          <w:sz w:val="32"/>
          <w:szCs w:val="32"/>
        </w:rPr>
        <w:t>万元，占</w:t>
      </w:r>
      <w:r>
        <w:rPr>
          <w:rFonts w:hint="eastAsia" w:ascii="方正仿宋_GBK" w:hAnsi="方正仿宋_GBK" w:eastAsia="方正仿宋_GBK" w:cs="方正仿宋_GBK"/>
          <w:color w:val="auto"/>
          <w:sz w:val="32"/>
          <w:szCs w:val="32"/>
          <w:lang w:val="en-US" w:eastAsia="zh-CN"/>
        </w:rPr>
        <w:t>79.51</w:t>
      </w:r>
      <w:r>
        <w:rPr>
          <w:rFonts w:hint="eastAsia" w:ascii="方正仿宋_GBK" w:hAnsi="方正仿宋_GBK" w:eastAsia="方正仿宋_GBK" w:cs="方正仿宋_GBK"/>
          <w:color w:val="auto"/>
          <w:sz w:val="32"/>
          <w:szCs w:val="32"/>
        </w:rPr>
        <w:t>%，较年初预算数</w:t>
      </w:r>
      <w:r>
        <w:rPr>
          <w:rFonts w:hint="eastAsia" w:ascii="方正仿宋_GBK" w:hAnsi="方正仿宋_GBK" w:eastAsia="方正仿宋_GBK" w:cs="方正仿宋_GBK"/>
          <w:color w:val="auto"/>
          <w:sz w:val="32"/>
          <w:szCs w:val="32"/>
          <w:lang w:val="en-US" w:eastAsia="zh-CN"/>
        </w:rPr>
        <w:t>增加11.36</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上升11.12</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调整了绩效、培训费的</w:t>
      </w:r>
      <w:r>
        <w:rPr>
          <w:rFonts w:hint="eastAsia" w:ascii="方正仿宋_GBK" w:hAnsi="方正仿宋_GBK" w:eastAsia="方正仿宋_GBK" w:cs="方正仿宋_GBK"/>
          <w:color w:val="auto"/>
          <w:sz w:val="32"/>
          <w:szCs w:val="32"/>
          <w:shd w:val="clear" w:color="auto" w:fill="auto"/>
          <w:lang w:val="en-US" w:eastAsia="zh-CN"/>
        </w:rPr>
        <w:t>费用</w:t>
      </w:r>
      <w:r>
        <w:rPr>
          <w:rFonts w:hint="eastAsia" w:ascii="方正仿宋_GBK" w:hAnsi="方正仿宋_GBK" w:eastAsia="方正仿宋_GBK" w:cs="方正仿宋_GBK"/>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）住房保障支出</w:t>
      </w:r>
      <w:r>
        <w:rPr>
          <w:rFonts w:hint="eastAsia" w:ascii="方正仿宋_GBK" w:hAnsi="方正仿宋_GBK" w:eastAsia="方正仿宋_GBK" w:cs="方正仿宋_GBK"/>
          <w:color w:val="auto"/>
          <w:sz w:val="32"/>
          <w:szCs w:val="32"/>
          <w:lang w:val="en-US" w:eastAsia="zh-CN"/>
        </w:rPr>
        <w:t>6.25</w:t>
      </w:r>
      <w:r>
        <w:rPr>
          <w:rFonts w:hint="eastAsia" w:ascii="方正仿宋_GBK" w:hAnsi="方正仿宋_GBK" w:eastAsia="方正仿宋_GBK" w:cs="方正仿宋_GBK"/>
          <w:color w:val="auto"/>
          <w:sz w:val="32"/>
          <w:szCs w:val="32"/>
        </w:rPr>
        <w:t>万元，占</w:t>
      </w:r>
      <w:r>
        <w:rPr>
          <w:rFonts w:hint="eastAsia" w:ascii="方正仿宋_GBK" w:hAnsi="方正仿宋_GBK" w:eastAsia="方正仿宋_GBK" w:cs="方正仿宋_GBK"/>
          <w:color w:val="auto"/>
          <w:sz w:val="32"/>
          <w:szCs w:val="32"/>
          <w:lang w:val="en-US" w:eastAsia="zh-CN"/>
        </w:rPr>
        <w:t>4.38</w:t>
      </w:r>
      <w:r>
        <w:rPr>
          <w:rFonts w:hint="eastAsia" w:ascii="方正仿宋_GBK" w:hAnsi="方正仿宋_GBK" w:eastAsia="方正仿宋_GBK" w:cs="方正仿宋_GBK"/>
          <w:color w:val="auto"/>
          <w:sz w:val="32"/>
          <w:szCs w:val="32"/>
        </w:rPr>
        <w:t>%，较年初预算数</w:t>
      </w:r>
      <w:r>
        <w:rPr>
          <w:rFonts w:hint="eastAsia" w:ascii="方正仿宋_GBK" w:hAnsi="方正仿宋_GBK" w:eastAsia="方正仿宋_GBK" w:cs="方正仿宋_GBK"/>
          <w:color w:val="auto"/>
          <w:sz w:val="32"/>
          <w:szCs w:val="32"/>
          <w:lang w:val="en-US" w:eastAsia="zh-CN"/>
        </w:rPr>
        <w:t>增加0.4</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上升6.84</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调整了住房公积金的</w:t>
      </w:r>
      <w:r>
        <w:rPr>
          <w:rFonts w:hint="eastAsia" w:ascii="方正仿宋_GBK" w:hAnsi="方正仿宋_GBK" w:eastAsia="方正仿宋_GBK" w:cs="方正仿宋_GBK"/>
          <w:color w:val="auto"/>
          <w:sz w:val="32"/>
          <w:szCs w:val="32"/>
          <w:shd w:val="clear" w:color="auto" w:fill="auto"/>
          <w:lang w:val="en-US" w:eastAsia="zh-CN"/>
        </w:rPr>
        <w:t>费用</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（四）一般公共预算财政拨款基本支出决算情况说明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年度一般公共预算财政拨款基本支出</w:t>
      </w:r>
      <w:r>
        <w:rPr>
          <w:rFonts w:hint="eastAsia" w:ascii="方正仿宋_GBK" w:hAnsi="方正仿宋_GBK" w:eastAsia="方正仿宋_GBK" w:cs="方正仿宋_GBK"/>
          <w:color w:val="auto"/>
          <w:sz w:val="32"/>
          <w:szCs w:val="32"/>
          <w:lang w:val="en-US" w:eastAsia="zh-CN"/>
        </w:rPr>
        <w:t>142.82</w:t>
      </w:r>
      <w:r>
        <w:rPr>
          <w:rFonts w:hint="eastAsia" w:ascii="方正仿宋_GBK" w:hAnsi="方正仿宋_GBK" w:eastAsia="方正仿宋_GBK" w:cs="方正仿宋_GBK"/>
          <w:color w:val="auto"/>
          <w:sz w:val="32"/>
          <w:szCs w:val="32"/>
        </w:rPr>
        <w:t>万元。其中：人员经费</w:t>
      </w:r>
      <w:r>
        <w:rPr>
          <w:rFonts w:hint="eastAsia" w:ascii="方正仿宋_GBK" w:hAnsi="方正仿宋_GBK" w:eastAsia="方正仿宋_GBK" w:cs="方正仿宋_GBK"/>
          <w:color w:val="auto"/>
          <w:sz w:val="32"/>
          <w:szCs w:val="32"/>
          <w:lang w:val="en-US" w:eastAsia="zh-CN"/>
        </w:rPr>
        <w:t>124.76</w:t>
      </w:r>
      <w:r>
        <w:rPr>
          <w:rFonts w:hint="eastAsia" w:ascii="方正仿宋_GBK" w:hAnsi="方正仿宋_GBK" w:eastAsia="方正仿宋_GBK" w:cs="方正仿宋_GBK"/>
          <w:color w:val="auto"/>
          <w:sz w:val="32"/>
          <w:szCs w:val="32"/>
        </w:rPr>
        <w:t>万元，较上年决算数</w:t>
      </w:r>
      <w:r>
        <w:rPr>
          <w:rFonts w:hint="eastAsia" w:ascii="方正仿宋_GBK" w:hAnsi="方正仿宋_GBK" w:eastAsia="方正仿宋_GBK" w:cs="方正仿宋_GBK"/>
          <w:color w:val="auto"/>
          <w:sz w:val="32"/>
          <w:szCs w:val="32"/>
          <w:lang w:val="en-US" w:eastAsia="zh-CN"/>
        </w:rPr>
        <w:t>增加29</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上升30.28</w:t>
      </w:r>
      <w:r>
        <w:rPr>
          <w:rFonts w:hint="eastAsia" w:ascii="方正仿宋_GBK" w:hAnsi="方正仿宋_GBK" w:eastAsia="方正仿宋_GBK" w:cs="方正仿宋_GBK"/>
          <w:color w:val="auto"/>
          <w:sz w:val="32"/>
          <w:szCs w:val="32"/>
        </w:rPr>
        <w:t>%，主要原因是</w:t>
      </w:r>
      <w:r>
        <w:rPr>
          <w:rFonts w:hint="eastAsia" w:ascii="仿宋_GB2312" w:hAnsi="仿宋" w:eastAsia="仿宋_GB2312"/>
          <w:sz w:val="32"/>
          <w:szCs w:val="32"/>
        </w:rPr>
        <w:t>单位工作人员、工资调整等变动</w:t>
      </w:r>
      <w:r>
        <w:rPr>
          <w:rFonts w:hint="eastAsia" w:ascii="方正仿宋_GBK" w:hAnsi="方正仿宋_GBK" w:eastAsia="方正仿宋_GBK" w:cs="方正仿宋_GBK"/>
          <w:color w:val="auto"/>
          <w:sz w:val="32"/>
          <w:szCs w:val="32"/>
        </w:rPr>
        <w:t>。人员经费用途主要包括</w:t>
      </w:r>
      <w:r>
        <w:rPr>
          <w:rFonts w:hint="eastAsia" w:ascii="方正仿宋_GBK" w:hAnsi="方正仿宋_GBK" w:eastAsia="方正仿宋_GBK" w:cs="方正仿宋_GBK"/>
          <w:color w:val="auto"/>
          <w:sz w:val="32"/>
          <w:szCs w:val="32"/>
          <w:shd w:val="clear" w:color="auto" w:fill="auto"/>
        </w:rPr>
        <w:t>工资、绩效、补助等</w:t>
      </w:r>
      <w:r>
        <w:rPr>
          <w:rFonts w:hint="eastAsia" w:ascii="方正仿宋_GBK" w:hAnsi="方正仿宋_GBK" w:eastAsia="方正仿宋_GBK" w:cs="方正仿宋_GBK"/>
          <w:color w:val="auto"/>
          <w:sz w:val="32"/>
          <w:szCs w:val="32"/>
        </w:rPr>
        <w:t>。公用经费</w:t>
      </w:r>
      <w:r>
        <w:rPr>
          <w:rFonts w:hint="eastAsia" w:ascii="方正仿宋_GBK" w:hAnsi="方正仿宋_GBK" w:eastAsia="方正仿宋_GBK" w:cs="方正仿宋_GBK"/>
          <w:color w:val="auto"/>
          <w:sz w:val="32"/>
          <w:szCs w:val="32"/>
          <w:lang w:val="en-US" w:eastAsia="zh-CN"/>
        </w:rPr>
        <w:t>18.07</w:t>
      </w:r>
      <w:r>
        <w:rPr>
          <w:rFonts w:hint="eastAsia" w:ascii="方正仿宋_GBK" w:hAnsi="方正仿宋_GBK" w:eastAsia="方正仿宋_GBK" w:cs="方正仿宋_GBK"/>
          <w:color w:val="auto"/>
          <w:sz w:val="32"/>
          <w:szCs w:val="32"/>
        </w:rPr>
        <w:t>万元，较上年决算数</w:t>
      </w:r>
      <w:r>
        <w:rPr>
          <w:rFonts w:hint="eastAsia" w:ascii="方正仿宋_GBK" w:hAnsi="方正仿宋_GBK" w:eastAsia="方正仿宋_GBK" w:cs="方正仿宋_GBK"/>
          <w:color w:val="auto"/>
          <w:sz w:val="32"/>
          <w:szCs w:val="32"/>
          <w:lang w:val="en-US" w:eastAsia="zh-CN"/>
        </w:rPr>
        <w:t>增加0.72</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上升4.18</w:t>
      </w:r>
      <w:r>
        <w:rPr>
          <w:rFonts w:hint="eastAsia" w:ascii="方正仿宋_GBK" w:hAnsi="方正仿宋_GBK" w:eastAsia="方正仿宋_GBK" w:cs="方正仿宋_GBK"/>
          <w:color w:val="auto"/>
          <w:sz w:val="32"/>
          <w:szCs w:val="32"/>
        </w:rPr>
        <w:t>%，主要原因是</w:t>
      </w:r>
      <w:r>
        <w:rPr>
          <w:rFonts w:hint="eastAsia" w:ascii="仿宋_GB2312" w:hAnsi="仿宋" w:eastAsia="仿宋_GB2312"/>
          <w:sz w:val="32"/>
          <w:szCs w:val="32"/>
        </w:rPr>
        <w:t>单位工作人员、工资调整等变动</w:t>
      </w:r>
      <w:r>
        <w:rPr>
          <w:rFonts w:hint="eastAsia" w:ascii="方正仿宋_GBK" w:hAnsi="方正仿宋_GBK" w:eastAsia="方正仿宋_GBK" w:cs="方正仿宋_GBK"/>
          <w:color w:val="auto"/>
          <w:sz w:val="32"/>
          <w:szCs w:val="32"/>
        </w:rPr>
        <w:t>。公用经费用途主要包括</w:t>
      </w:r>
      <w:r>
        <w:rPr>
          <w:rFonts w:hint="eastAsia" w:ascii="方正仿宋_GBK" w:hAnsi="方正仿宋_GBK" w:eastAsia="方正仿宋_GBK" w:cs="方正仿宋_GBK"/>
          <w:color w:val="auto"/>
          <w:sz w:val="32"/>
          <w:szCs w:val="32"/>
          <w:shd w:val="clear" w:color="auto" w:fill="auto"/>
        </w:rPr>
        <w:t>办公费用、三公经费、伙食费、印刷费、水电费等。</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（五）政府性基金预算收支决算情况说明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年度政府性基金预算财政拨款年初结转结余0.00万元，年末结转结余0.00万元。本年收入</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万元，较上年决算数</w:t>
      </w:r>
      <w:r>
        <w:rPr>
          <w:rFonts w:hint="eastAsia" w:ascii="方正仿宋_GBK" w:hAnsi="方正仿宋_GBK" w:eastAsia="方正仿宋_GBK" w:cs="方正仿宋_GBK"/>
          <w:color w:val="auto"/>
          <w:sz w:val="32"/>
          <w:szCs w:val="32"/>
          <w:lang w:val="en-US" w:eastAsia="zh-CN"/>
        </w:rPr>
        <w:t>增加0</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上升0</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本单位无政府性基金预算。</w:t>
      </w:r>
      <w:r>
        <w:rPr>
          <w:rFonts w:hint="eastAsia" w:ascii="方正仿宋_GBK" w:hAnsi="方正仿宋_GBK" w:eastAsia="方正仿宋_GBK" w:cs="方正仿宋_GBK"/>
          <w:color w:val="auto"/>
          <w:sz w:val="32"/>
          <w:szCs w:val="32"/>
        </w:rPr>
        <w:t>本年支出</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万元，较上年决算数</w:t>
      </w:r>
      <w:r>
        <w:rPr>
          <w:rFonts w:hint="eastAsia" w:ascii="方正仿宋_GBK" w:hAnsi="方正仿宋_GBK" w:eastAsia="方正仿宋_GBK" w:cs="方正仿宋_GBK"/>
          <w:color w:val="auto"/>
          <w:sz w:val="32"/>
          <w:szCs w:val="32"/>
          <w:lang w:val="en-US" w:eastAsia="zh-CN"/>
        </w:rPr>
        <w:t>增加0</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上升0</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本单位无政府性基金预算</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（六）国有资本经营预算财政拨款支出决算情况说明</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auto"/>
        </w:rPr>
        <w:t xml:space="preserve">本部门 </w:t>
      </w:r>
      <w:r>
        <w:rPr>
          <w:rFonts w:hint="eastAsia" w:ascii="方正仿宋_GBK" w:hAnsi="方正仿宋_GBK" w:eastAsia="方正仿宋_GBK" w:cs="方正仿宋_GBK"/>
          <w:color w:val="auto"/>
          <w:sz w:val="32"/>
          <w:szCs w:val="32"/>
          <w:shd w:val="clear" w:color="auto" w:fill="auto"/>
          <w:lang w:eastAsia="zh-CN"/>
        </w:rPr>
        <w:t>202</w:t>
      </w:r>
      <w:r>
        <w:rPr>
          <w:rFonts w:hint="eastAsia" w:ascii="方正仿宋_GBK" w:hAnsi="方正仿宋_GBK" w:eastAsia="方正仿宋_GBK" w:cs="方正仿宋_GBK"/>
          <w:color w:val="auto"/>
          <w:sz w:val="32"/>
          <w:szCs w:val="32"/>
          <w:shd w:val="clear" w:color="auto" w:fill="auto"/>
          <w:lang w:val="en-US" w:eastAsia="zh-CN"/>
        </w:rPr>
        <w:t>4</w:t>
      </w:r>
      <w:r>
        <w:rPr>
          <w:rFonts w:hint="eastAsia" w:ascii="方正仿宋_GBK" w:hAnsi="方正仿宋_GBK" w:eastAsia="方正仿宋_GBK" w:cs="方正仿宋_GBK"/>
          <w:color w:val="auto"/>
          <w:sz w:val="32"/>
          <w:szCs w:val="32"/>
          <w:shd w:val="clear" w:color="auto" w:fill="auto"/>
        </w:rPr>
        <w:t>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本单位无公务用车，无“三公”经费支出。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（一）财政拨款会议费和培训费情况说明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本年度会议费支出</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万元，较上年决算数增加</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万元，增长</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本单位无线下</w:t>
      </w:r>
      <w:r>
        <w:rPr>
          <w:rFonts w:hint="eastAsia" w:ascii="方正仿宋_GBK" w:hAnsi="方正仿宋_GBK" w:eastAsia="方正仿宋_GBK" w:cs="方正仿宋_GBK"/>
          <w:color w:val="auto"/>
          <w:sz w:val="32"/>
          <w:szCs w:val="32"/>
        </w:rPr>
        <w:t>会议。本年度培训费支出</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万元，较上年决算数增加</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万元，增长</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%，主要原因是继续教育学习网上培训费</w:t>
      </w:r>
      <w:r>
        <w:rPr>
          <w:rFonts w:hint="eastAsia" w:ascii="方正仿宋_GBK" w:hAnsi="方正仿宋_GBK" w:eastAsia="方正仿宋_GBK" w:cs="方正仿宋_GBK"/>
          <w:color w:val="auto"/>
          <w:sz w:val="32"/>
          <w:szCs w:val="32"/>
          <w:lang w:val="en-US" w:eastAsia="zh-CN"/>
        </w:rPr>
        <w:t>增加</w:t>
      </w:r>
      <w:r>
        <w:rPr>
          <w:rFonts w:hint="eastAsia" w:ascii="方正仿宋_GBK" w:hAnsi="方正仿宋_GBK" w:eastAsia="方正仿宋_GBK" w:cs="方正仿宋_GBK"/>
          <w:color w:val="auto"/>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（二）机关运行经费支出情况说明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年度本部门机关运行经费支出</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万元，主要用于开支</w:t>
      </w:r>
      <w:r>
        <w:rPr>
          <w:rFonts w:hint="eastAsia" w:ascii="方正仿宋_GBK" w:hAnsi="方正仿宋_GBK" w:eastAsia="方正仿宋_GBK" w:cs="方正仿宋_GBK"/>
          <w:color w:val="auto"/>
          <w:sz w:val="32"/>
          <w:szCs w:val="32"/>
          <w:shd w:val="clear" w:color="auto" w:fill="auto"/>
        </w:rPr>
        <w:t>办公用品消耗、水电费、印刷费等</w:t>
      </w:r>
      <w:r>
        <w:rPr>
          <w:rFonts w:hint="eastAsia" w:ascii="方正仿宋_GBK" w:hAnsi="方正仿宋_GBK" w:eastAsia="方正仿宋_GBK" w:cs="方正仿宋_GBK"/>
          <w:color w:val="auto"/>
          <w:sz w:val="32"/>
          <w:szCs w:val="32"/>
        </w:rPr>
        <w:t>。机关运行经费较上年决算数</w:t>
      </w:r>
      <w:r>
        <w:rPr>
          <w:rFonts w:hint="eastAsia" w:ascii="方正仿宋_GBK" w:hAnsi="方正仿宋_GBK" w:eastAsia="方正仿宋_GBK" w:cs="方正仿宋_GBK"/>
          <w:color w:val="auto"/>
          <w:sz w:val="32"/>
          <w:szCs w:val="32"/>
          <w:lang w:val="en-US" w:eastAsia="zh-CN"/>
        </w:rPr>
        <w:t>增加0万</w:t>
      </w:r>
      <w:r>
        <w:rPr>
          <w:rFonts w:hint="eastAsia" w:ascii="方正仿宋_GBK" w:hAnsi="方正仿宋_GBK" w:eastAsia="方正仿宋_GBK" w:cs="方正仿宋_GBK"/>
          <w:color w:val="auto"/>
          <w:sz w:val="32"/>
          <w:szCs w:val="32"/>
        </w:rPr>
        <w:t>元，</w:t>
      </w:r>
      <w:r>
        <w:rPr>
          <w:rFonts w:hint="eastAsia" w:ascii="方正仿宋_GBK" w:hAnsi="方正仿宋_GBK" w:eastAsia="方正仿宋_GBK" w:cs="方正仿宋_GBK"/>
          <w:color w:val="auto"/>
          <w:sz w:val="32"/>
          <w:szCs w:val="32"/>
          <w:lang w:val="en-US" w:eastAsia="zh-CN"/>
        </w:rPr>
        <w:t>上升0</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本单位是三江街道下属事业单位，无机关运行经费</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（三）国有资产占用情况说明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截至202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年12月31日，本部门共有车辆</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辆，其中，副部（省）级及以上领导用车0辆、主要领导干部用车0辆、机要通信用车</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辆、应急保障用车</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辆、执法执勤用车0辆，特种专业技术用车</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辆，离退休干部用车0辆，其他用车0辆。单价100万元（含）以上设备（不含车辆）0台（套）。</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（四）政府采购支出说明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年度本部门政府采购支出总额</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万元，其中：政府采购货物支出0.00万元、政府采购工程支出</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万元、政府采购服务支出</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万元。授予中小企业合同金额</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万元，占政府采购支出总额的</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%，其中：授予小微企业合同金额</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万元，占政府采购支出总额的</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eastAsia" w:ascii="黑体" w:hAnsi="黑体" w:eastAsia="黑体" w:cs="黑体"/>
          <w:sz w:val="32"/>
          <w:szCs w:val="32"/>
          <w:shd w:val="clear" w:color="auto" w:fill="FFFFFF"/>
          <w:lang w:val="en-US" w:eastAsia="zh-CN" w:bidi="ar-SA"/>
        </w:rPr>
      </w:pPr>
      <w:r>
        <w:rPr>
          <w:rStyle w:val="10"/>
          <w:rFonts w:hint="eastAsia" w:ascii="黑体" w:hAnsi="黑体" w:eastAsia="黑体" w:cs="黑体"/>
          <w:sz w:val="32"/>
          <w:szCs w:val="32"/>
          <w:shd w:val="clear" w:color="auto" w:fill="FFFFFF"/>
          <w:lang w:val="en-US" w:eastAsia="zh-CN" w:bidi="ar-SA"/>
        </w:rPr>
        <w:t>五、2024年度预算绩效管理情况说明</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本单位是三江街道下属事业单位，绩效评价由机关本级统一进行。</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highlight w:val="none"/>
          <w:shd w:val="clear" w:fill="FFFFFF"/>
          <w:lang w:val="en-US" w:eastAsia="zh-CN"/>
        </w:rPr>
      </w:pPr>
      <w:r>
        <w:rPr>
          <w:rFonts w:hint="eastAsia" w:ascii="方正仿宋_GBK" w:hAnsi="方正仿宋_GBK" w:eastAsia="方正仿宋_GBK" w:cs="方正仿宋_GBK"/>
          <w:b w:val="0"/>
          <w:bCs w:val="0"/>
          <w:kern w:val="0"/>
          <w:sz w:val="32"/>
          <w:szCs w:val="32"/>
          <w:highlight w:val="none"/>
          <w:shd w:val="clear" w:fill="FFFFFF"/>
          <w:lang w:val="en-US" w:eastAsia="zh-CN"/>
        </w:rPr>
        <w:t>无</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项目支出绩效自评表（一级项目）</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highlight w:val="none"/>
          <w:shd w:val="clear" w:fill="FFFFFF"/>
          <w:lang w:val="en-US" w:eastAsia="zh-CN"/>
        </w:rPr>
      </w:pPr>
      <w:r>
        <w:rPr>
          <w:rFonts w:hint="eastAsia" w:ascii="方正仿宋_GBK" w:hAnsi="方正仿宋_GBK" w:eastAsia="方正仿宋_GBK" w:cs="方正仿宋_GBK"/>
          <w:b w:val="0"/>
          <w:bCs w:val="0"/>
          <w:kern w:val="0"/>
          <w:sz w:val="32"/>
          <w:szCs w:val="32"/>
          <w:highlight w:val="none"/>
          <w:shd w:val="clear" w:fill="FFFFFF"/>
          <w:lang w:val="en-US" w:eastAsia="zh-CN"/>
        </w:rPr>
        <w:t>无</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val="en-US" w:eastAsia="zh-CN"/>
        </w:rPr>
        <w:t>无</w:t>
      </w:r>
    </w:p>
    <w:p>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val="en-US" w:eastAsia="zh-CN"/>
        </w:rPr>
        <w:t>无</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3"/>
          <w:rFonts w:hint="eastAsia" w:ascii="方正仿宋_GBK" w:hAnsi="方正仿宋_GBK" w:eastAsia="方正仿宋_GBK" w:cs="方正仿宋_GBK"/>
          <w:b/>
          <w:bCs/>
          <w:sz w:val="32"/>
          <w:szCs w:val="32"/>
          <w:shd w:val="clear" w:fill="FFFFFF"/>
        </w:rPr>
        <w:t xml:space="preserve"> </w:t>
      </w:r>
      <w:r>
        <w:rPr>
          <w:rStyle w:val="13"/>
          <w:rFonts w:hint="eastAsia" w:ascii="方正仿宋_GBK" w:hAnsi="方正仿宋_GBK" w:eastAsia="方正仿宋_GBK" w:cs="方正仿宋_GBK"/>
          <w:b/>
          <w:bCs/>
          <w:sz w:val="32"/>
          <w:szCs w:val="32"/>
          <w:shd w:val="clear" w:fill="FFFFFF"/>
          <w:lang w:val="en-US" w:eastAsia="zh-CN"/>
        </w:rPr>
        <w:t xml:space="preserve">  </w:t>
      </w:r>
      <w:r>
        <w:rPr>
          <w:rStyle w:val="10"/>
          <w:rFonts w:hint="eastAsia" w:ascii="黑体" w:hAnsi="黑体" w:eastAsia="黑体" w:cs="黑体"/>
          <w:sz w:val="32"/>
          <w:szCs w:val="32"/>
          <w:shd w:val="clear" w:color="auto" w:fill="FFFFFF"/>
          <w:lang w:val="en-US" w:eastAsia="zh-CN" w:bidi="ar-SA"/>
        </w:rPr>
        <w:t xml:space="preserve"> 六、专业名词解释</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黑体" w:hAnsi="黑体" w:eastAsia="黑体" w:cs="黑体"/>
          <w:sz w:val="32"/>
          <w:szCs w:val="32"/>
          <w:shd w:val="clear" w:color="auto" w:fill="FFFFFF"/>
          <w:lang w:val="en-US" w:eastAsia="zh-CN" w:bidi="ar-SA"/>
        </w:rPr>
        <w:t>七、决算公开联系方式及信息反馈渠道</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1"/>
        <w:autoSpaceDE w:val="0"/>
        <w:spacing w:line="596" w:lineRule="exact"/>
        <w:ind w:firstLine="640"/>
        <w:jc w:val="both"/>
        <w:rPr>
          <w:rStyle w:val="10"/>
          <w:rFonts w:hint="default" w:ascii="方正仿宋_GBK" w:hAnsi="方正仿宋_GBK" w:eastAsia="方正仿宋_GBK" w:cs="方正仿宋_GBK"/>
          <w:sz w:val="32"/>
          <w:szCs w:val="32"/>
          <w:shd w:val="clear" w:color="auto" w:fill="FFFF00"/>
          <w:lang w:val="en-US"/>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auto"/>
          <w:kern w:val="0"/>
          <w:sz w:val="32"/>
          <w:szCs w:val="32"/>
          <w:shd w:val="clear" w:fill="FFFFFF"/>
          <w:lang w:val="en-US" w:eastAsia="zh-CN"/>
        </w:rPr>
        <w:t>李金洋</w:t>
      </w:r>
      <w:r>
        <w:rPr>
          <w:rFonts w:hint="eastAsia" w:ascii="方正仿宋_GBK" w:hAnsi="方正仿宋_GBK" w:eastAsia="方正仿宋_GBK" w:cs="方正仿宋_GBK"/>
          <w:color w:val="auto"/>
          <w:kern w:val="0"/>
          <w:sz w:val="32"/>
          <w:szCs w:val="32"/>
          <w:shd w:val="clear" w:fill="FFFFFF"/>
        </w:rPr>
        <w:t xml:space="preserve">  </w:t>
      </w:r>
      <w:r>
        <w:rPr>
          <w:rFonts w:hint="eastAsia" w:ascii="方正仿宋_GBK" w:hAnsi="方正仿宋_GBK" w:eastAsia="方正仿宋_GBK" w:cs="方正仿宋_GBK"/>
          <w:color w:val="auto"/>
          <w:kern w:val="0"/>
          <w:sz w:val="32"/>
          <w:szCs w:val="32"/>
          <w:shd w:val="clear" w:fill="FFFFFF"/>
          <w:lang w:val="en-US" w:eastAsia="zh-CN"/>
        </w:rPr>
        <w:t>15310310567</w:t>
      </w:r>
      <w:bookmarkStart w:id="0" w:name="_GoBack"/>
      <w:bookmarkEnd w:id="0"/>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重庆市綦江区三江街道综合行政执法大队</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142.83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113.55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142.83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142.83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142.83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142.83</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重庆市綦江区三江街道综合行政执法大队</w:t>
            </w: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142.83</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142.83</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113.55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113.55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113.55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113.55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113.55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113.55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重庆市綦江区三江街道综合行政执法大队 </w:t>
            </w: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142.83</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142.83</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11.69</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113.55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113.55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113.55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113.55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113.55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113.55</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重庆市綦江区三江街道综合行政执法大队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142.83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113.55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113.55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142.83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142.83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142.83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142.83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142.83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142.83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30"/>
        <w:gridCol w:w="4067"/>
        <w:gridCol w:w="3300"/>
        <w:gridCol w:w="3291"/>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重庆市綦江区三江街道综合行政执法大队</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142.83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142.83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113.55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113.55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113.55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113.55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113.55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113.55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784"/>
        <w:gridCol w:w="2792"/>
        <w:gridCol w:w="1522"/>
        <w:gridCol w:w="854"/>
        <w:gridCol w:w="2015"/>
        <w:gridCol w:w="1400"/>
        <w:gridCol w:w="855"/>
        <w:gridCol w:w="3451"/>
        <w:gridCol w:w="1631"/>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重庆市綦江区三江街道综合行政执法大队</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124.76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37.59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55.11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124.76</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18.07</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重庆市綦江区三江街道综合行政执法大队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重庆市綦江区三江街道综合行政执法大队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重庆市綦江区三江街道综合行政执法大队</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4085E8"/>
    <w:multiLevelType w:val="singleLevel"/>
    <w:tmpl w:val="FF4085E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5BC5C78"/>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TotalTime>4</TotalTime>
  <ScaleCrop>false</ScaleCrop>
  <LinksUpToDate>false</LinksUpToDate>
  <CharactersWithSpaces>26302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dcterms:modified xsi:type="dcterms:W3CDTF">2025-10-14T08:09:48Z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BB46EABDBB2749749395447164B066B3_12</vt:lpwstr>
  </property>
</Properties>
</file>