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kern w:val="0"/>
          <w:sz w:val="44"/>
          <w:szCs w:val="44"/>
        </w:rPr>
      </w:pPr>
      <w:r>
        <w:rPr>
          <w:rStyle w:val="15"/>
          <w:rFonts w:hint="eastAsia" w:ascii="方正小标宋_GBK" w:hAnsi="方正小标宋_GBK" w:eastAsia="方正小标宋_GBK" w:cs="方正小标宋_GBK"/>
          <w:b/>
          <w:bCs/>
          <w:sz w:val="44"/>
          <w:szCs w:val="44"/>
          <w:shd w:val="clear" w:fill="FFFFFF"/>
        </w:rPr>
        <w:t>重庆市綦江区通惠街道城乡管理服务中心</w:t>
      </w:r>
    </w:p>
    <w:p>
      <w:pPr>
        <w:pStyle w:val="16"/>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jc w:val="center"/>
        <w:textAlignment w:val="auto"/>
        <w:rPr>
          <w:rFonts w:hint="eastAsia" w:ascii="方正小标宋_GBK" w:hAnsi="方正小标宋_GBK" w:eastAsia="方正小标宋_GBK" w:cs="方正小标宋_GBK"/>
          <w:kern w:val="0"/>
          <w:sz w:val="44"/>
          <w:szCs w:val="44"/>
        </w:rPr>
      </w:pPr>
      <w:r>
        <w:rPr>
          <w:rStyle w:val="15"/>
          <w:rFonts w:hint="eastAsia" w:ascii="方正小标宋_GBK" w:hAnsi="方正小标宋_GBK" w:eastAsia="方正小标宋_GBK" w:cs="方正小标宋_GBK"/>
          <w:b/>
          <w:bCs/>
          <w:sz w:val="44"/>
          <w:szCs w:val="44"/>
          <w:shd w:val="clear" w:fill="FFFFFF"/>
        </w:rPr>
        <w:t>2022年度部门决算情况说明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一、部门基本情况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（一）职能职责</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号）文件精神，本单位主要职能职责有：</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负责城区市政、环卫方面管理服务工作和农村综合环境整治相关工作；负责农村环境卫生、道路河流工作；定期巡查城区背街小巷的清洁卫生情况；管理维护城市相关基础设施；协助市容市貌整治工作。</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（二）机构设置</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根据《中共重庆市綦江区委机构编制委员会关于印发</w:t>
      </w:r>
      <w:r>
        <w:rPr>
          <w:rFonts w:hint="default" w:ascii="Times New Roman" w:hAnsi="Times New Roman" w:eastAsia="方正仿宋_GBK" w:cs="Times New Roman"/>
          <w:kern w:val="0"/>
          <w:sz w:val="32"/>
          <w:szCs w:val="32"/>
          <w:shd w:val="clear" w:fill="FFFFFF"/>
        </w:rPr>
        <w:t>&lt;</w:t>
      </w:r>
      <w:r>
        <w:rPr>
          <w:rFonts w:hint="eastAsia" w:ascii="方正仿宋_GBK" w:hAnsi="方正仿宋_GBK" w:eastAsia="方正仿宋_GBK" w:cs="方正仿宋_GBK"/>
          <w:kern w:val="0"/>
          <w:sz w:val="32"/>
          <w:szCs w:val="32"/>
          <w:shd w:val="clear" w:fill="FFFFFF"/>
        </w:rPr>
        <w:t>重庆市綦江区通惠街道综合办事机构和事业单位机构编制方案</w:t>
      </w:r>
      <w:r>
        <w:rPr>
          <w:rFonts w:hint="default" w:ascii="Times New Roman" w:hAnsi="Times New Roman" w:eastAsia="方正仿宋_GBK" w:cs="Times New Roman"/>
          <w:kern w:val="0"/>
          <w:sz w:val="32"/>
          <w:szCs w:val="32"/>
          <w:shd w:val="clear" w:fill="FFFFFF"/>
        </w:rPr>
        <w:t>&gt;</w:t>
      </w:r>
      <w:r>
        <w:rPr>
          <w:rFonts w:hint="eastAsia" w:ascii="方正仿宋_GBK" w:hAnsi="方正仿宋_GBK" w:eastAsia="方正仿宋_GBK" w:cs="方正仿宋_GBK"/>
          <w:kern w:val="0"/>
          <w:sz w:val="32"/>
          <w:szCs w:val="32"/>
          <w:shd w:val="clear" w:fill="FFFFFF"/>
        </w:rPr>
        <w:t>的通知》（綦委编</w:t>
      </w:r>
      <w:r>
        <w:rPr>
          <w:rFonts w:hint="default" w:ascii="Times New Roman" w:hAnsi="Times New Roman" w:eastAsia="方正仿宋_GBK" w:cs="Times New Roman"/>
          <w:kern w:val="0"/>
          <w:sz w:val="32"/>
          <w:szCs w:val="32"/>
          <w:shd w:val="clear" w:fill="FFFFFF"/>
        </w:rPr>
        <w:t>[2020]2</w:t>
      </w:r>
      <w:r>
        <w:rPr>
          <w:rFonts w:hint="eastAsia" w:ascii="方正仿宋_GBK" w:hAnsi="方正仿宋_GBK" w:eastAsia="方正仿宋_GBK" w:cs="方正仿宋_GBK"/>
          <w:kern w:val="0"/>
          <w:sz w:val="32"/>
          <w:szCs w:val="32"/>
          <w:shd w:val="clear" w:fill="FFFFFF"/>
        </w:rPr>
        <w:t>号）文件精神，本单位设事业单位</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个，是城乡管理服务中心。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二、部门决算情况说明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（一）收入支出决算总体情况说明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总体情况。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万元。收支较上年决算数增加</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，主要原因是为衔接预算管理一体化，乡镇由统一核算改为独立核算，本年度为新增单位，无上年度数据。其中：财政拨款收入</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。此外，使用非财政拨款结余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万元，年初结转和结余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万元，较上年决算增加</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，主要原因是为衔接预算管理一体化，乡镇由统一核算改为独立核算，本年度为新增单位，无上年度数据。其中：基本支出</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。此外，结余分配</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年度年末无结转结余。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（二）财政拨款收入支出决算总体情况说明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年度财政拨款收、支总计</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万元。与</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年相比，财政拨款收、支总计各增加</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（三）一般公共预算财政拨款收入支出决算情况说明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。主要原因是为衔接预算管理一体化，乡镇由统一核算改为独立核算，本年度为新增单位，无上年度数据。较年初预算数减少</w:t>
      </w:r>
      <w:r>
        <w:rPr>
          <w:rFonts w:hint="default" w:ascii="Times New Roman" w:hAnsi="Times New Roman" w:eastAsia="方正仿宋_GBK" w:cs="Times New Roman"/>
          <w:kern w:val="0"/>
          <w:sz w:val="32"/>
          <w:szCs w:val="32"/>
          <w:shd w:val="clear" w:fill="FFFFFF"/>
        </w:rPr>
        <w:t>20.36</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8.4%</w:t>
      </w:r>
      <w:r>
        <w:rPr>
          <w:rFonts w:hint="eastAsia" w:ascii="方正仿宋_GBK" w:hAnsi="方正仿宋_GBK" w:eastAsia="方正仿宋_GBK" w:cs="方正仿宋_GBK"/>
          <w:kern w:val="0"/>
          <w:sz w:val="32"/>
          <w:szCs w:val="32"/>
          <w:shd w:val="clear" w:fill="FFFFFF"/>
        </w:rPr>
        <w:t>。主要原因是工资、五险一金等人员类经费减少。此外，年初财政拨款结转和结余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。主要原因是为衔接预算管理一体化，乡镇由统一核算改为独立核算，本年度为新增单位，无上年度数据。较年初预算数减少</w:t>
      </w:r>
      <w:r>
        <w:rPr>
          <w:rFonts w:hint="default" w:ascii="Times New Roman" w:hAnsi="Times New Roman" w:eastAsia="方正仿宋_GBK" w:cs="Times New Roman"/>
          <w:kern w:val="0"/>
          <w:sz w:val="32"/>
          <w:szCs w:val="32"/>
          <w:shd w:val="clear" w:fill="FFFFFF"/>
        </w:rPr>
        <w:t>20.36</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8.4%</w:t>
      </w:r>
      <w:r>
        <w:rPr>
          <w:rFonts w:hint="eastAsia" w:ascii="方正仿宋_GBK" w:hAnsi="方正仿宋_GBK" w:eastAsia="方正仿宋_GBK" w:cs="方正仿宋_GBK"/>
          <w:kern w:val="0"/>
          <w:sz w:val="32"/>
          <w:szCs w:val="32"/>
          <w:shd w:val="clear" w:fill="FFFFFF"/>
        </w:rPr>
        <w:t>。主要原因是工资、五险一金等人员类经费减少。</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年度年末一般公共预算财政拨款结转和结余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年度年末无一般公共预算财政拨款结转和结余。</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比较情况。本部门</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年度一般公共预算财政拨款支出主要用于以下几个方面：</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kern w:val="0"/>
          <w:sz w:val="32"/>
          <w:szCs w:val="32"/>
          <w:shd w:val="clear" w:fill="FFFFFF"/>
        </w:rPr>
        <w:t>17.67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，较年初预算数减少</w:t>
      </w:r>
      <w:r>
        <w:rPr>
          <w:rFonts w:hint="default" w:ascii="Times New Roman" w:hAnsi="Times New Roman" w:eastAsia="方正仿宋_GBK" w:cs="Times New Roman"/>
          <w:kern w:val="0"/>
          <w:sz w:val="32"/>
          <w:szCs w:val="32"/>
          <w:shd w:val="clear" w:fill="FFFFFF"/>
        </w:rPr>
        <w:t>0.40</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2.2%</w:t>
      </w:r>
      <w:r>
        <w:rPr>
          <w:rFonts w:hint="eastAsia" w:ascii="方正仿宋_GBK" w:hAnsi="方正仿宋_GBK" w:eastAsia="方正仿宋_GBK" w:cs="方正仿宋_GBK"/>
          <w:kern w:val="0"/>
          <w:sz w:val="32"/>
          <w:szCs w:val="32"/>
          <w:shd w:val="clear" w:fill="FFFFFF"/>
        </w:rPr>
        <w:t>，主要原因是养老保险支出较年初预算数减少。</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）卫生健康支出</w:t>
      </w:r>
      <w:r>
        <w:rPr>
          <w:rFonts w:hint="default" w:ascii="Times New Roman" w:hAnsi="Times New Roman" w:eastAsia="方正仿宋_GBK" w:cs="Times New Roman"/>
          <w:kern w:val="0"/>
          <w:sz w:val="32"/>
          <w:szCs w:val="32"/>
          <w:shd w:val="clear" w:fill="FFFFFF"/>
        </w:rPr>
        <w:t>8.59</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3.9%</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0.43</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5.3%</w:t>
      </w:r>
      <w:r>
        <w:rPr>
          <w:rFonts w:hint="eastAsia" w:ascii="方正仿宋_GBK" w:hAnsi="方正仿宋_GBK" w:eastAsia="方正仿宋_GBK" w:cs="方正仿宋_GBK"/>
          <w:kern w:val="0"/>
          <w:sz w:val="32"/>
          <w:szCs w:val="32"/>
          <w:shd w:val="clear" w:fill="FFFFFF"/>
        </w:rPr>
        <w:t>，主要原因是医疗保险支出较年初预算数增加。</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）城乡社区支出</w:t>
      </w:r>
      <w:r>
        <w:rPr>
          <w:rFonts w:hint="default" w:ascii="Times New Roman" w:hAnsi="Times New Roman" w:eastAsia="方正仿宋_GBK" w:cs="Times New Roman"/>
          <w:kern w:val="0"/>
          <w:sz w:val="32"/>
          <w:szCs w:val="32"/>
          <w:shd w:val="clear" w:fill="FFFFFF"/>
        </w:rPr>
        <w:t>186.07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84.1%</w:t>
      </w:r>
      <w:r>
        <w:rPr>
          <w:rFonts w:hint="eastAsia" w:ascii="方正仿宋_GBK" w:hAnsi="方正仿宋_GBK" w:eastAsia="方正仿宋_GBK" w:cs="方正仿宋_GBK"/>
          <w:kern w:val="0"/>
          <w:sz w:val="32"/>
          <w:szCs w:val="32"/>
          <w:shd w:val="clear" w:fill="FFFFFF"/>
        </w:rPr>
        <w:t>，较年初预算数减少</w:t>
      </w:r>
      <w:r>
        <w:rPr>
          <w:rFonts w:hint="default" w:ascii="Times New Roman" w:hAnsi="Times New Roman" w:eastAsia="方正仿宋_GBK" w:cs="Times New Roman"/>
          <w:kern w:val="0"/>
          <w:sz w:val="32"/>
          <w:szCs w:val="32"/>
          <w:shd w:val="clear" w:fill="FFFFFF"/>
        </w:rPr>
        <w:t>20.94</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10.1%</w:t>
      </w:r>
      <w:r>
        <w:rPr>
          <w:rFonts w:hint="eastAsia" w:ascii="方正仿宋_GBK" w:hAnsi="方正仿宋_GBK" w:eastAsia="方正仿宋_GBK" w:cs="方正仿宋_GBK"/>
          <w:kern w:val="0"/>
          <w:sz w:val="32"/>
          <w:szCs w:val="32"/>
          <w:shd w:val="clear" w:fill="FFFFFF"/>
        </w:rPr>
        <w:t>，主要原因是薪酬类人员经费支出减少。</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8.83</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0.55</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6.6%</w:t>
      </w:r>
      <w:r>
        <w:rPr>
          <w:rFonts w:hint="eastAsia" w:ascii="方正仿宋_GBK" w:hAnsi="方正仿宋_GBK" w:eastAsia="方正仿宋_GBK" w:cs="方正仿宋_GBK"/>
          <w:kern w:val="0"/>
          <w:sz w:val="32"/>
          <w:szCs w:val="32"/>
          <w:shd w:val="clear" w:fill="FFFFFF"/>
        </w:rPr>
        <w:t>，主要原因是住房公积金支出较年初预算数增加。</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（四）一般公共预算财政拨款基本支出决算情况说明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221.16</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135.76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135.76</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，主要原因是为衔接预算管理一体化，乡镇由统一核算改为独立核算，本年度为新增单位，无上年度数据。人员经费用途主要包括人员工资、绩效、津补贴、社保和公积金等。公用经费</w:t>
      </w:r>
      <w:r>
        <w:rPr>
          <w:rFonts w:hint="default" w:ascii="Times New Roman" w:hAnsi="Times New Roman" w:eastAsia="方正仿宋_GBK" w:cs="Times New Roman"/>
          <w:kern w:val="0"/>
          <w:sz w:val="32"/>
          <w:szCs w:val="32"/>
          <w:shd w:val="clear" w:fill="FFFFFF"/>
        </w:rPr>
        <w:t>85.41</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85.41</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，主要原因是为衔接预算管理一体化，乡镇由统一核算改为独立核算，本年度为新增单位，无上年度数据。公用经费用途主要包括办公费、会议费、培训费、印刷费、工会经费等。</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（五）政府性基金预算收支决算情况说明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年度无政府性基金预算财政拨款收支。</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（六）国有资本经营预算财政拨款支出决算情况说明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年度无国有资本经营预算财政拨款支出。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三、“三公”经费情况说明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（一）“三公”经费支出总体情况说明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年度“三公”经费支出共计</w:t>
      </w:r>
      <w:r>
        <w:rPr>
          <w:rFonts w:hint="default" w:ascii="Times New Roman" w:hAnsi="Times New Roman" w:eastAsia="方正仿宋_GBK" w:cs="Times New Roman"/>
          <w:kern w:val="0"/>
          <w:sz w:val="32"/>
          <w:szCs w:val="32"/>
          <w:shd w:val="clear" w:fill="FFFFFF"/>
        </w:rPr>
        <w:t>52.00</w:t>
      </w:r>
      <w:r>
        <w:rPr>
          <w:rFonts w:hint="eastAsia" w:ascii="方正仿宋_GBK" w:hAnsi="方正仿宋_GBK" w:eastAsia="方正仿宋_GBK" w:cs="方正仿宋_GBK"/>
          <w:kern w:val="0"/>
          <w:sz w:val="32"/>
          <w:szCs w:val="32"/>
          <w:shd w:val="clear" w:fill="FFFFFF"/>
        </w:rPr>
        <w:t>万元，较年初预算数增加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万元，与年初预算数持平。较上年支出数增加</w:t>
      </w:r>
      <w:r>
        <w:rPr>
          <w:rFonts w:hint="default" w:ascii="Times New Roman" w:hAnsi="Times New Roman" w:eastAsia="方正仿宋_GBK" w:cs="Times New Roman"/>
          <w:kern w:val="0"/>
          <w:sz w:val="32"/>
          <w:szCs w:val="32"/>
          <w:shd w:val="clear" w:fill="FFFFFF"/>
        </w:rPr>
        <w:t>52.00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（二）“三公”经费分项支出情况</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年度本部门因公出国（境）费用</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年度未发生因公出国（境）费用。</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年度未发生公务车购置费用。</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w:t>
      </w:r>
      <w:r>
        <w:rPr>
          <w:rFonts w:hint="default" w:ascii="Times New Roman" w:hAnsi="Times New Roman" w:eastAsia="方正仿宋_GBK" w:cs="Times New Roman"/>
          <w:kern w:val="0"/>
          <w:sz w:val="32"/>
          <w:szCs w:val="32"/>
          <w:shd w:val="clear" w:fill="FFFFFF"/>
        </w:rPr>
        <w:t>52.00</w:t>
      </w:r>
      <w:r>
        <w:rPr>
          <w:rFonts w:hint="eastAsia" w:ascii="方正仿宋_GBK" w:hAnsi="方正仿宋_GBK" w:eastAsia="方正仿宋_GBK" w:cs="方正仿宋_GBK"/>
          <w:kern w:val="0"/>
          <w:sz w:val="32"/>
          <w:szCs w:val="32"/>
          <w:shd w:val="clear" w:fill="FFFFFF"/>
        </w:rPr>
        <w:t>万元，主要用于环卫车辆油费、维修费、保险费等。费用支出较年初预算数增加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万元，与年初预算数持平。较上年支出数增加</w:t>
      </w:r>
      <w:r>
        <w:rPr>
          <w:rFonts w:hint="default" w:ascii="Times New Roman" w:hAnsi="Times New Roman" w:eastAsia="方正仿宋_GBK" w:cs="Times New Roman"/>
          <w:kern w:val="0"/>
          <w:sz w:val="32"/>
          <w:szCs w:val="32"/>
          <w:shd w:val="clear" w:fill="FFFFFF"/>
        </w:rPr>
        <w:t>52.00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万元，费用支出较年初预算数增加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万元，较上年支出数增加</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年度未发生公务接待费用。</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（三）“三公”经费实物量情况</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年度本部门因公出国（境）共计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个团组，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人；公务用车购置</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辆，公务车保有量为</w:t>
      </w: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辆；国内公务接待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人；国（境）外公务接待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元，车均购置费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万元，车均维护费</w:t>
      </w:r>
      <w:r>
        <w:rPr>
          <w:rFonts w:hint="default" w:ascii="Times New Roman" w:hAnsi="Times New Roman" w:eastAsia="方正仿宋_GBK" w:cs="Times New Roman"/>
          <w:kern w:val="0"/>
          <w:sz w:val="32"/>
          <w:szCs w:val="32"/>
          <w:shd w:val="clear" w:fill="FFFFFF"/>
        </w:rPr>
        <w:t>6.50</w:t>
      </w:r>
      <w:r>
        <w:rPr>
          <w:rFonts w:hint="eastAsia" w:ascii="方正仿宋_GBK" w:hAnsi="方正仿宋_GBK" w:eastAsia="方正仿宋_GBK" w:cs="方正仿宋_GBK"/>
          <w:kern w:val="0"/>
          <w:sz w:val="32"/>
          <w:szCs w:val="32"/>
          <w:shd w:val="clear" w:fill="FFFFFF"/>
        </w:rPr>
        <w:t>万元。</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四、其他需要说明的事项</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（一）财政拨款会议费和培训费情况说明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w:t>
      </w:r>
      <w:r>
        <w:rPr>
          <w:rFonts w:hint="default" w:ascii="Times New Roman" w:hAnsi="Times New Roman" w:eastAsia="方正仿宋_GBK" w:cs="Times New Roman"/>
          <w:kern w:val="0"/>
          <w:sz w:val="32"/>
          <w:szCs w:val="32"/>
          <w:shd w:val="clear" w:fill="FFFFFF"/>
        </w:rPr>
        <w:t>0.30</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0.30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，主要原因是为衔接预算管理一体化，乡镇由统一核算改为独立核算，本年度为新增单位，无上年度数据。本年度培训费支出</w:t>
      </w:r>
      <w:r>
        <w:rPr>
          <w:rFonts w:hint="default" w:ascii="Times New Roman" w:hAnsi="Times New Roman" w:eastAsia="方正仿宋_GBK" w:cs="Times New Roman"/>
          <w:kern w:val="0"/>
          <w:sz w:val="32"/>
          <w:szCs w:val="32"/>
          <w:shd w:val="clear" w:fill="FFFFFF"/>
        </w:rPr>
        <w:t>1.34</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1.34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100.0%</w:t>
      </w:r>
      <w:r>
        <w:rPr>
          <w:rFonts w:hint="eastAsia" w:ascii="方正仿宋_GBK" w:hAnsi="方正仿宋_GBK" w:eastAsia="方正仿宋_GBK" w:cs="方正仿宋_GBK"/>
          <w:kern w:val="0"/>
          <w:sz w:val="32"/>
          <w:szCs w:val="32"/>
          <w:shd w:val="clear" w:fill="FFFFFF"/>
        </w:rPr>
        <w:t>，主要原因是为衔接预算管理一体化，乡镇由统一核算改为独立核算，本年度为新增单位，无上年度数据。</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（二）机关运行经费支出情况说明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楷体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rPr>
        <w:t>（三）国有资产占用情况说明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截至</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月</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日，本部门共有车辆</w:t>
      </w: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辆，其中，副部（省）级及以上领导用车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辆、主要领导干部用车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辆、机要通信用车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辆、应急保障用车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辆、执法执勤用车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辆，特种专业技术用车</w:t>
      </w:r>
      <w:r>
        <w:rPr>
          <w:rFonts w:hint="default" w:ascii="Times New Roman" w:hAnsi="Times New Roman" w:eastAsia="方正仿宋_GBK" w:cs="Times New Roman"/>
          <w:kern w:val="0"/>
          <w:sz w:val="32"/>
          <w:szCs w:val="32"/>
          <w:shd w:val="clear" w:fill="FFFFFF"/>
        </w:rPr>
        <w:t>8</w:t>
      </w:r>
      <w:r>
        <w:rPr>
          <w:rFonts w:hint="eastAsia" w:ascii="方正仿宋_GBK" w:hAnsi="方正仿宋_GBK" w:eastAsia="方正仿宋_GBK" w:cs="方正仿宋_GBK"/>
          <w:kern w:val="0"/>
          <w:sz w:val="32"/>
          <w:szCs w:val="32"/>
          <w:shd w:val="clear" w:fill="FFFFFF"/>
        </w:rPr>
        <w:t>辆，离退休干部用车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辆，其他用车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辆，（单价</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万元（含）以上设备（不含车辆）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台（套）。</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（四）政府采购支出说明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年度我单位未发生政府采购事项，无相关经费支出。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五、预算绩效管理情况说明</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本单位为通惠街道办事处下属二级预算单位，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年度无项目支出，未开展预算绩效管理。</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六、专业名词解释</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（一）财政拨款收入：指本年度从本级财政部门取得的财政拨款，包括一般公共预算财政拨款和政府性基金预算财政拨款。</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（二）事业收入：指事业单位开展专业业务活动及其辅助活动取得的现金流入；事业单位收到的财政专户实际核拨的教育收费等资金在此反映。</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（三）经营收入：指事业单位在专业业务活动及其辅助活动之外开展非独立核算经营活动取得的现金流入。</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（五）使用非财政拨款结余：指单位在当年的“财政拨款收入”、“事业收入”、“经营收入”、“其他收入”等不足以安排当年支出的情况下，使用以前年度积累的非财政拨款结余弥补本年度收支缺口的资金。</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（六）年初结转和结余：指单位上年结转本年使用的基本支出结转、项目支出结转和结余、经营结余。</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（七）结余分配：指单位按照国家有关规定，缴纳所得税、提取专用基金、转入非财政拨款结余等当年结余的分配情况。</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（八）年末结转和结余：指单位结转下年的基本支出结转、项目支出结转和结余、经营结余。</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（十）项目支出：指在基本支出之外为完成特定行政任务和事业发展目标所发生的支出。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（十一）经营支出：指事业单位在专业业务活动及其辅助活动之外开展非独立核算经营活动发生的支出。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（十四）工资福利支出（支出经济分类科目类级）：反映单位开支的在职职工和编制外长期聘用人员的各类劳动报酬，以及为上述人员缴纳的各项社会保险费等。</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（十五）商品和服务支出（支出经济分类科目类级）：反映单位购买商品和服务的支出（不包括用于购置固定资产的支出、战略性和应急储备支出）。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（十六）对个人和家庭的补助（支出经济分类科目类级）：反映用于对个人和家庭的补助支出。</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rPr>
        <w:t>七、决算公开联系方式及信息反馈渠道</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eastAsia"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right="0"/>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朱梦婷</w:t>
      </w:r>
      <w:r>
        <w:rPr>
          <w:rFonts w:hint="default" w:ascii="Times New Roman" w:hAnsi="Times New Roman" w:eastAsia="方正仿宋_GBK" w:cs="Times New Roman"/>
          <w:kern w:val="0"/>
          <w:sz w:val="32"/>
          <w:szCs w:val="32"/>
          <w:shd w:val="clear" w:fill="FFFFFF"/>
        </w:rPr>
        <w:t xml:space="preserve">   023-48882728</w:t>
      </w:r>
    </w:p>
    <w:p>
      <w:pPr>
        <w:pStyle w:val="16"/>
        <w:keepNext w:val="0"/>
        <w:keepLines w:val="0"/>
        <w:widowControl/>
        <w:suppressLineNumbers w:val="0"/>
        <w:autoSpaceDE w:val="0"/>
        <w:autoSpaceDN/>
        <w:spacing w:before="0" w:beforeAutospacing="0" w:line="600" w:lineRule="exact"/>
        <w:ind w:lef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2ZhZjUzMmMwOTEyMjZkYzM4ODMyNTY5ODBhYzQifQ=="/>
  </w:docVars>
  <w:rsids>
    <w:rsidRoot w:val="00000000"/>
    <w:rsid w:val="55B83D89"/>
    <w:rsid w:val="7DE40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11"/>
    <w:uiPriority w:val="0"/>
    <w:rPr>
      <w:rFonts w:hint="default" w:ascii="Times New Roman" w:hAnsi="Times New Roman" w:cs="Times New Roman"/>
    </w:rPr>
  </w:style>
  <w:style w:type="paragraph" w:customStyle="1" w:styleId="13">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4">
    <w:name w:val="10"/>
    <w:basedOn w:val="11"/>
    <w:uiPriority w:val="0"/>
    <w:rPr>
      <w:rFonts w:hint="default" w:ascii="Times New Roman" w:hAnsi="Times New Roman" w:cs="Times New Roman"/>
    </w:rPr>
  </w:style>
  <w:style w:type="character" w:customStyle="1" w:styleId="15">
    <w:name w:val="16"/>
    <w:basedOn w:val="11"/>
    <w:uiPriority w:val="0"/>
    <w:rPr>
      <w:rFonts w:hint="default" w:ascii="Times New Roman" w:hAnsi="Times New Roman" w:cs="Times New Roman"/>
      <w:b/>
      <w:bCs/>
    </w:rPr>
  </w:style>
  <w:style w:type="paragraph" w:customStyle="1" w:styleId="16">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二级标题"/>
    <w:basedOn w:val="1"/>
    <w:next w:val="1"/>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楷体_GBK" w:cs="Times New Roman"/>
      <w:kern w:val="0"/>
      <w:sz w:val="32"/>
      <w:szCs w:val="32"/>
      <w:lang w:val="en-US" w:eastAsia="zh-CN" w:bidi="ar"/>
    </w:rPr>
  </w:style>
  <w:style w:type="paragraph" w:customStyle="1" w:styleId="18">
    <w:name w:val="一级标题"/>
    <w:basedOn w:val="1"/>
    <w:uiPriority w:val="0"/>
    <w:pPr>
      <w:shd w:val="clear" w:fill="FFFFFF"/>
      <w:spacing w:before="0" w:beforeAutospacing="0" w:after="0" w:afterAutospacing="1" w:line="600" w:lineRule="atLeast"/>
      <w:ind w:left="0" w:right="0" w:firstLine="880" w:firstLineChars="200"/>
      <w:jc w:val="left"/>
    </w:pPr>
    <w:rPr>
      <w:rFonts w:hint="eastAsia" w:ascii="Times New Roman" w:hAnsi="Times New Roman" w:eastAsia="方正黑体_GBK" w:cs="Times New Roman"/>
      <w:kern w:val="0"/>
      <w:sz w:val="32"/>
      <w:szCs w:val="32"/>
      <w:lang w:val="en-US" w:eastAsia="zh-CN" w:bidi="ar"/>
    </w:rPr>
  </w:style>
  <w:style w:type="paragraph" w:customStyle="1" w:styleId="19">
    <w:name w:val="pre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0">
    <w:name w:val="公文正文"/>
    <w:basedOn w:val="18"/>
    <w:uiPriority w:val="0"/>
    <w:pPr>
      <w:shd w:val="clear" w:fill="FFFFFF"/>
      <w:spacing w:before="0" w:beforeAutospacing="0" w:after="0" w:afterAutospacing="1" w:line="600" w:lineRule="exact"/>
      <w:ind w:left="0" w:right="0" w:firstLine="880" w:firstLineChars="200"/>
      <w:jc w:val="left"/>
    </w:pPr>
    <w:rPr>
      <w:rFonts w:hint="eastAsia" w:ascii="Times New Roman" w:hAnsi="Times New Roman" w:eastAsia="方正仿宋_GBK" w:cs="Times New Roman"/>
      <w:kern w:val="0"/>
      <w:sz w:val="32"/>
      <w:szCs w:val="32"/>
      <w:shd w:val="clear" w:fill="auto"/>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2023-10-26T08:32:25Z</dcterms:created>
  <dc:creator>Data</dc:creator>
  <cp:lastModifiedBy>asus</cp:lastModifiedBy>
  <dcterms:modified xsi:type="dcterms:W3CDTF">2023-10-26T08:32:49Z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D06E4F0C84B3457986D646C413CD8E90_13</vt:lpwstr>
  </property>
</Properties>
</file>