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bCs/>
          <w:kern w:val="44"/>
          <w:sz w:val="44"/>
          <w:szCs w:val="44"/>
        </w:rPr>
      </w:pPr>
      <w:r>
        <w:rPr>
          <w:rFonts w:hint="eastAsia" w:ascii="方正小标宋_GBK" w:hAnsi="方正小标宋_GBK" w:eastAsia="方正小标宋_GBK" w:cs="方正小标宋_GBK"/>
          <w:b/>
          <w:bCs/>
          <w:kern w:val="44"/>
          <w:sz w:val="44"/>
          <w:szCs w:val="44"/>
        </w:rPr>
        <w:t>重庆市綦江区通惠街道社区事务服务中心</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2022年度部门决算情况说明</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一、部门基本情况</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（一）职能职责</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eastAsia" w:ascii="方正仿宋_GBK" w:hAnsi="方正仿宋_GBK" w:eastAsia="方正仿宋_GBK" w:cs="方正仿宋_GBK"/>
          <w:kern w:val="0"/>
          <w:sz w:val="32"/>
          <w:szCs w:val="32"/>
        </w:rPr>
        <w:t>根据《中共重庆市綦江区委机构编制委员会关于印发</w:t>
      </w:r>
      <w:r>
        <w:rPr>
          <w:rFonts w:hint="default" w:ascii="Calibri" w:hAnsi="Calibri" w:eastAsia="方正仿宋_GBK" w:cs="Calibri"/>
          <w:kern w:val="0"/>
          <w:sz w:val="32"/>
          <w:szCs w:val="32"/>
        </w:rPr>
        <w:t>&lt;</w:t>
      </w:r>
      <w:r>
        <w:rPr>
          <w:rFonts w:hint="eastAsia" w:ascii="方正仿宋_GBK" w:hAnsi="方正仿宋_GBK" w:eastAsia="方正仿宋_GBK" w:cs="方正仿宋_GBK"/>
          <w:kern w:val="0"/>
          <w:sz w:val="32"/>
          <w:szCs w:val="32"/>
        </w:rPr>
        <w:t>重庆市綦江区通惠街道综合办事机构和事业单位机构编制方案</w:t>
      </w:r>
      <w:r>
        <w:rPr>
          <w:rFonts w:hint="default" w:ascii="Calibri" w:hAnsi="Calibri" w:eastAsia="方正仿宋_GBK" w:cs="宋体"/>
          <w:kern w:val="0"/>
          <w:sz w:val="32"/>
          <w:szCs w:val="32"/>
        </w:rPr>
        <w:t>&gt;</w:t>
      </w:r>
      <w:r>
        <w:rPr>
          <w:rFonts w:hint="eastAsia" w:ascii="方正仿宋_GBK" w:hAnsi="方正仿宋_GBK" w:eastAsia="方正仿宋_GBK" w:cs="方正仿宋_GBK"/>
          <w:kern w:val="0"/>
          <w:sz w:val="32"/>
          <w:szCs w:val="32"/>
        </w:rPr>
        <w:t>的通知》（綦委编【</w:t>
      </w:r>
      <w:r>
        <w:rPr>
          <w:rFonts w:hint="default" w:ascii="Calibri" w:hAnsi="Calibri" w:eastAsia="方正仿宋_GBK" w:cs="Calibri"/>
          <w:kern w:val="0"/>
          <w:sz w:val="32"/>
          <w:szCs w:val="32"/>
        </w:rPr>
        <w:t>2020</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2</w:t>
      </w:r>
      <w:r>
        <w:rPr>
          <w:rFonts w:hint="eastAsia" w:ascii="方正仿宋_GBK" w:hAnsi="方正仿宋_GBK" w:eastAsia="方正仿宋_GBK" w:cs="方正仿宋_GBK"/>
          <w:kern w:val="0"/>
          <w:sz w:val="32"/>
          <w:szCs w:val="32"/>
        </w:rPr>
        <w:t>号）文件精神，本单位主要职能职责有：</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eastAsia" w:ascii="方正仿宋_GBK" w:hAnsi="方正仿宋_GBK" w:eastAsia="方正仿宋_GBK" w:cs="方正仿宋_GBK"/>
          <w:kern w:val="0"/>
          <w:sz w:val="32"/>
          <w:szCs w:val="32"/>
        </w:rPr>
        <w:t>协助辖区内物业管理的监督管理，协调物业管理与社区、业主的关系；负责组织成立业主大会筹备组，监督业主大会筹备组开展工作，指导成立业主委员会；承担辖区内业主委员会备案相关工作，指导业主委员会换届工作，监督业主大会和业主委员会依法履行职责；负责辖区内物业服务纠纷投诉受理；负责指导社区召开物业管理联席会议，协调解决物业管理工作中存在的问题；协助监管物业专项资金使用。</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（二）机构设置</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eastAsia" w:ascii="方正仿宋_GBK" w:hAnsi="方正仿宋_GBK" w:eastAsia="方正仿宋_GBK" w:cs="方正仿宋_GBK"/>
          <w:kern w:val="0"/>
          <w:sz w:val="32"/>
          <w:szCs w:val="32"/>
        </w:rPr>
        <w:t>根据《中共重庆市綦江区委机构编制委员会关于印发</w:t>
      </w:r>
      <w:r>
        <w:rPr>
          <w:rFonts w:hint="default" w:ascii="Calibri" w:hAnsi="Calibri" w:eastAsia="方正仿宋_GBK" w:cs="Calibri"/>
          <w:kern w:val="0"/>
          <w:sz w:val="32"/>
          <w:szCs w:val="32"/>
        </w:rPr>
        <w:t>&lt;</w:t>
      </w:r>
      <w:r>
        <w:rPr>
          <w:rFonts w:hint="eastAsia" w:ascii="方正仿宋_GBK" w:hAnsi="方正仿宋_GBK" w:eastAsia="方正仿宋_GBK" w:cs="方正仿宋_GBK"/>
          <w:kern w:val="0"/>
          <w:sz w:val="32"/>
          <w:szCs w:val="32"/>
        </w:rPr>
        <w:t>重庆市綦江区通惠街道综合办事机构和事业单位机构编制方案</w:t>
      </w:r>
      <w:r>
        <w:rPr>
          <w:rFonts w:hint="default" w:ascii="Calibri" w:hAnsi="Calibri" w:eastAsia="方正仿宋_GBK" w:cs="宋体"/>
          <w:kern w:val="0"/>
          <w:sz w:val="32"/>
          <w:szCs w:val="32"/>
        </w:rPr>
        <w:t>&gt;</w:t>
      </w:r>
      <w:r>
        <w:rPr>
          <w:rFonts w:hint="eastAsia" w:ascii="方正仿宋_GBK" w:hAnsi="方正仿宋_GBK" w:eastAsia="方正仿宋_GBK" w:cs="方正仿宋_GBK"/>
          <w:kern w:val="0"/>
          <w:sz w:val="32"/>
          <w:szCs w:val="32"/>
        </w:rPr>
        <w:t>的通知》（綦委编</w:t>
      </w:r>
      <w:r>
        <w:rPr>
          <w:rFonts w:hint="default" w:ascii="Calibri" w:hAnsi="Calibri" w:eastAsia="方正仿宋_GBK" w:cs="宋体"/>
          <w:kern w:val="0"/>
          <w:sz w:val="32"/>
          <w:szCs w:val="32"/>
        </w:rPr>
        <w:t>[2020]2</w:t>
      </w:r>
      <w:r>
        <w:rPr>
          <w:rFonts w:hint="eastAsia" w:ascii="方正仿宋_GBK" w:hAnsi="方正仿宋_GBK" w:eastAsia="方正仿宋_GBK" w:cs="方正仿宋_GBK"/>
          <w:kern w:val="0"/>
          <w:sz w:val="32"/>
          <w:szCs w:val="32"/>
        </w:rPr>
        <w:t>号）文件精神，本单位内设事业单位</w:t>
      </w:r>
      <w:r>
        <w:rPr>
          <w:rFonts w:hint="default" w:ascii="Calibri" w:hAnsi="Calibri" w:eastAsia="方正仿宋_GBK" w:cs="Calibri"/>
          <w:kern w:val="0"/>
          <w:sz w:val="32"/>
          <w:szCs w:val="32"/>
        </w:rPr>
        <w:t>1</w:t>
      </w:r>
      <w:r>
        <w:rPr>
          <w:rFonts w:hint="eastAsia" w:ascii="方正仿宋_GBK" w:hAnsi="方正仿宋_GBK" w:eastAsia="方正仿宋_GBK" w:cs="方正仿宋_GBK"/>
          <w:kern w:val="0"/>
          <w:sz w:val="32"/>
          <w:szCs w:val="32"/>
        </w:rPr>
        <w:t>个，即社区事务服务中心。</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二、部门决算情况说明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（一）收入支出决算总体情况说明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default" w:ascii="Calibri" w:hAnsi="Calibri" w:eastAsia="方正仿宋_GBK" w:cs="宋体"/>
          <w:kern w:val="0"/>
          <w:sz w:val="32"/>
          <w:szCs w:val="32"/>
        </w:rPr>
        <w:t>1.</w:t>
      </w:r>
      <w:r>
        <w:rPr>
          <w:rFonts w:hint="eastAsia" w:ascii="方正仿宋_GBK" w:hAnsi="方正仿宋_GBK" w:eastAsia="方正仿宋_GBK" w:cs="方正仿宋_GBK"/>
          <w:kern w:val="0"/>
          <w:sz w:val="32"/>
          <w:szCs w:val="32"/>
        </w:rPr>
        <w:t>总体情况。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年度收入总计</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万元，支出总计</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万元。收支较上年决算数增加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w:t>
      </w:r>
      <w:r>
        <w:rPr>
          <w:rFonts w:hint="eastAsia" w:ascii="方正仿宋_GBK" w:hAnsi="方正仿宋_GBK" w:eastAsia="方正仿宋_GBK" w:cs="方正仿宋_GBK"/>
          <w:kern w:val="0"/>
          <w:sz w:val="32"/>
          <w:szCs w:val="32"/>
        </w:rPr>
        <w:t>收入情况。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年度收入合计</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，主要原因是为衔接预算管理一体化，乡镇由统一核算改为独立核算，本年度为新增单位，无上年度数据。其中：财政拨款收入</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100.0%</w:t>
      </w:r>
      <w:r>
        <w:rPr>
          <w:rFonts w:hint="eastAsia" w:ascii="方正仿宋_GBK" w:hAnsi="方正仿宋_GBK" w:eastAsia="方正仿宋_GBK" w:cs="方正仿宋_GBK"/>
          <w:kern w:val="0"/>
          <w:sz w:val="32"/>
          <w:szCs w:val="32"/>
        </w:rPr>
        <w:t>。</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3.</w:t>
      </w:r>
      <w:r>
        <w:rPr>
          <w:rFonts w:hint="eastAsia" w:ascii="方正仿宋_GBK" w:hAnsi="方正仿宋_GBK" w:eastAsia="方正仿宋_GBK" w:cs="方正仿宋_GBK"/>
          <w:kern w:val="0"/>
          <w:sz w:val="32"/>
          <w:szCs w:val="32"/>
        </w:rPr>
        <w:t>支出情况。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年度支出合计</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万元，较上年决算增加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，主要原因是为衔接预算管理一体化，乡镇由统一核算改为独立核算，本年度为新增单位，无上年度数据。其中：基本支出</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100.0%</w:t>
      </w:r>
      <w:r>
        <w:rPr>
          <w:rFonts w:hint="eastAsia" w:ascii="方正仿宋_GBK" w:hAnsi="方正仿宋_GBK" w:eastAsia="方正仿宋_GBK" w:cs="方正仿宋_GBK"/>
          <w:kern w:val="0"/>
          <w:sz w:val="32"/>
          <w:szCs w:val="32"/>
        </w:rPr>
        <w:t>。</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4.</w:t>
      </w:r>
      <w:r>
        <w:rPr>
          <w:rFonts w:hint="eastAsia" w:ascii="方正仿宋_GBK" w:hAnsi="方正仿宋_GBK" w:eastAsia="方正仿宋_GBK" w:cs="方正仿宋_GBK"/>
          <w:kern w:val="0"/>
          <w:sz w:val="32"/>
          <w:szCs w:val="32"/>
        </w:rPr>
        <w:t>结转结余情况。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年度年末结转和结余</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年度年末无结转结余。</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（二）财政拨款收入支出决算总体情况说明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年度财政拨款收、支总计</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万元。与</w:t>
      </w:r>
      <w:r>
        <w:rPr>
          <w:rFonts w:hint="default" w:ascii="Calibri" w:hAnsi="Calibri" w:eastAsia="方正仿宋_GBK" w:cs="宋体"/>
          <w:kern w:val="0"/>
          <w:sz w:val="32"/>
          <w:szCs w:val="32"/>
        </w:rPr>
        <w:t>2021</w:t>
      </w:r>
      <w:r>
        <w:rPr>
          <w:rFonts w:hint="eastAsia" w:ascii="方正仿宋_GBK" w:hAnsi="方正仿宋_GBK" w:eastAsia="方正仿宋_GBK" w:cs="方正仿宋_GBK"/>
          <w:kern w:val="0"/>
          <w:sz w:val="32"/>
          <w:szCs w:val="32"/>
        </w:rPr>
        <w:t>年相比，财政拨款收、支总计各增加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（三）一般公共预算财政拨款收入支出决算情况说明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1.</w:t>
      </w:r>
      <w:r>
        <w:rPr>
          <w:rFonts w:hint="eastAsia" w:ascii="方正仿宋_GBK" w:hAnsi="方正仿宋_GBK" w:eastAsia="方正仿宋_GBK" w:cs="方正仿宋_GBK"/>
          <w:kern w:val="0"/>
          <w:sz w:val="32"/>
          <w:szCs w:val="32"/>
        </w:rPr>
        <w:t>收入情况。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年度一般公共预算财政拨款收入</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。主要原因是为衔接预算管理一体化，乡镇由统一核算改为独立核算，本年度为新增单位，无上年度数据。较年初预算数增加</w:t>
      </w:r>
      <w:r>
        <w:rPr>
          <w:rFonts w:hint="default" w:ascii="Calibri" w:hAnsi="Calibri" w:eastAsia="方正仿宋_GBK" w:cs="宋体"/>
          <w:kern w:val="0"/>
          <w:sz w:val="32"/>
          <w:szCs w:val="32"/>
        </w:rPr>
        <w:t>3.69</w:t>
      </w:r>
      <w:r>
        <w:rPr>
          <w:rFonts w:hint="eastAsia" w:ascii="方正仿宋_GBK" w:hAnsi="方正仿宋_GBK" w:eastAsia="方正仿宋_GBK" w:cs="方正仿宋_GBK"/>
          <w:kern w:val="0"/>
          <w:sz w:val="32"/>
          <w:szCs w:val="32"/>
        </w:rPr>
        <w:t>万元，增长</w:t>
      </w:r>
      <w:r>
        <w:rPr>
          <w:rFonts w:hint="default" w:ascii="Calibri" w:hAnsi="Calibri" w:eastAsia="方正仿宋_GBK" w:cs="宋体"/>
          <w:kern w:val="0"/>
          <w:sz w:val="32"/>
          <w:szCs w:val="32"/>
        </w:rPr>
        <w:t>3.8%</w:t>
      </w:r>
      <w:r>
        <w:rPr>
          <w:rFonts w:hint="eastAsia" w:ascii="方正仿宋_GBK" w:hAnsi="方正仿宋_GBK" w:eastAsia="方正仿宋_GBK" w:cs="方正仿宋_GBK"/>
          <w:kern w:val="0"/>
          <w:sz w:val="32"/>
          <w:szCs w:val="32"/>
        </w:rPr>
        <w:t>。主要原因是</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年度调标增资，相关工资、五险一金等人员类经费增加。此外，年初财政拨款结转和结余</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default" w:ascii="Calibri" w:hAnsi="Calibri" w:eastAsia="方正仿宋_GBK" w:cs="宋体"/>
          <w:kern w:val="0"/>
          <w:sz w:val="32"/>
          <w:szCs w:val="32"/>
        </w:rPr>
        <w:t>2.</w:t>
      </w:r>
      <w:r>
        <w:rPr>
          <w:rFonts w:hint="eastAsia" w:ascii="方正仿宋_GBK" w:hAnsi="方正仿宋_GBK" w:eastAsia="方正仿宋_GBK" w:cs="方正仿宋_GBK"/>
          <w:kern w:val="0"/>
          <w:sz w:val="32"/>
          <w:szCs w:val="32"/>
        </w:rPr>
        <w:t>支出情况。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年度一般公共预算财政拨款支出</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。主要原因是为衔接预算管理一体化，乡镇由统一核算改为独立核算，本年度为新增单位，无上年度数据。较年初预算数增加</w:t>
      </w:r>
      <w:r>
        <w:rPr>
          <w:rFonts w:hint="default" w:ascii="Calibri" w:hAnsi="Calibri" w:eastAsia="方正仿宋_GBK" w:cs="宋体"/>
          <w:kern w:val="0"/>
          <w:sz w:val="32"/>
          <w:szCs w:val="32"/>
        </w:rPr>
        <w:t>3.69</w:t>
      </w:r>
      <w:r>
        <w:rPr>
          <w:rFonts w:hint="eastAsia" w:ascii="方正仿宋_GBK" w:hAnsi="方正仿宋_GBK" w:eastAsia="方正仿宋_GBK" w:cs="方正仿宋_GBK"/>
          <w:kern w:val="0"/>
          <w:sz w:val="32"/>
          <w:szCs w:val="32"/>
        </w:rPr>
        <w:t>万元，增长</w:t>
      </w:r>
      <w:r>
        <w:rPr>
          <w:rFonts w:hint="default" w:ascii="Calibri" w:hAnsi="Calibri" w:eastAsia="方正仿宋_GBK" w:cs="宋体"/>
          <w:kern w:val="0"/>
          <w:sz w:val="32"/>
          <w:szCs w:val="32"/>
        </w:rPr>
        <w:t>3.8%</w:t>
      </w:r>
      <w:r>
        <w:rPr>
          <w:rFonts w:hint="eastAsia" w:ascii="方正仿宋_GBK" w:hAnsi="方正仿宋_GBK" w:eastAsia="方正仿宋_GBK" w:cs="方正仿宋_GBK"/>
          <w:kern w:val="0"/>
          <w:sz w:val="32"/>
          <w:szCs w:val="32"/>
        </w:rPr>
        <w:t>。主要原因是</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年度调标增资，相关工资、五险一金等人员类经费增加。</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3.</w:t>
      </w:r>
      <w:r>
        <w:rPr>
          <w:rFonts w:hint="eastAsia" w:ascii="方正仿宋_GBK" w:hAnsi="方正仿宋_GBK" w:eastAsia="方正仿宋_GBK" w:cs="方正仿宋_GBK"/>
          <w:kern w:val="0"/>
          <w:sz w:val="32"/>
          <w:szCs w:val="32"/>
        </w:rPr>
        <w:t>结转结余情况。</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年度年末一般公共预算财政拨款结转和结余</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年度年末无一般公共预算财政拨款结转和结余。</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4.</w:t>
      </w:r>
      <w:r>
        <w:rPr>
          <w:rFonts w:hint="eastAsia" w:ascii="方正仿宋_GBK" w:hAnsi="方正仿宋_GBK" w:eastAsia="方正仿宋_GBK" w:cs="方正仿宋_GBK"/>
          <w:kern w:val="0"/>
          <w:sz w:val="32"/>
          <w:szCs w:val="32"/>
        </w:rPr>
        <w:t>比较情况。本部门</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年度一般公共预算财政拨款支出主要用于以下几个方面：</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1</w:t>
      </w:r>
      <w:r>
        <w:rPr>
          <w:rFonts w:hint="eastAsia" w:ascii="方正仿宋_GBK" w:hAnsi="方正仿宋_GBK" w:eastAsia="方正仿宋_GBK" w:cs="方正仿宋_GBK"/>
          <w:kern w:val="0"/>
          <w:sz w:val="32"/>
          <w:szCs w:val="32"/>
        </w:rPr>
        <w:t>）社会保障与就业支出</w:t>
      </w:r>
      <w:r>
        <w:rPr>
          <w:rFonts w:hint="default" w:ascii="Calibri" w:hAnsi="Calibri" w:eastAsia="方正仿宋_GBK" w:cs="宋体"/>
          <w:kern w:val="0"/>
          <w:sz w:val="32"/>
          <w:szCs w:val="32"/>
        </w:rPr>
        <w:t>8.91</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8.9%</w:t>
      </w:r>
      <w:r>
        <w:rPr>
          <w:rFonts w:hint="eastAsia" w:ascii="方正仿宋_GBK" w:hAnsi="方正仿宋_GBK" w:eastAsia="方正仿宋_GBK" w:cs="方正仿宋_GBK"/>
          <w:kern w:val="0"/>
          <w:sz w:val="32"/>
          <w:szCs w:val="32"/>
        </w:rPr>
        <w:t>，较年初预算数减少</w:t>
      </w:r>
      <w:r>
        <w:rPr>
          <w:rFonts w:hint="default" w:ascii="Calibri" w:hAnsi="Calibri" w:eastAsia="方正仿宋_GBK" w:cs="宋体"/>
          <w:kern w:val="0"/>
          <w:sz w:val="32"/>
          <w:szCs w:val="32"/>
        </w:rPr>
        <w:t>0.32</w:t>
      </w:r>
      <w:r>
        <w:rPr>
          <w:rFonts w:hint="eastAsia" w:ascii="方正仿宋_GBK" w:hAnsi="方正仿宋_GBK" w:eastAsia="方正仿宋_GBK" w:cs="方正仿宋_GBK"/>
          <w:kern w:val="0"/>
          <w:sz w:val="32"/>
          <w:szCs w:val="32"/>
        </w:rPr>
        <w:t>万元，下降</w:t>
      </w:r>
      <w:r>
        <w:rPr>
          <w:rFonts w:hint="default" w:ascii="Calibri" w:hAnsi="Calibri" w:eastAsia="方正仿宋_GBK" w:cs="宋体"/>
          <w:kern w:val="0"/>
          <w:sz w:val="32"/>
          <w:szCs w:val="32"/>
        </w:rPr>
        <w:t>3.5%</w:t>
      </w:r>
      <w:r>
        <w:rPr>
          <w:rFonts w:hint="eastAsia" w:ascii="方正仿宋_GBK" w:hAnsi="方正仿宋_GBK" w:eastAsia="方正仿宋_GBK" w:cs="方正仿宋_GBK"/>
          <w:kern w:val="0"/>
          <w:sz w:val="32"/>
          <w:szCs w:val="32"/>
        </w:rPr>
        <w:t>，主要原因是养老保险费用较年初预算减少。</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2</w:t>
      </w:r>
      <w:r>
        <w:rPr>
          <w:rFonts w:hint="eastAsia" w:ascii="方正仿宋_GBK" w:hAnsi="方正仿宋_GBK" w:eastAsia="方正仿宋_GBK" w:cs="方正仿宋_GBK"/>
          <w:kern w:val="0"/>
          <w:sz w:val="32"/>
          <w:szCs w:val="32"/>
        </w:rPr>
        <w:t>）卫生健康支出</w:t>
      </w:r>
      <w:r>
        <w:rPr>
          <w:rFonts w:hint="default" w:ascii="Calibri" w:hAnsi="Calibri" w:eastAsia="方正仿宋_GBK" w:cs="宋体"/>
          <w:kern w:val="0"/>
          <w:sz w:val="32"/>
          <w:szCs w:val="32"/>
        </w:rPr>
        <w:t>4.33</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4.3%</w:t>
      </w:r>
      <w:r>
        <w:rPr>
          <w:rFonts w:hint="eastAsia" w:ascii="方正仿宋_GBK" w:hAnsi="方正仿宋_GBK" w:eastAsia="方正仿宋_GBK" w:cs="方正仿宋_GBK"/>
          <w:kern w:val="0"/>
          <w:sz w:val="32"/>
          <w:szCs w:val="32"/>
        </w:rPr>
        <w:t>，较年初预算数增加</w:t>
      </w:r>
      <w:r>
        <w:rPr>
          <w:rFonts w:hint="default" w:ascii="Calibri" w:hAnsi="Calibri" w:eastAsia="方正仿宋_GBK" w:cs="宋体"/>
          <w:kern w:val="0"/>
          <w:sz w:val="32"/>
          <w:szCs w:val="32"/>
        </w:rPr>
        <w:t>0.17</w:t>
      </w:r>
      <w:r>
        <w:rPr>
          <w:rFonts w:hint="eastAsia" w:ascii="方正仿宋_GBK" w:hAnsi="方正仿宋_GBK" w:eastAsia="方正仿宋_GBK" w:cs="方正仿宋_GBK"/>
          <w:kern w:val="0"/>
          <w:sz w:val="32"/>
          <w:szCs w:val="32"/>
        </w:rPr>
        <w:t>万元，增长</w:t>
      </w:r>
      <w:r>
        <w:rPr>
          <w:rFonts w:hint="default" w:ascii="Calibri" w:hAnsi="Calibri" w:eastAsia="方正仿宋_GBK" w:cs="宋体"/>
          <w:kern w:val="0"/>
          <w:sz w:val="32"/>
          <w:szCs w:val="32"/>
        </w:rPr>
        <w:t>4.1%</w:t>
      </w:r>
      <w:r>
        <w:rPr>
          <w:rFonts w:hint="eastAsia" w:ascii="方正仿宋_GBK" w:hAnsi="方正仿宋_GBK" w:eastAsia="方正仿宋_GBK" w:cs="方正仿宋_GBK"/>
          <w:kern w:val="0"/>
          <w:sz w:val="32"/>
          <w:szCs w:val="32"/>
        </w:rPr>
        <w:t>，主要原因是医疗保险费用较年初预算增加。</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3</w:t>
      </w:r>
      <w:r>
        <w:rPr>
          <w:rFonts w:hint="eastAsia" w:ascii="方正仿宋_GBK" w:hAnsi="方正仿宋_GBK" w:eastAsia="方正仿宋_GBK" w:cs="方正仿宋_GBK"/>
          <w:kern w:val="0"/>
          <w:sz w:val="32"/>
          <w:szCs w:val="32"/>
        </w:rPr>
        <w:t>）城乡社区支出</w:t>
      </w:r>
      <w:r>
        <w:rPr>
          <w:rFonts w:hint="default" w:ascii="Calibri" w:hAnsi="Calibri" w:eastAsia="方正仿宋_GBK" w:cs="宋体"/>
          <w:kern w:val="0"/>
          <w:sz w:val="32"/>
          <w:szCs w:val="32"/>
        </w:rPr>
        <w:t>82.04</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82.3%</w:t>
      </w:r>
      <w:r>
        <w:rPr>
          <w:rFonts w:hint="eastAsia" w:ascii="方正仿宋_GBK" w:hAnsi="方正仿宋_GBK" w:eastAsia="方正仿宋_GBK" w:cs="方正仿宋_GBK"/>
          <w:kern w:val="0"/>
          <w:sz w:val="32"/>
          <w:szCs w:val="32"/>
        </w:rPr>
        <w:t>，较年初预算数增加</w:t>
      </w:r>
      <w:r>
        <w:rPr>
          <w:rFonts w:hint="default" w:ascii="Calibri" w:hAnsi="Calibri" w:eastAsia="方正仿宋_GBK" w:cs="宋体"/>
          <w:kern w:val="0"/>
          <w:sz w:val="32"/>
          <w:szCs w:val="32"/>
        </w:rPr>
        <w:t>3.63</w:t>
      </w:r>
      <w:r>
        <w:rPr>
          <w:rFonts w:hint="eastAsia" w:ascii="方正仿宋_GBK" w:hAnsi="方正仿宋_GBK" w:eastAsia="方正仿宋_GBK" w:cs="方正仿宋_GBK"/>
          <w:kern w:val="0"/>
          <w:sz w:val="32"/>
          <w:szCs w:val="32"/>
        </w:rPr>
        <w:t>万元，增长</w:t>
      </w:r>
      <w:r>
        <w:rPr>
          <w:rFonts w:hint="default" w:ascii="Calibri" w:hAnsi="Calibri" w:eastAsia="方正仿宋_GBK" w:cs="宋体"/>
          <w:kern w:val="0"/>
          <w:sz w:val="32"/>
          <w:szCs w:val="32"/>
        </w:rPr>
        <w:t>4.6%</w:t>
      </w:r>
      <w:r>
        <w:rPr>
          <w:rFonts w:hint="eastAsia" w:ascii="方正仿宋_GBK" w:hAnsi="方正仿宋_GBK" w:eastAsia="方正仿宋_GBK" w:cs="方正仿宋_GBK"/>
          <w:kern w:val="0"/>
          <w:sz w:val="32"/>
          <w:szCs w:val="32"/>
        </w:rPr>
        <w:t>，主要原因是调标增资，相关薪酬类人员经费增加。</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4</w:t>
      </w:r>
      <w:r>
        <w:rPr>
          <w:rFonts w:hint="eastAsia" w:ascii="方正仿宋_GBK" w:hAnsi="方正仿宋_GBK" w:eastAsia="方正仿宋_GBK" w:cs="方正仿宋_GBK"/>
          <w:kern w:val="0"/>
          <w:sz w:val="32"/>
          <w:szCs w:val="32"/>
        </w:rPr>
        <w:t>）住房保障支出</w:t>
      </w:r>
      <w:r>
        <w:rPr>
          <w:rFonts w:hint="default" w:ascii="Calibri" w:hAnsi="Calibri" w:eastAsia="方正仿宋_GBK" w:cs="宋体"/>
          <w:kern w:val="0"/>
          <w:sz w:val="32"/>
          <w:szCs w:val="32"/>
        </w:rPr>
        <w:t>4.45</w:t>
      </w:r>
      <w:r>
        <w:rPr>
          <w:rFonts w:hint="eastAsia" w:ascii="方正仿宋_GBK" w:hAnsi="方正仿宋_GBK" w:eastAsia="方正仿宋_GBK" w:cs="方正仿宋_GBK"/>
          <w:kern w:val="0"/>
          <w:sz w:val="32"/>
          <w:szCs w:val="32"/>
        </w:rPr>
        <w:t>万元，占</w:t>
      </w:r>
      <w:r>
        <w:rPr>
          <w:rFonts w:hint="default" w:ascii="Calibri" w:hAnsi="Calibri" w:eastAsia="方正仿宋_GBK" w:cs="宋体"/>
          <w:kern w:val="0"/>
          <w:sz w:val="32"/>
          <w:szCs w:val="32"/>
        </w:rPr>
        <w:t>4.5%</w:t>
      </w:r>
      <w:r>
        <w:rPr>
          <w:rFonts w:hint="eastAsia" w:ascii="方正仿宋_GBK" w:hAnsi="方正仿宋_GBK" w:eastAsia="方正仿宋_GBK" w:cs="方正仿宋_GBK"/>
          <w:kern w:val="0"/>
          <w:sz w:val="32"/>
          <w:szCs w:val="32"/>
        </w:rPr>
        <w:t>，较年初预算数增加</w:t>
      </w:r>
      <w:r>
        <w:rPr>
          <w:rFonts w:hint="default" w:ascii="Calibri" w:hAnsi="Calibri" w:eastAsia="方正仿宋_GBK" w:cs="宋体"/>
          <w:kern w:val="0"/>
          <w:sz w:val="32"/>
          <w:szCs w:val="32"/>
        </w:rPr>
        <w:t>0.21</w:t>
      </w:r>
      <w:r>
        <w:rPr>
          <w:rFonts w:hint="eastAsia" w:ascii="方正仿宋_GBK" w:hAnsi="方正仿宋_GBK" w:eastAsia="方正仿宋_GBK" w:cs="方正仿宋_GBK"/>
          <w:kern w:val="0"/>
          <w:sz w:val="32"/>
          <w:szCs w:val="32"/>
        </w:rPr>
        <w:t>万元，增长</w:t>
      </w:r>
      <w:r>
        <w:rPr>
          <w:rFonts w:hint="default" w:ascii="Calibri" w:hAnsi="Calibri" w:eastAsia="方正仿宋_GBK" w:cs="宋体"/>
          <w:kern w:val="0"/>
          <w:sz w:val="32"/>
          <w:szCs w:val="32"/>
        </w:rPr>
        <w:t>5%</w:t>
      </w:r>
      <w:r>
        <w:rPr>
          <w:rFonts w:hint="eastAsia" w:ascii="方正仿宋_GBK" w:hAnsi="方正仿宋_GBK" w:eastAsia="方正仿宋_GBK" w:cs="方正仿宋_GBK"/>
          <w:kern w:val="0"/>
          <w:sz w:val="32"/>
          <w:szCs w:val="32"/>
        </w:rPr>
        <w:t>，主要原因是住房公积金费用较年初预算增加。</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（四）一般公共预算财政拨款基本支出决算情况说明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年度一般公共预算财政拨款基本支出</w:t>
      </w:r>
      <w:r>
        <w:rPr>
          <w:rFonts w:hint="default" w:ascii="Calibri" w:hAnsi="Calibri" w:eastAsia="方正仿宋_GBK" w:cs="宋体"/>
          <w:kern w:val="0"/>
          <w:sz w:val="32"/>
          <w:szCs w:val="32"/>
        </w:rPr>
        <w:t>99.73</w:t>
      </w:r>
      <w:r>
        <w:rPr>
          <w:rFonts w:hint="eastAsia" w:ascii="方正仿宋_GBK" w:hAnsi="方正仿宋_GBK" w:eastAsia="方正仿宋_GBK" w:cs="方正仿宋_GBK"/>
          <w:kern w:val="0"/>
          <w:sz w:val="32"/>
          <w:szCs w:val="32"/>
        </w:rPr>
        <w:t>万元。其中：人员经费</w:t>
      </w:r>
      <w:r>
        <w:rPr>
          <w:rFonts w:hint="default" w:ascii="Calibri" w:hAnsi="Calibri" w:eastAsia="方正仿宋_GBK" w:cs="宋体"/>
          <w:kern w:val="0"/>
          <w:sz w:val="32"/>
          <w:szCs w:val="32"/>
        </w:rPr>
        <w:t>82.96</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82.96</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，主要原因是为衔接预算管理一体化，乡镇由统一核算改为独立核算，本年度为新增单位，无上年度数据。人员经费用途主要包括人员工资、绩效、津补贴、社保和公积金等。公用经费</w:t>
      </w:r>
      <w:r>
        <w:rPr>
          <w:rFonts w:hint="default" w:ascii="Calibri" w:hAnsi="Calibri" w:eastAsia="方正仿宋_GBK" w:cs="宋体"/>
          <w:kern w:val="0"/>
          <w:sz w:val="32"/>
          <w:szCs w:val="32"/>
        </w:rPr>
        <w:t>16.77</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16.77</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，主要原因是为衔接预算管理一体化，乡镇由统一核算改为独立核算，本年度为新增单位，无上年度数据。公用经费用途主要包括办公费、会议费、培训费、印刷费、工会经费等。</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（五）政府性基金预算收支决算情况说明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本部门</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（六）国有资本经营预算财政拨款支出决算情况说明</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hint="eastAsia" w:ascii="Calibri" w:hAnsi="Calibri" w:eastAsia="方正仿宋_GBK" w:cs="宋体"/>
          <w:kern w:val="0"/>
          <w:sz w:val="32"/>
          <w:szCs w:val="32"/>
        </w:rPr>
      </w:pPr>
      <w:r>
        <w:rPr>
          <w:rFonts w:hint="eastAsia" w:ascii="方正仿宋_GBK" w:hAnsi="方正仿宋_GBK" w:eastAsia="方正仿宋_GBK" w:cs="方正仿宋_GBK"/>
          <w:kern w:val="0"/>
          <w:sz w:val="32"/>
          <w:szCs w:val="32"/>
        </w:rPr>
        <w:t>本部门</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年度无国有资本经营预算财政拨款支出。</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三、“三公”经费情况说明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（一）“三公”经费支出总体情况说明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三公</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经费支出共计</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万元，较年初预算数增加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年度未发生“三公”经费支出。</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（二）“三公”经费分项支出情况</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年度本部门因公出国（境）费用</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年度未发生因公出国（境）费用。</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公务车购置费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年度未发生公务车购置费用。</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公务车运行维护费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万元，费用较上年支出数增加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年度未发生公务车运行维护费用。</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公务接待费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万元，较上年支出数增加</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万元，本单位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年度未发生公务接待费用。</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（三）“三公”经费实物量情况</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年度本部门因公出国（境）共计</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个团组，</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人；公务用车购置</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辆，公务车保有量为</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辆；国内公务接待</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批次</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人，其中：国内外事接待</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批次，</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批次，</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人。</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年本部门人均接待费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元，车均购置费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Calibri" w:hAnsi="Calibri" w:eastAsia="方正仿宋_GBK" w:cs="宋体"/>
          <w:kern w:val="0"/>
          <w:sz w:val="32"/>
          <w:szCs w:val="32"/>
        </w:rPr>
        <w:t>0.00</w:t>
      </w:r>
      <w:r>
        <w:rPr>
          <w:rFonts w:hint="eastAsia" w:ascii="方正仿宋_GBK" w:hAnsi="方正仿宋_GBK" w:eastAsia="方正仿宋_GBK" w:cs="方正仿宋_GBK"/>
          <w:kern w:val="0"/>
          <w:sz w:val="32"/>
          <w:szCs w:val="32"/>
        </w:rPr>
        <w:t>万元。</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四、其他需要说明的事项</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（一）财政拨款会议费和培训费情况说明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本年度会议费支出</w:t>
      </w:r>
      <w:r>
        <w:rPr>
          <w:rFonts w:hint="default" w:ascii="Calibri" w:hAnsi="Calibri" w:eastAsia="方正仿宋_GBK" w:cs="宋体"/>
          <w:kern w:val="0"/>
          <w:sz w:val="32"/>
          <w:szCs w:val="32"/>
        </w:rPr>
        <w:t>0.15</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0.15</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，主要原因是为衔接预算管理一体化，乡镇由统一核算改为独立核算，本年度为新增单位，无上年度数据。本年度培训费支出</w:t>
      </w:r>
      <w:r>
        <w:rPr>
          <w:rFonts w:hint="default" w:ascii="Calibri" w:hAnsi="Calibri" w:eastAsia="方正仿宋_GBK" w:cs="宋体"/>
          <w:kern w:val="0"/>
          <w:sz w:val="32"/>
          <w:szCs w:val="32"/>
        </w:rPr>
        <w:t>0.68</w:t>
      </w:r>
      <w:r>
        <w:rPr>
          <w:rFonts w:hint="eastAsia" w:ascii="方正仿宋_GBK" w:hAnsi="方正仿宋_GBK" w:eastAsia="方正仿宋_GBK" w:cs="方正仿宋_GBK"/>
          <w:kern w:val="0"/>
          <w:sz w:val="32"/>
          <w:szCs w:val="32"/>
        </w:rPr>
        <w:t>万元，较上年决算数增加</w:t>
      </w:r>
      <w:r>
        <w:rPr>
          <w:rFonts w:hint="default" w:ascii="Calibri" w:hAnsi="Calibri" w:eastAsia="方正仿宋_GBK" w:cs="宋体"/>
          <w:kern w:val="0"/>
          <w:sz w:val="32"/>
          <w:szCs w:val="32"/>
        </w:rPr>
        <w:t>0.68</w:t>
      </w:r>
      <w:r>
        <w:rPr>
          <w:rFonts w:hint="eastAsia" w:ascii="方正仿宋_GBK" w:hAnsi="方正仿宋_GBK" w:eastAsia="方正仿宋_GBK" w:cs="方正仿宋_GBK"/>
          <w:kern w:val="0"/>
          <w:sz w:val="32"/>
          <w:szCs w:val="32"/>
        </w:rPr>
        <w:t>万元，增长</w:t>
      </w:r>
      <w:r>
        <w:rPr>
          <w:rFonts w:hint="default" w:ascii="Calibri" w:hAnsi="Calibri" w:eastAsia="方正仿宋_GBK" w:cs="Calibri"/>
          <w:kern w:val="0"/>
          <w:sz w:val="32"/>
          <w:szCs w:val="32"/>
        </w:rPr>
        <w:t>100.0</w:t>
      </w:r>
      <w:r>
        <w:rPr>
          <w:rFonts w:hint="default" w:ascii="Calibri" w:hAnsi="Calibri" w:eastAsia="方正仿宋_GBK" w:cs="宋体"/>
          <w:kern w:val="0"/>
          <w:sz w:val="32"/>
          <w:szCs w:val="32"/>
        </w:rPr>
        <w:t>%</w:t>
      </w:r>
      <w:r>
        <w:rPr>
          <w:rFonts w:hint="eastAsia" w:ascii="方正仿宋_GBK" w:hAnsi="方正仿宋_GBK" w:eastAsia="方正仿宋_GBK" w:cs="方正仿宋_GBK"/>
          <w:kern w:val="0"/>
          <w:sz w:val="32"/>
          <w:szCs w:val="32"/>
        </w:rPr>
        <w:t>，主要原因是为衔接预算管理一体化，乡镇由统一核算改为独立核算，本年度为新增单位，无上年度数据。</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（二）机关运行经费支出情况说明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仿宋_GBK" w:cs="宋体"/>
          <w:kern w:val="0"/>
          <w:sz w:val="32"/>
          <w:szCs w:val="32"/>
        </w:rPr>
      </w:pPr>
      <w:r>
        <w:rPr>
          <w:rFonts w:hint="eastAsia" w:ascii="方正仿宋_GBK" w:hAnsi="方正仿宋_GBK" w:eastAsia="方正仿宋_GBK" w:cs="方正仿宋_GBK"/>
          <w:kern w:val="0"/>
          <w:sz w:val="32"/>
          <w:szCs w:val="32"/>
        </w:rPr>
        <w:t>按照部门决算列报口径，我单位不在机关运行经费统计范围之内。</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（三）国有资产占用情况说明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截至</w:t>
      </w: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w:t>
      </w:r>
      <w:r>
        <w:rPr>
          <w:rFonts w:hint="default" w:ascii="Calibri" w:hAnsi="Calibri" w:eastAsia="方正仿宋_GBK" w:cs="宋体"/>
          <w:kern w:val="0"/>
          <w:sz w:val="32"/>
          <w:szCs w:val="32"/>
        </w:rPr>
        <w:t>12</w:t>
      </w:r>
      <w:r>
        <w:rPr>
          <w:rFonts w:hint="eastAsia" w:ascii="方正仿宋_GBK" w:hAnsi="方正仿宋_GBK" w:eastAsia="方正仿宋_GBK" w:cs="方正仿宋_GBK"/>
          <w:kern w:val="0"/>
          <w:sz w:val="32"/>
          <w:szCs w:val="32"/>
        </w:rPr>
        <w:t>月</w:t>
      </w:r>
      <w:r>
        <w:rPr>
          <w:rFonts w:hint="default" w:ascii="Calibri" w:hAnsi="Calibri" w:eastAsia="方正仿宋_GBK" w:cs="宋体"/>
          <w:kern w:val="0"/>
          <w:sz w:val="32"/>
          <w:szCs w:val="32"/>
        </w:rPr>
        <w:t>31</w:t>
      </w:r>
      <w:r>
        <w:rPr>
          <w:rFonts w:hint="eastAsia" w:ascii="方正仿宋_GBK" w:hAnsi="方正仿宋_GBK" w:eastAsia="方正仿宋_GBK" w:cs="方正仿宋_GBK"/>
          <w:kern w:val="0"/>
          <w:sz w:val="32"/>
          <w:szCs w:val="32"/>
        </w:rPr>
        <w:t>日，本部门共有车辆</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辆，其中，副部（省）级及以上领导用车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辆、主要领导干部用车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辆、机要通信用车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辆、应急保障用车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辆、执法执勤用车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辆，特种专业技术用车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辆，离退休干部用车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辆，其他用车</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辆。单价</w:t>
      </w:r>
      <w:r>
        <w:rPr>
          <w:rFonts w:hint="default" w:ascii="Calibri" w:hAnsi="Calibri" w:eastAsia="方正仿宋_GBK" w:cs="宋体"/>
          <w:kern w:val="0"/>
          <w:sz w:val="32"/>
          <w:szCs w:val="32"/>
        </w:rPr>
        <w:t>100</w:t>
      </w:r>
      <w:r>
        <w:rPr>
          <w:rFonts w:hint="eastAsia" w:ascii="方正仿宋_GBK" w:hAnsi="方正仿宋_GBK" w:eastAsia="方正仿宋_GBK" w:cs="方正仿宋_GBK"/>
          <w:kern w:val="0"/>
          <w:sz w:val="32"/>
          <w:szCs w:val="32"/>
        </w:rPr>
        <w:t>万元（含）以上设备（不含车辆）</w:t>
      </w:r>
      <w:r>
        <w:rPr>
          <w:rFonts w:hint="default" w:ascii="Calibri" w:hAnsi="Calibri" w:eastAsia="方正仿宋_GBK" w:cs="宋体"/>
          <w:kern w:val="0"/>
          <w:sz w:val="32"/>
          <w:szCs w:val="32"/>
        </w:rPr>
        <w:t>0</w:t>
      </w:r>
      <w:r>
        <w:rPr>
          <w:rFonts w:hint="eastAsia" w:ascii="方正仿宋_GBK" w:hAnsi="方正仿宋_GBK" w:eastAsia="方正仿宋_GBK" w:cs="方正仿宋_GBK"/>
          <w:kern w:val="0"/>
          <w:sz w:val="32"/>
          <w:szCs w:val="32"/>
        </w:rPr>
        <w:t>台（套）。</w:t>
      </w:r>
    </w:p>
    <w:p>
      <w:pPr>
        <w:pStyle w:val="1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宋体" w:hAnsi="宋体" w:eastAsia="方正楷体_GBK" w:cs="宋体"/>
          <w:b w:val="0"/>
          <w:bCs w:val="0"/>
          <w:kern w:val="0"/>
          <w:sz w:val="32"/>
          <w:szCs w:val="32"/>
        </w:rPr>
      </w:pPr>
      <w:r>
        <w:rPr>
          <w:rFonts w:hint="eastAsia" w:ascii="方正楷体_GBK" w:hAnsi="方正楷体_GBK" w:eastAsia="方正楷体_GBK" w:cs="方正楷体_GBK"/>
          <w:b w:val="0"/>
          <w:bCs w:val="0"/>
          <w:kern w:val="0"/>
          <w:sz w:val="32"/>
          <w:szCs w:val="32"/>
        </w:rPr>
        <w:t>（四）政府采购支出说明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default" w:ascii="Calibri" w:hAnsi="Calibri" w:eastAsia="方正仿宋_GBK" w:cs="宋体"/>
          <w:kern w:val="0"/>
          <w:sz w:val="32"/>
          <w:szCs w:val="32"/>
        </w:rPr>
        <w:t>2022</w:t>
      </w:r>
      <w:r>
        <w:rPr>
          <w:rFonts w:hint="eastAsia" w:ascii="方正仿宋_GBK" w:hAnsi="方正仿宋_GBK" w:eastAsia="方正仿宋_GBK" w:cs="方正仿宋_GBK"/>
          <w:kern w:val="0"/>
          <w:sz w:val="32"/>
          <w:szCs w:val="32"/>
        </w:rPr>
        <w:t>年度我单位未发生政府采购事项，无相关经费支出。</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五、预算绩效管理情况说明</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本单位为通惠街道办事处下属二级预算单位，</w:t>
      </w:r>
      <w:r>
        <w:rPr>
          <w:rFonts w:hint="default" w:ascii="Calibri" w:hAnsi="Calibri" w:eastAsia="方正仿宋_GBK" w:cs="Calibri"/>
          <w:kern w:val="0"/>
          <w:sz w:val="32"/>
          <w:szCs w:val="32"/>
        </w:rPr>
        <w:t>2022</w:t>
      </w:r>
      <w:r>
        <w:rPr>
          <w:rFonts w:hint="eastAsia" w:ascii="方正仿宋_GBK" w:hAnsi="方正仿宋_GBK" w:eastAsia="方正仿宋_GBK" w:cs="方正仿宋_GBK"/>
          <w:kern w:val="0"/>
          <w:sz w:val="32"/>
          <w:szCs w:val="32"/>
        </w:rPr>
        <w:t>年度无项目支出，未开展预算绩效管理。</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六、专业名词解释</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（一）财政拨款收入：指本年度从本级财政部门取得的财政拨款，包括一般公共预算财政拨款和政府性基金预算财政拨款。</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（二）事业收入：指事业单位开展专业业务活动及其辅助活动取得的现金流入；事业单位收到的财政专户实际核拨的教育收费等资金在此反映。</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（三）经营收入：指事业单位在专业业务活动及其辅助活动之外开展非独立核算经营活动取得的现金流入。</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（四）其他收入：指单位取得的除</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财政拨款收入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事业收入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经营收入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（五）使用非财政拨款结余：指单位在当年的</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财政拨款收入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事业收入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经营收入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其他收入</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（六）年初结转和结余：指单位上年结转本年使用的基本支出结转、项目支出结转和结余、经营结余。</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（七）结余分配：指单位按照国家有关规定，缴纳所得税、提取专用基金、转入非财政拨款结余等当年结余的分配情况。</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（八）年末结转和结余：指单位结转下年的基本支出结转、项目支出结转和结余、经营结余。</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（九）基本支出：指为保障机构正常运转、完成日常工作任务而发生的人员经费和公用经费。其中：人员经费指政府收支分类经济科目中的</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工资福利支出</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和</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工资福利支出</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和</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外的其他支出。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（十）项目支出：指在基本支出之外为完成特定行政任务和事业发展目标所发生的支出。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（十一）经营支出：指事业单位在专业业务活动及其辅助活动之外开展非独立核算经营活动发生的支出。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（十二）</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三公</w:t>
      </w:r>
      <w:r>
        <w:rPr>
          <w:rFonts w:hint="default" w:ascii="Calibri" w:hAnsi="Calibri" w:eastAsia="方正仿宋_GBK" w:cs="Calibri"/>
          <w:kern w:val="0"/>
          <w:sz w:val="32"/>
          <w:szCs w:val="32"/>
        </w:rPr>
        <w:t>”</w:t>
      </w:r>
      <w:r>
        <w:rPr>
          <w:rFonts w:hint="eastAsia" w:ascii="方正仿宋_GBK" w:hAnsi="方正仿宋_GBK" w:eastAsia="方正仿宋_GBK" w:cs="方正仿宋_GBK"/>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（十四）工资福利支出（支出经济分类科目类级）：反映单位开支的在职职工和编制外长期聘用人员的各类劳动报酬，以及为上述人员缴纳的各项社会保险费等。</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（十五）商品和服务支出（支出经济分类科目类级）：反映单位购买商品和服务的支出（不包括用于购置固定资产的支出、战略性和应急储备支出）。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（十六）对个人和家庭的补助（支出经济分类科目类级）：反映用于对个人和家庭的补助支出。</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7"/>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eastAsia" w:ascii="Calibri" w:hAnsi="Calibri" w:eastAsia="方正黑体_GBK" w:cs="宋体"/>
          <w:kern w:val="0"/>
          <w:sz w:val="32"/>
          <w:szCs w:val="32"/>
        </w:rPr>
      </w:pPr>
      <w:r>
        <w:rPr>
          <w:rFonts w:hint="eastAsia" w:ascii="方正黑体_GBK" w:hAnsi="方正黑体_GBK" w:eastAsia="方正黑体_GBK" w:cs="方正黑体_GBK"/>
          <w:kern w:val="0"/>
          <w:sz w:val="32"/>
          <w:szCs w:val="32"/>
        </w:rPr>
        <w:t>七、决算公开联系方式及信息反馈渠道</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本单位决算公开信息反馈和联系方式：</w:t>
      </w:r>
    </w:p>
    <w:p>
      <w:pPr>
        <w:pStyle w:val="26"/>
        <w:keepNext w:val="0"/>
        <w:keepLines w:val="0"/>
        <w:pageBreakBefore w:val="0"/>
        <w:widowControl/>
        <w:suppressLineNumbers w:val="0"/>
        <w:kinsoku/>
        <w:wordWrap/>
        <w:overflowPunct/>
        <w:topLinePunct w:val="0"/>
        <w:autoSpaceDE w:val="0"/>
        <w:autoSpaceDN/>
        <w:bidi w:val="0"/>
        <w:adjustRightInd/>
        <w:snapToGrid/>
        <w:spacing w:beforeAutospacing="0" w:afterAutospacing="0"/>
        <w:ind w:left="0" w:firstLine="640" w:firstLineChars="200"/>
        <w:textAlignment w:val="auto"/>
        <w:rPr>
          <w:rFonts w:hint="default" w:ascii="Calibri" w:hAnsi="Calibri" w:eastAsia="方正仿宋_GBK" w:cs="宋体"/>
          <w:kern w:val="0"/>
          <w:sz w:val="32"/>
          <w:szCs w:val="32"/>
        </w:rPr>
      </w:pPr>
      <w:r>
        <w:rPr>
          <w:rFonts w:hint="eastAsia" w:ascii="方正仿宋_GBK" w:hAnsi="方正仿宋_GBK" w:eastAsia="方正仿宋_GBK" w:cs="方正仿宋_GBK"/>
          <w:kern w:val="0"/>
          <w:sz w:val="32"/>
          <w:szCs w:val="32"/>
        </w:rPr>
        <w:t>朱梦婷</w:t>
      </w:r>
      <w:r>
        <w:rPr>
          <w:rFonts w:hint="default" w:ascii="Calibri" w:hAnsi="Calibri" w:eastAsia="方正仿宋_GBK" w:cs="宋体"/>
          <w:kern w:val="0"/>
          <w:sz w:val="32"/>
          <w:szCs w:val="32"/>
        </w:rPr>
        <w:t xml:space="preserve">   023-</w:t>
      </w:r>
      <w:r>
        <w:rPr>
          <w:rFonts w:hint="default" w:ascii="Calibri" w:hAnsi="Calibri" w:eastAsia="方正仿宋_GBK" w:cs="Calibri"/>
          <w:kern w:val="0"/>
          <w:sz w:val="32"/>
          <w:szCs w:val="32"/>
        </w:rPr>
        <w:t>48882728</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40"/>
      </w:pPr>
      <w:r>
        <w:separator/>
      </w:r>
    </w:p>
  </w:footnote>
  <w:footnote w:type="continuationSeparator" w:id="1">
    <w:p>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35E812DF"/>
    <w:rsid w:val="7BD67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firstLine="880" w:firstLineChars="200"/>
      <w:jc w:val="left"/>
    </w:pPr>
    <w:rPr>
      <w:rFonts w:hint="default" w:ascii="Calibri" w:hAnsi="Calibri" w:eastAsia="方正仿宋_GBK" w:cs="宋体"/>
      <w:kern w:val="0"/>
      <w:sz w:val="32"/>
      <w:szCs w:val="32"/>
      <w:lang w:val="en-US" w:eastAsia="zh-CN" w:bidi="ar"/>
    </w:rPr>
  </w:style>
  <w:style w:type="paragraph" w:styleId="2">
    <w:name w:val="heading 1"/>
    <w:basedOn w:val="1"/>
    <w:next w:val="1"/>
    <w:qFormat/>
    <w:uiPriority w:val="0"/>
    <w:pPr>
      <w:spacing w:before="0" w:beforeAutospacing="1" w:after="0" w:afterAutospacing="1"/>
      <w:ind w:left="0" w:right="0" w:firstLine="0" w:firstLineChars="0"/>
      <w:jc w:val="left"/>
      <w:outlineLvl w:val="0"/>
    </w:pPr>
    <w:rPr>
      <w:rFonts w:hint="eastAsia" w:ascii="宋体" w:hAnsi="宋体" w:eastAsia="方正黑体_GBK" w:cs="宋体"/>
      <w:b/>
      <w:bCs/>
      <w:kern w:val="44"/>
      <w:sz w:val="32"/>
      <w:szCs w:val="32"/>
      <w:lang w:val="en-US" w:eastAsia="zh-CN" w:bidi="ar"/>
    </w:rPr>
  </w:style>
  <w:style w:type="paragraph" w:styleId="3">
    <w:name w:val="heading 2"/>
    <w:basedOn w:val="1"/>
    <w:next w:val="1"/>
    <w:qFormat/>
    <w:uiPriority w:val="0"/>
    <w:pPr>
      <w:spacing w:before="0" w:beforeAutospacing="1" w:after="0" w:afterAutospacing="1"/>
      <w:ind w:left="0" w:right="0" w:firstLine="0" w:firstLineChars="0"/>
      <w:jc w:val="left"/>
      <w:outlineLvl w:val="1"/>
    </w:pPr>
    <w:rPr>
      <w:rFonts w:hint="eastAsia" w:ascii="宋体" w:hAnsi="宋体" w:eastAsia="方正楷体_GBK" w:cs="宋体"/>
      <w:b/>
      <w:bCs/>
      <w:kern w:val="0"/>
      <w:sz w:val="32"/>
      <w:szCs w:val="32"/>
      <w:lang w:val="en-US" w:eastAsia="zh-CN" w:bidi="ar"/>
    </w:rPr>
  </w:style>
  <w:style w:type="paragraph" w:styleId="4">
    <w:name w:val="heading 3"/>
    <w:basedOn w:val="1"/>
    <w:next w:val="1"/>
    <w:qFormat/>
    <w:uiPriority w:val="0"/>
    <w:pPr>
      <w:spacing w:before="0" w:beforeAutospacing="1" w:after="0" w:afterAutospacing="1"/>
      <w:ind w:left="0" w:right="0" w:firstLine="880" w:firstLineChars="20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firstLine="880" w:firstLineChars="20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firstLine="880" w:firstLineChars="20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firstLine="880" w:firstLineChars="20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firstLine="0" w:firstLineChars="0"/>
      <w:jc w:val="left"/>
    </w:pPr>
    <w:rPr>
      <w:rFonts w:hint="default" w:ascii="Calibri" w:hAnsi="Calibri" w:eastAsia="方正仿宋_GBK" w:cs="宋体"/>
      <w:kern w:val="0"/>
      <w:sz w:val="24"/>
      <w:szCs w:val="24"/>
      <w:lang w:val="en-US" w:eastAsia="zh-CN" w:bidi="ar"/>
    </w:rPr>
  </w:style>
  <w:style w:type="character" w:customStyle="1" w:styleId="12">
    <w:name w:val="21"/>
    <w:basedOn w:val="11"/>
    <w:uiPriority w:val="0"/>
    <w:rPr>
      <w:rFonts w:hint="default" w:ascii="Times New Roman" w:hAnsi="Times New Roman" w:cs="Times New Roman"/>
    </w:rPr>
  </w:style>
  <w:style w:type="paragraph" w:customStyle="1" w:styleId="13">
    <w:name w:val="p Char Char"/>
    <w:basedOn w:val="1"/>
    <w:uiPriority w:val="0"/>
    <w:pPr>
      <w:spacing w:before="0" w:beforeAutospacing="1" w:after="0" w:afterAutospacing="1"/>
      <w:ind w:left="0" w:right="0" w:firstLine="0" w:firstLineChars="0"/>
      <w:jc w:val="left"/>
    </w:pPr>
    <w:rPr>
      <w:rFonts w:hint="default" w:ascii="Calibri" w:hAnsi="Calibri" w:eastAsia="方正仿宋_GBK" w:cs="宋体"/>
      <w:kern w:val="0"/>
      <w:sz w:val="24"/>
      <w:szCs w:val="24"/>
      <w:lang w:val="en-US" w:eastAsia="zh-CN" w:bidi="ar"/>
    </w:rPr>
  </w:style>
  <w:style w:type="paragraph" w:customStyle="1" w:styleId="14">
    <w:name w:val="pre Char"/>
    <w:basedOn w:val="1"/>
    <w:uiPriority w:val="0"/>
    <w:pPr>
      <w:spacing w:before="0" w:beforeAutospacing="0" w:after="0" w:afterAutospacing="0"/>
      <w:ind w:left="0" w:right="0" w:firstLine="0" w:firstLineChars="0"/>
      <w:jc w:val="left"/>
    </w:pPr>
    <w:rPr>
      <w:rFonts w:hint="eastAsia" w:ascii="宋体" w:hAnsi="宋体" w:eastAsia="宋体" w:cs="宋体"/>
      <w:kern w:val="0"/>
      <w:sz w:val="24"/>
      <w:szCs w:val="24"/>
      <w:lang w:val="en-US" w:eastAsia="zh-CN" w:bidi="ar"/>
    </w:rPr>
  </w:style>
  <w:style w:type="character" w:customStyle="1" w:styleId="15">
    <w:name w:val="16"/>
    <w:basedOn w:val="11"/>
    <w:uiPriority w:val="0"/>
    <w:rPr>
      <w:rFonts w:hint="default" w:ascii="Times New Roman" w:hAnsi="Times New Roman" w:cs="Times New Roman"/>
    </w:rPr>
  </w:style>
  <w:style w:type="paragraph" w:customStyle="1" w:styleId="16">
    <w:name w:val="二级标题"/>
    <w:basedOn w:val="3"/>
    <w:next w:val="1"/>
    <w:uiPriority w:val="0"/>
    <w:pPr>
      <w:spacing w:before="0" w:beforeAutospacing="1" w:after="0" w:afterAutospacing="1" w:line="600" w:lineRule="exact"/>
      <w:ind w:left="0" w:right="0" w:firstLine="883" w:firstLineChars="200"/>
      <w:jc w:val="left"/>
      <w:outlineLvl w:val="1"/>
    </w:pPr>
    <w:rPr>
      <w:rFonts w:hint="eastAsia" w:ascii="宋体" w:hAnsi="宋体" w:eastAsia="方正楷体_GBK" w:cs="宋体"/>
      <w:b w:val="0"/>
      <w:bCs w:val="0"/>
      <w:kern w:val="0"/>
      <w:sz w:val="32"/>
      <w:szCs w:val="32"/>
      <w:lang w:val="en-US" w:eastAsia="zh-CN" w:bidi="ar"/>
    </w:rPr>
  </w:style>
  <w:style w:type="character" w:customStyle="1" w:styleId="17">
    <w:name w:val="15"/>
    <w:basedOn w:val="11"/>
    <w:uiPriority w:val="0"/>
    <w:rPr>
      <w:rFonts w:hint="default" w:ascii="Times New Roman" w:hAnsi="Times New Roman" w:cs="Times New Roman"/>
    </w:rPr>
  </w:style>
  <w:style w:type="paragraph" w:customStyle="1" w:styleId="18">
    <w:name w:val="p Char"/>
    <w:basedOn w:val="1"/>
    <w:uiPriority w:val="0"/>
    <w:pPr>
      <w:spacing w:before="0" w:beforeAutospacing="1" w:after="0" w:afterAutospacing="1"/>
      <w:ind w:left="0" w:right="0" w:firstLine="0" w:firstLineChars="0"/>
      <w:jc w:val="left"/>
    </w:pPr>
    <w:rPr>
      <w:rFonts w:hint="default" w:ascii="Calibri" w:hAnsi="Calibri" w:eastAsia="方正仿宋_GBK" w:cs="宋体"/>
      <w:kern w:val="0"/>
      <w:sz w:val="24"/>
      <w:szCs w:val="24"/>
      <w:lang w:val="en-US" w:eastAsia="zh-CN" w:bidi="ar"/>
    </w:rPr>
  </w:style>
  <w:style w:type="character" w:customStyle="1" w:styleId="19">
    <w:name w:val="17"/>
    <w:basedOn w:val="11"/>
    <w:uiPriority w:val="0"/>
    <w:rPr>
      <w:rFonts w:hint="eastAsia" w:ascii="宋体" w:hAnsi="宋体" w:eastAsia="方正楷体_GBK" w:cs="宋体"/>
    </w:rPr>
  </w:style>
  <w:style w:type="character" w:customStyle="1" w:styleId="20">
    <w:name w:val="18"/>
    <w:basedOn w:val="11"/>
    <w:uiPriority w:val="0"/>
    <w:rPr>
      <w:rFonts w:hint="default" w:ascii="Times New Roman" w:hAnsi="Times New Roman" w:cs="Times New Roman"/>
      <w:b/>
      <w:bCs/>
    </w:rPr>
  </w:style>
  <w:style w:type="paragraph" w:customStyle="1" w:styleId="21">
    <w:name w:val="pre Char Char"/>
    <w:basedOn w:val="1"/>
    <w:uiPriority w:val="0"/>
    <w:pPr>
      <w:spacing w:before="0" w:beforeAutospacing="0" w:after="0" w:afterAutospacing="0"/>
      <w:ind w:left="0" w:right="0" w:firstLine="0" w:firstLineChars="0"/>
      <w:jc w:val="left"/>
    </w:pPr>
    <w:rPr>
      <w:rFonts w:hint="eastAsia" w:ascii="宋体" w:hAnsi="宋体" w:eastAsia="宋体" w:cs="宋体"/>
      <w:kern w:val="0"/>
      <w:sz w:val="24"/>
      <w:szCs w:val="24"/>
      <w:lang w:val="en-US" w:eastAsia="zh-CN" w:bidi="ar"/>
    </w:rPr>
  </w:style>
  <w:style w:type="character" w:customStyle="1" w:styleId="22">
    <w:name w:val="10"/>
    <w:basedOn w:val="11"/>
    <w:uiPriority w:val="0"/>
    <w:rPr>
      <w:rFonts w:hint="default" w:ascii="Times New Roman" w:hAnsi="Times New Roman" w:cs="Times New Roman"/>
    </w:rPr>
  </w:style>
  <w:style w:type="character" w:customStyle="1" w:styleId="23">
    <w:name w:val="19"/>
    <w:basedOn w:val="11"/>
    <w:uiPriority w:val="0"/>
    <w:rPr>
      <w:rFonts w:hint="default" w:ascii="Times New Roman" w:hAnsi="Times New Roman" w:cs="Times New Roman"/>
    </w:rPr>
  </w:style>
  <w:style w:type="character" w:customStyle="1" w:styleId="24">
    <w:name w:val="20"/>
    <w:basedOn w:val="11"/>
    <w:uiPriority w:val="0"/>
    <w:rPr>
      <w:rFonts w:hint="default" w:ascii="Times New Roman" w:hAnsi="Times New Roman" w:cs="Times New Roman"/>
    </w:rPr>
  </w:style>
  <w:style w:type="paragraph" w:customStyle="1" w:styleId="25">
    <w:name w:val="HTML 预设格式 Char"/>
    <w:basedOn w:val="1"/>
    <w:uiPriority w:val="0"/>
    <w:pPr>
      <w:spacing w:before="0" w:beforeAutospacing="0" w:after="0" w:afterAutospacing="0"/>
      <w:ind w:left="0" w:right="0" w:firstLine="880" w:firstLineChars="200"/>
      <w:jc w:val="left"/>
    </w:pPr>
    <w:rPr>
      <w:rFonts w:hint="eastAsia" w:ascii="宋体" w:hAnsi="宋体" w:eastAsia="宋体" w:cs="宋体"/>
      <w:kern w:val="0"/>
      <w:sz w:val="24"/>
      <w:szCs w:val="24"/>
      <w:lang w:val="en-US" w:eastAsia="zh-CN" w:bidi="ar"/>
    </w:rPr>
  </w:style>
  <w:style w:type="paragraph" w:customStyle="1" w:styleId="26">
    <w:name w:val="公文正文"/>
    <w:basedOn w:val="27"/>
    <w:uiPriority w:val="0"/>
    <w:pPr>
      <w:spacing w:before="0" w:beforeAutospacing="0" w:after="0" w:afterAutospacing="0" w:line="600" w:lineRule="exact"/>
      <w:ind w:left="0" w:right="0" w:firstLine="880" w:firstLineChars="200"/>
      <w:jc w:val="left"/>
    </w:pPr>
    <w:rPr>
      <w:rFonts w:hint="default" w:ascii="Calibri" w:hAnsi="Calibri" w:eastAsia="方正仿宋_GBK" w:cs="宋体"/>
      <w:kern w:val="0"/>
      <w:sz w:val="32"/>
      <w:szCs w:val="32"/>
      <w:lang w:val="en-US" w:eastAsia="zh-CN" w:bidi="ar"/>
    </w:rPr>
  </w:style>
  <w:style w:type="paragraph" w:customStyle="1" w:styleId="27">
    <w:name w:val="一级标题"/>
    <w:basedOn w:val="1"/>
    <w:uiPriority w:val="0"/>
    <w:pPr>
      <w:spacing w:before="0" w:beforeAutospacing="0" w:after="0" w:afterAutospacing="0" w:line="600" w:lineRule="exact"/>
      <w:ind w:left="0" w:right="0" w:firstLine="880" w:firstLineChars="200"/>
      <w:jc w:val="left"/>
    </w:pPr>
    <w:rPr>
      <w:rFonts w:hint="default" w:ascii="Calibri" w:hAnsi="Calibri" w:eastAsia="方正黑体_GBK" w:cs="宋体"/>
      <w:kern w:val="0"/>
      <w:sz w:val="32"/>
      <w:szCs w:val="32"/>
      <w:lang w:val="en-US" w:eastAsia="zh-CN" w:bidi="ar"/>
    </w:rPr>
  </w:style>
  <w:style w:type="paragraph" w:customStyle="1" w:styleId="28">
    <w:name w:val="普通(网站) Char"/>
    <w:basedOn w:val="1"/>
    <w:uiPriority w:val="0"/>
    <w:pPr>
      <w:spacing w:before="0" w:beforeAutospacing="1" w:after="0" w:afterAutospacing="1"/>
      <w:ind w:left="0" w:right="0" w:firstLine="880" w:firstLineChars="200"/>
      <w:jc w:val="left"/>
    </w:pPr>
    <w:rPr>
      <w:rFonts w:hint="default" w:ascii="Calibri" w:hAnsi="Calibri" w:eastAsia="方正仿宋_GBK" w:cs="宋体"/>
      <w:kern w:val="0"/>
      <w:sz w:val="24"/>
      <w:szCs w:val="24"/>
      <w:lang w:val="en-US" w:eastAsia="zh-CN" w:bidi="ar"/>
    </w:rPr>
  </w:style>
  <w:style w:type="paragraph" w:customStyle="1" w:styleId="29">
    <w:name w:val="pre Char Char Char"/>
    <w:basedOn w:val="1"/>
    <w:uiPriority w:val="0"/>
    <w:pPr>
      <w:spacing w:before="0" w:beforeAutospacing="0" w:after="0" w:afterAutospacing="0"/>
      <w:ind w:left="0" w:right="0" w:firstLine="0" w:firstLineChars="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2023-10-26T08:34:09Z</dcterms:created>
  <dc:creator>Administrator</dc:creator>
  <cp:lastModifiedBy>asus</cp:lastModifiedBy>
  <dcterms:modified xsi:type="dcterms:W3CDTF">2023-10-26T08:34:27Z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9F291F79A82346F1B4E923DD37D75BAA_13</vt:lpwstr>
  </property>
</Properties>
</file>