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leftChars="0" w:firstLine="0" w:firstLineChars="0"/>
        <w:jc w:val="center"/>
        <w:textAlignment w:val="auto"/>
        <w:rPr>
          <w:rFonts w:hint="eastAsia" w:ascii="方正小标宋_GBK" w:hAnsi="方正小标宋_GBK" w:eastAsia="方正小标宋_GBK" w:cs="方正小标宋_GBK"/>
          <w:b w:val="0"/>
          <w:bCs w:val="0"/>
          <w:kern w:val="44"/>
          <w:sz w:val="44"/>
          <w:szCs w:val="44"/>
        </w:rPr>
      </w:pPr>
      <w:r>
        <w:rPr>
          <w:rFonts w:hint="eastAsia" w:ascii="方正小标宋_GBK" w:hAnsi="方正小标宋_GBK" w:eastAsia="方正小标宋_GBK" w:cs="方正小标宋_GBK"/>
          <w:b w:val="0"/>
          <w:bCs w:val="0"/>
          <w:kern w:val="44"/>
          <w:sz w:val="44"/>
          <w:szCs w:val="44"/>
        </w:rPr>
        <w:t>重庆市綦江区通惠街道文化服务中心</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leftChars="0" w:firstLine="0" w:firstLineChars="0"/>
        <w:jc w:val="center"/>
        <w:textAlignment w:val="auto"/>
        <w:rPr>
          <w:rFonts w:hint="eastAsia" w:ascii="方正小标宋_GBK" w:hAnsi="方正小标宋_GBK" w:eastAsia="方正小标宋_GBK" w:cs="方正小标宋_GBK"/>
          <w:b w:val="0"/>
          <w:bCs w:val="0"/>
          <w:kern w:val="44"/>
          <w:sz w:val="44"/>
          <w:szCs w:val="44"/>
        </w:rPr>
      </w:pPr>
      <w:r>
        <w:rPr>
          <w:rFonts w:hint="eastAsia" w:ascii="方正小标宋_GBK" w:hAnsi="方正小标宋_GBK" w:eastAsia="方正小标宋_GBK" w:cs="方正小标宋_GBK"/>
          <w:b w:val="0"/>
          <w:bCs w:val="0"/>
          <w:kern w:val="44"/>
          <w:sz w:val="44"/>
          <w:szCs w:val="44"/>
        </w:rPr>
        <w:t>2022年度部门决算情况说明</w:t>
      </w:r>
    </w:p>
    <w:p>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黑体_GBK" w:cs="Times New Roman"/>
          <w:b w:val="0"/>
          <w:bCs w:val="0"/>
          <w:kern w:val="0"/>
          <w:sz w:val="32"/>
          <w:szCs w:val="32"/>
          <w:shd w:val="clear" w:fill="FFFFFF"/>
        </w:rPr>
      </w:pPr>
      <w:r>
        <w:rPr>
          <w:rFonts w:hint="eastAsia" w:ascii="方正黑体_GBK" w:hAnsi="方正黑体_GBK" w:eastAsia="方正黑体_GBK" w:cs="方正黑体_GBK"/>
          <w:b w:val="0"/>
          <w:bCs w:val="0"/>
          <w:kern w:val="0"/>
          <w:sz w:val="32"/>
          <w:szCs w:val="32"/>
          <w:shd w:val="clear" w:fill="FFFFFF"/>
        </w:rPr>
        <w:t>一、部门基本情况</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楷体_GBK" w:cs="Times New Roman"/>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（一）职能职责</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_GBK" w:cs="Times New Roman"/>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根据《中共重庆市綦江区委机构编制委员会关于印发</w:t>
      </w:r>
      <w:r>
        <w:rPr>
          <w:rFonts w:hint="default" w:ascii="Times New Roman" w:hAnsi="Times New Roman" w:eastAsia="方正仿宋_GBK" w:cs="Times New Roman"/>
          <w:b w:val="0"/>
          <w:bCs w:val="0"/>
          <w:kern w:val="0"/>
          <w:sz w:val="32"/>
          <w:szCs w:val="32"/>
          <w:shd w:val="clear" w:fill="FFFFFF"/>
        </w:rPr>
        <w:t>&lt;</w:t>
      </w:r>
      <w:r>
        <w:rPr>
          <w:rFonts w:hint="eastAsia" w:ascii="方正仿宋_GBK" w:hAnsi="方正仿宋_GBK" w:eastAsia="方正仿宋_GBK" w:cs="方正仿宋_GBK"/>
          <w:b w:val="0"/>
          <w:bCs w:val="0"/>
          <w:kern w:val="0"/>
          <w:sz w:val="32"/>
          <w:szCs w:val="32"/>
          <w:shd w:val="clear" w:fill="FFFFFF"/>
        </w:rPr>
        <w:t>重庆市綦江区通惠街道综合办事机构和事业单位机构编制方案</w:t>
      </w:r>
      <w:r>
        <w:rPr>
          <w:rFonts w:hint="default" w:ascii="Times New Roman" w:hAnsi="Times New Roman" w:eastAsia="方正仿宋_GBK" w:cs="Times New Roman"/>
          <w:b w:val="0"/>
          <w:bCs w:val="0"/>
          <w:kern w:val="0"/>
          <w:sz w:val="32"/>
          <w:szCs w:val="32"/>
          <w:shd w:val="clear" w:fill="FFFFFF"/>
        </w:rPr>
        <w:t>&gt;</w:t>
      </w:r>
      <w:r>
        <w:rPr>
          <w:rFonts w:hint="eastAsia" w:ascii="方正仿宋_GBK" w:hAnsi="方正仿宋_GBK" w:eastAsia="方正仿宋_GBK" w:cs="方正仿宋_GBK"/>
          <w:b w:val="0"/>
          <w:bCs w:val="0"/>
          <w:kern w:val="0"/>
          <w:sz w:val="32"/>
          <w:szCs w:val="32"/>
          <w:shd w:val="clear" w:fill="FFFFFF"/>
        </w:rPr>
        <w:t>的通知》（綦委编【</w:t>
      </w:r>
      <w:r>
        <w:rPr>
          <w:rFonts w:hint="default" w:ascii="Times New Roman" w:hAnsi="Times New Roman" w:eastAsia="方正仿宋_GBK" w:cs="Times New Roman"/>
          <w:b w:val="0"/>
          <w:bCs w:val="0"/>
          <w:kern w:val="0"/>
          <w:sz w:val="32"/>
          <w:szCs w:val="32"/>
          <w:shd w:val="clear" w:fill="FFFFFF"/>
        </w:rPr>
        <w:t>2020</w:t>
      </w:r>
      <w:r>
        <w:rPr>
          <w:rFonts w:hint="eastAsia" w:ascii="方正仿宋_GBK" w:hAnsi="方正仿宋_GBK" w:eastAsia="方正仿宋_GBK" w:cs="方正仿宋_GBK"/>
          <w:b w:val="0"/>
          <w:bCs w:val="0"/>
          <w:kern w:val="0"/>
          <w:sz w:val="32"/>
          <w:szCs w:val="32"/>
          <w:shd w:val="clear" w:fill="FFFFFF"/>
        </w:rPr>
        <w:t>】</w:t>
      </w:r>
      <w:r>
        <w:rPr>
          <w:rFonts w:hint="default" w:ascii="Times New Roman" w:hAnsi="Times New Roman" w:eastAsia="方正仿宋_GBK" w:cs="Times New Roman"/>
          <w:b w:val="0"/>
          <w:bCs w:val="0"/>
          <w:kern w:val="0"/>
          <w:sz w:val="32"/>
          <w:szCs w:val="32"/>
          <w:shd w:val="clear" w:fill="FFFFFF"/>
        </w:rPr>
        <w:t>2</w:t>
      </w:r>
      <w:r>
        <w:rPr>
          <w:rFonts w:hint="eastAsia" w:ascii="方正仿宋_GBK" w:hAnsi="方正仿宋_GBK" w:eastAsia="方正仿宋_GBK" w:cs="方正仿宋_GBK"/>
          <w:b w:val="0"/>
          <w:bCs w:val="0"/>
          <w:kern w:val="0"/>
          <w:sz w:val="32"/>
          <w:szCs w:val="32"/>
          <w:shd w:val="clear" w:fill="FFFFFF"/>
        </w:rPr>
        <w:t>号）文件精神，本单位主要职能职责有：</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_GBK" w:cs="Times New Roman"/>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承担宣传、文化、体育、广播电视、科技培训等方面服务工作。开展文化宣传、交流、文艺活动组织实施；承担农家书屋（图书室）及协助农体工程监督管理工作，协助监督管理辖区文化市场。</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楷体_GBK" w:hAnsi="方正楷体_GBK" w:eastAsia="方正楷体_GBK" w:cs="方正楷体_GBK"/>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（二）机构设置</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根据《中共重庆市綦江区委机构编制委员会关于印发&lt;重庆市綦江区通惠街道综合办事机构和事业单位机构编制方案&gt;的通知》（綦委编[2020]2号）文件精神，本单位内设事业单位1个，即文化服务中心。</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黑体_GBK" w:hAnsi="方正黑体_GBK" w:eastAsia="方正黑体_GBK" w:cs="方正黑体_GBK"/>
          <w:b w:val="0"/>
          <w:bCs w:val="0"/>
          <w:kern w:val="0"/>
          <w:sz w:val="32"/>
          <w:szCs w:val="32"/>
        </w:rPr>
      </w:pPr>
      <w:r>
        <w:rPr>
          <w:rStyle w:val="12"/>
          <w:rFonts w:hint="eastAsia" w:ascii="方正黑体_GBK" w:hAnsi="方正黑体_GBK" w:eastAsia="方正黑体_GBK" w:cs="方正黑体_GBK"/>
          <w:b w:val="0"/>
          <w:bCs w:val="0"/>
          <w:sz w:val="32"/>
          <w:szCs w:val="32"/>
          <w:shd w:val="clear" w:fill="FFFFFF"/>
        </w:rPr>
        <w:t>二、部门决算情况说明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楷体_GBK" w:hAnsi="方正楷体_GBK" w:eastAsia="方正楷体_GBK" w:cs="方正楷体_GBK"/>
          <w:b w:val="0"/>
          <w:bCs w:val="0"/>
          <w:kern w:val="0"/>
          <w:sz w:val="32"/>
          <w:szCs w:val="32"/>
        </w:rPr>
      </w:pPr>
      <w:r>
        <w:rPr>
          <w:rStyle w:val="12"/>
          <w:rFonts w:hint="eastAsia" w:ascii="方正楷体_GBK" w:hAnsi="方正楷体_GBK" w:eastAsia="方正楷体_GBK" w:cs="方正楷体_GBK"/>
          <w:b w:val="0"/>
          <w:bCs w:val="0"/>
          <w:sz w:val="32"/>
          <w:szCs w:val="32"/>
          <w:shd w:val="clear" w:fill="FFFFFF"/>
        </w:rPr>
        <w:t>（一）收入支出决算总体情况说明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b w:val="0"/>
          <w:bCs w:val="0"/>
          <w:kern w:val="0"/>
          <w:sz w:val="32"/>
          <w:szCs w:val="32"/>
        </w:rPr>
      </w:pPr>
      <w:r>
        <w:rPr>
          <w:rStyle w:val="12"/>
          <w:rFonts w:hint="eastAsia" w:ascii="方正仿宋_GBK" w:hAnsi="方正仿宋_GBK" w:eastAsia="方正仿宋_GBK" w:cs="方正仿宋_GBK"/>
          <w:b w:val="0"/>
          <w:bCs w:val="0"/>
          <w:sz w:val="32"/>
          <w:szCs w:val="32"/>
          <w:shd w:val="clear" w:fill="FFFFFF"/>
        </w:rPr>
        <w:t>1.总体情况。</w:t>
      </w:r>
      <w:r>
        <w:rPr>
          <w:rFonts w:hint="eastAsia" w:ascii="方正仿宋_GBK" w:hAnsi="方正仿宋_GBK" w:eastAsia="方正仿宋_GBK" w:cs="方正仿宋_GBK"/>
          <w:b w:val="0"/>
          <w:bCs w:val="0"/>
          <w:kern w:val="0"/>
          <w:sz w:val="32"/>
          <w:szCs w:val="32"/>
          <w:shd w:val="clear" w:fill="FFFFFF"/>
        </w:rPr>
        <w:t>2022年度收入总计83.58万元，支出总计83.58万元。收支较上年决算数增加83.58万元,增长100.0%，主要原因是</w:t>
      </w:r>
      <w:r>
        <w:rPr>
          <w:rFonts w:hint="eastAsia" w:ascii="方正仿宋_GBK" w:hAnsi="方正仿宋_GBK" w:eastAsia="方正仿宋_GBK" w:cs="方正仿宋_GBK"/>
          <w:b w:val="0"/>
          <w:bCs w:val="0"/>
          <w:kern w:val="0"/>
          <w:sz w:val="32"/>
          <w:szCs w:val="32"/>
        </w:rPr>
        <w:t>为衔接预算管理一体化，乡镇由统一核算改为独立核算，本年度为新增单位，无上年度数据。</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r>
        <w:rPr>
          <w:rStyle w:val="12"/>
          <w:rFonts w:hint="eastAsia" w:ascii="方正仿宋_GBK" w:hAnsi="方正仿宋_GBK" w:eastAsia="方正仿宋_GBK" w:cs="方正仿宋_GBK"/>
          <w:b w:val="0"/>
          <w:bCs w:val="0"/>
          <w:sz w:val="32"/>
          <w:szCs w:val="32"/>
          <w:shd w:val="clear" w:fill="FFFFFF"/>
        </w:rPr>
        <w:t>2.收入情况。</w:t>
      </w:r>
      <w:r>
        <w:rPr>
          <w:rFonts w:hint="eastAsia" w:ascii="方正仿宋_GBK" w:hAnsi="方正仿宋_GBK" w:eastAsia="方正仿宋_GBK" w:cs="方正仿宋_GBK"/>
          <w:b w:val="0"/>
          <w:bCs w:val="0"/>
          <w:kern w:val="0"/>
          <w:sz w:val="32"/>
          <w:szCs w:val="32"/>
          <w:shd w:val="clear" w:fill="FFFFFF"/>
        </w:rPr>
        <w:t>2022年度收入合计83.58万元，较上年决算数增加83.58万元，增长100.0%，主要原因是</w:t>
      </w:r>
      <w:r>
        <w:rPr>
          <w:rFonts w:hint="eastAsia" w:ascii="方正仿宋_GBK" w:hAnsi="方正仿宋_GBK" w:eastAsia="方正仿宋_GBK" w:cs="方正仿宋_GBK"/>
          <w:b w:val="0"/>
          <w:bCs w:val="0"/>
          <w:kern w:val="0"/>
          <w:sz w:val="32"/>
          <w:szCs w:val="32"/>
        </w:rPr>
        <w:t>为衔接预算管理一体化，乡镇由统一核算改为独立核算，本年度为新增单位，无上年度数据。</w:t>
      </w:r>
      <w:r>
        <w:rPr>
          <w:rFonts w:hint="eastAsia" w:ascii="方正仿宋_GBK" w:hAnsi="方正仿宋_GBK" w:eastAsia="方正仿宋_GBK" w:cs="方正仿宋_GBK"/>
          <w:b w:val="0"/>
          <w:bCs w:val="0"/>
          <w:kern w:val="0"/>
          <w:sz w:val="32"/>
          <w:szCs w:val="32"/>
          <w:shd w:val="clear" w:fill="FFFFFF"/>
        </w:rPr>
        <w:t>其中：财政拨款收入83.58万元，占100.0%。此外，使用非财政拨款结余0.00万元，年初结转和结余0.00万元。</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r>
        <w:rPr>
          <w:rStyle w:val="12"/>
          <w:rFonts w:hint="eastAsia" w:ascii="方正仿宋_GBK" w:hAnsi="方正仿宋_GBK" w:eastAsia="方正仿宋_GBK" w:cs="方正仿宋_GBK"/>
          <w:b w:val="0"/>
          <w:bCs w:val="0"/>
          <w:sz w:val="32"/>
          <w:szCs w:val="32"/>
          <w:shd w:val="clear" w:fill="FFFFFF"/>
        </w:rPr>
        <w:t>3.支出情况。</w:t>
      </w:r>
      <w:r>
        <w:rPr>
          <w:rFonts w:hint="eastAsia" w:ascii="方正仿宋_GBK" w:hAnsi="方正仿宋_GBK" w:eastAsia="方正仿宋_GBK" w:cs="方正仿宋_GBK"/>
          <w:b w:val="0"/>
          <w:bCs w:val="0"/>
          <w:kern w:val="0"/>
          <w:sz w:val="32"/>
          <w:szCs w:val="32"/>
          <w:shd w:val="clear" w:fill="FFFFFF"/>
        </w:rPr>
        <w:t>2022年度支出合计83.58万元，较上年决算增加83.58万元，增长100.0%，主要原因是</w:t>
      </w:r>
      <w:r>
        <w:rPr>
          <w:rFonts w:hint="eastAsia" w:ascii="方正仿宋_GBK" w:hAnsi="方正仿宋_GBK" w:eastAsia="方正仿宋_GBK" w:cs="方正仿宋_GBK"/>
          <w:b w:val="0"/>
          <w:bCs w:val="0"/>
          <w:kern w:val="0"/>
          <w:sz w:val="32"/>
          <w:szCs w:val="32"/>
        </w:rPr>
        <w:t>为衔接预算管理一体化，乡镇由统一核算改为独立核算，本年度为新增单位，无上年度数据。</w:t>
      </w:r>
      <w:r>
        <w:rPr>
          <w:rFonts w:hint="eastAsia" w:ascii="方正仿宋_GBK" w:hAnsi="方正仿宋_GBK" w:eastAsia="方正仿宋_GBK" w:cs="方正仿宋_GBK"/>
          <w:b w:val="0"/>
          <w:bCs w:val="0"/>
          <w:kern w:val="0"/>
          <w:sz w:val="32"/>
          <w:szCs w:val="32"/>
          <w:shd w:val="clear" w:fill="FFFFFF"/>
        </w:rPr>
        <w:t>其中：基本支出83.58万元，占100.0%。</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b w:val="0"/>
          <w:bCs w:val="0"/>
          <w:kern w:val="0"/>
          <w:sz w:val="32"/>
          <w:szCs w:val="32"/>
        </w:rPr>
      </w:pPr>
      <w:r>
        <w:rPr>
          <w:rStyle w:val="12"/>
          <w:rFonts w:hint="eastAsia" w:ascii="方正仿宋_GBK" w:hAnsi="方正仿宋_GBK" w:eastAsia="方正仿宋_GBK" w:cs="方正仿宋_GBK"/>
          <w:b w:val="0"/>
          <w:bCs w:val="0"/>
          <w:sz w:val="32"/>
          <w:szCs w:val="32"/>
          <w:shd w:val="clear" w:fill="FFFFFF"/>
        </w:rPr>
        <w:t>4.结转结余情况。</w:t>
      </w:r>
      <w:r>
        <w:rPr>
          <w:rFonts w:hint="eastAsia" w:ascii="方正仿宋_GBK" w:hAnsi="方正仿宋_GBK" w:eastAsia="方正仿宋_GBK" w:cs="方正仿宋_GBK"/>
          <w:b w:val="0"/>
          <w:bCs w:val="0"/>
          <w:kern w:val="0"/>
          <w:sz w:val="32"/>
          <w:szCs w:val="32"/>
          <w:shd w:val="clear" w:fill="FFFFFF"/>
        </w:rPr>
        <w:t>2022年度年末结转和结余0.00万元，较上年决算数增加0.00万元，</w:t>
      </w:r>
      <w:r>
        <w:rPr>
          <w:rFonts w:hint="eastAsia" w:ascii="方正仿宋_GBK" w:hAnsi="方正仿宋_GBK" w:eastAsia="方正仿宋_GBK" w:cs="方正仿宋_GBK"/>
          <w:b w:val="0"/>
          <w:bCs w:val="0"/>
          <w:kern w:val="0"/>
          <w:sz w:val="32"/>
          <w:szCs w:val="32"/>
        </w:rPr>
        <w:t>本单位2022年度年末无结转结余。</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（二）财政拨款收入支出决算总体情况说明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shd w:val="clear" w:fill="FFFFFF"/>
        </w:rPr>
        <w:t>2022年度财政拨款收、支总计83.58万元。与2021年相比，财政拨款收、支总计各增加83.58万元，增长100.0%。主要原因是</w:t>
      </w:r>
      <w:r>
        <w:rPr>
          <w:rFonts w:hint="eastAsia" w:ascii="方正仿宋_GBK" w:hAnsi="方正仿宋_GBK" w:eastAsia="方正仿宋_GBK" w:cs="方正仿宋_GBK"/>
          <w:b w:val="0"/>
          <w:bCs w:val="0"/>
          <w:kern w:val="0"/>
          <w:sz w:val="32"/>
          <w:szCs w:val="32"/>
        </w:rPr>
        <w:t>为衔接预算管理一体化，乡镇由统一核算改为独立核算，本年度为新增单位，无上年度数据。</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（三）一般公共预算财政拨款收入支出决算情况说明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年度一般公共预算财政拨款收入</w:t>
      </w:r>
      <w:r>
        <w:rPr>
          <w:rFonts w:hint="default" w:ascii="Times New Roman" w:hAnsi="Times New Roman" w:eastAsia="方正仿宋_GBK" w:cs="Times New Roman"/>
          <w:kern w:val="0"/>
          <w:sz w:val="32"/>
          <w:szCs w:val="32"/>
          <w:shd w:val="clear" w:fill="FFFFFF"/>
        </w:rPr>
        <w:t>83.58</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83.58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。主要原因是为衔接预算管理一体化，乡镇由统一核算改为独立核算，本年度为新增单位，无上年度数据。较年初预算数增加</w:t>
      </w:r>
      <w:r>
        <w:rPr>
          <w:rFonts w:hint="default" w:ascii="Times New Roman" w:hAnsi="Times New Roman" w:eastAsia="方正仿宋_GBK" w:cs="Times New Roman"/>
          <w:kern w:val="0"/>
          <w:sz w:val="32"/>
          <w:szCs w:val="32"/>
          <w:shd w:val="clear" w:fill="FFFFFF"/>
        </w:rPr>
        <w:t>9.86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13.4%</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年度调标增资，相关工资、五险一金等人员类经费增加。此外，年初财政拨款结转和结余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w:t>
      </w:r>
      <w:r>
        <w:rPr>
          <w:rFonts w:hint="default" w:ascii="Times New Roman" w:hAnsi="Times New Roman" w:eastAsia="方正仿宋_GBK" w:cs="Times New Roman"/>
          <w:kern w:val="0"/>
          <w:sz w:val="32"/>
          <w:szCs w:val="32"/>
          <w:shd w:val="clear" w:fill="FFFFFF"/>
        </w:rPr>
        <w:t>83.58</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83.58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。主要原因是为衔接预算管理一体化，乡镇由统一核算改为独立核算，本年度为新增单位，无上年度数据。较年初预算数增加</w:t>
      </w:r>
      <w:r>
        <w:rPr>
          <w:rFonts w:hint="default" w:ascii="Times New Roman" w:hAnsi="Times New Roman" w:eastAsia="方正仿宋_GBK" w:cs="Times New Roman"/>
          <w:kern w:val="0"/>
          <w:sz w:val="32"/>
          <w:szCs w:val="32"/>
          <w:shd w:val="clear" w:fill="FFFFFF"/>
        </w:rPr>
        <w:t>9.86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13.4%</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年度调标增资，相关工资、五险一金等人员类经费增加。</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年度年末一般公共预算财政拨款结转和结余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年度年末无一般公共预算财政拨款结转和结余。</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比较情况。本部门</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年度一般公共预算财政拨款支出主要用于以下几个方面：</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）文化旅游体育与传媒支出</w:t>
      </w:r>
      <w:r>
        <w:rPr>
          <w:rFonts w:hint="default" w:ascii="Times New Roman" w:hAnsi="Times New Roman" w:eastAsia="方正仿宋_GBK" w:cs="Times New Roman"/>
          <w:kern w:val="0"/>
          <w:sz w:val="32"/>
          <w:szCs w:val="32"/>
          <w:shd w:val="clear" w:fill="FFFFFF"/>
        </w:rPr>
        <w:t>69.67</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83.4%</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9.14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15.1%</w:t>
      </w:r>
      <w:r>
        <w:rPr>
          <w:rFonts w:hint="eastAsia" w:ascii="方正仿宋_GBK" w:hAnsi="方正仿宋_GBK" w:eastAsia="方正仿宋_GBK" w:cs="方正仿宋_GBK"/>
          <w:kern w:val="0"/>
          <w:sz w:val="32"/>
          <w:szCs w:val="32"/>
          <w:shd w:val="clear" w:fill="FFFFFF"/>
        </w:rPr>
        <w:t>，主要原因是调标增资，相关薪酬类人员经费支出增加。</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）社会保障与就业支出</w:t>
      </w:r>
      <w:r>
        <w:rPr>
          <w:rFonts w:hint="default" w:ascii="Times New Roman" w:hAnsi="Times New Roman" w:eastAsia="方正仿宋_GBK" w:cs="Times New Roman"/>
          <w:kern w:val="0"/>
          <w:sz w:val="32"/>
          <w:szCs w:val="32"/>
          <w:shd w:val="clear" w:fill="FFFFFF"/>
        </w:rPr>
        <w:t>7.28</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8.7%</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0.38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5.5%</w:t>
      </w:r>
      <w:r>
        <w:rPr>
          <w:rFonts w:hint="eastAsia" w:ascii="方正仿宋_GBK" w:hAnsi="方正仿宋_GBK" w:eastAsia="方正仿宋_GBK" w:cs="方正仿宋_GBK"/>
          <w:kern w:val="0"/>
          <w:sz w:val="32"/>
          <w:szCs w:val="32"/>
          <w:shd w:val="clear" w:fill="FFFFFF"/>
        </w:rPr>
        <w:t>，主要原因是养老保险支出较年初预算数增加。</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）卫生健康支出</w:t>
      </w:r>
      <w:r>
        <w:rPr>
          <w:rFonts w:hint="default" w:ascii="Times New Roman" w:hAnsi="Times New Roman" w:eastAsia="方正仿宋_GBK" w:cs="Times New Roman"/>
          <w:kern w:val="0"/>
          <w:sz w:val="32"/>
          <w:szCs w:val="32"/>
          <w:shd w:val="clear" w:fill="FFFFFF"/>
        </w:rPr>
        <w:t>3.29</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3.9%</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0.16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5.1%</w:t>
      </w:r>
      <w:r>
        <w:rPr>
          <w:rFonts w:hint="eastAsia" w:ascii="方正仿宋_GBK" w:hAnsi="方正仿宋_GBK" w:eastAsia="方正仿宋_GBK" w:cs="方正仿宋_GBK"/>
          <w:kern w:val="0"/>
          <w:sz w:val="32"/>
          <w:szCs w:val="32"/>
          <w:shd w:val="clear" w:fill="FFFFFF"/>
        </w:rPr>
        <w:t>，主要原因是医疗保险支出较年初预算数增加。</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）住房保障支出</w:t>
      </w:r>
      <w:r>
        <w:rPr>
          <w:rFonts w:hint="default" w:ascii="Times New Roman" w:hAnsi="Times New Roman" w:eastAsia="方正仿宋_GBK" w:cs="Times New Roman"/>
          <w:kern w:val="0"/>
          <w:sz w:val="32"/>
          <w:szCs w:val="32"/>
          <w:shd w:val="clear" w:fill="FFFFFF"/>
        </w:rPr>
        <w:t>3.34</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0.19</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，主要原因是住房公积金费用较年初预算数增加。</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（四）一般公共预算财政拨款基本支出决算情况说明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年度一般公共预算财政拨款基本支出</w:t>
      </w:r>
      <w:r>
        <w:rPr>
          <w:rFonts w:hint="default" w:ascii="Times New Roman" w:hAnsi="Times New Roman" w:eastAsia="方正仿宋_GBK" w:cs="Times New Roman"/>
          <w:kern w:val="0"/>
          <w:sz w:val="32"/>
          <w:szCs w:val="32"/>
          <w:shd w:val="clear" w:fill="FFFFFF"/>
        </w:rPr>
        <w:t>83.58</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70.29</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70.29</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，主要原因是为衔接预算管理一体化，乡镇由统一核算改为独立核算，本年度为新增单位，无上年度数据。人员经费用途主要包括人员工资、绩效、津补贴、社保和公积金等。公用经费</w:t>
      </w:r>
      <w:r>
        <w:rPr>
          <w:rFonts w:hint="default" w:ascii="Times New Roman" w:hAnsi="Times New Roman" w:eastAsia="方正仿宋_GBK" w:cs="Times New Roman"/>
          <w:kern w:val="0"/>
          <w:sz w:val="32"/>
          <w:szCs w:val="32"/>
          <w:shd w:val="clear" w:fill="FFFFFF"/>
        </w:rPr>
        <w:t>13.29</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13.29</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，主要原因是为衔接预算管理一体化，乡镇由统一核算改为独立核算，本年度为新增单位，无上年度数据。公用经费用途主要包括办公费、会议费、培训费、印刷费、工会经费等。</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（五）政府性基金预算收支决算情况说明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年度无政府性基金预算财政拨款收支。</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（六）国有资本经营预算财政拨款支出决算情况说明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年度无国有资本经营预算财政拨款支出。</w:t>
      </w:r>
    </w:p>
    <w:p>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三、</w:t>
      </w:r>
      <w:r>
        <w:rPr>
          <w:rFonts w:hint="default" w:ascii="Times New Roman" w:hAnsi="Times New Roman" w:eastAsia="方正黑体_GBK" w:cs="Times New Roman"/>
          <w:kern w:val="0"/>
          <w:sz w:val="32"/>
          <w:szCs w:val="32"/>
          <w:shd w:val="clear" w:fill="FFFFFF"/>
        </w:rPr>
        <w:t>“</w:t>
      </w:r>
      <w:r>
        <w:rPr>
          <w:rFonts w:hint="eastAsia" w:ascii="方正黑体_GBK" w:hAnsi="方正黑体_GBK" w:eastAsia="方正黑体_GBK" w:cs="方正黑体_GBK"/>
          <w:kern w:val="0"/>
          <w:sz w:val="32"/>
          <w:szCs w:val="32"/>
          <w:shd w:val="clear" w:fill="FFFFFF"/>
        </w:rPr>
        <w:t>三公</w:t>
      </w:r>
      <w:r>
        <w:rPr>
          <w:rFonts w:hint="default" w:ascii="Times New Roman" w:hAnsi="Times New Roman" w:eastAsia="方正黑体_GBK" w:cs="Times New Roman"/>
          <w:kern w:val="0"/>
          <w:sz w:val="32"/>
          <w:szCs w:val="32"/>
          <w:shd w:val="clear" w:fill="FFFFFF"/>
        </w:rPr>
        <w:t>”</w:t>
      </w:r>
      <w:r>
        <w:rPr>
          <w:rFonts w:hint="eastAsia" w:ascii="方正黑体_GBK" w:hAnsi="方正黑体_GBK" w:eastAsia="方正黑体_GBK" w:cs="方正黑体_GBK"/>
          <w:kern w:val="0"/>
          <w:sz w:val="32"/>
          <w:szCs w:val="32"/>
          <w:shd w:val="clear" w:fill="FFFFFF"/>
        </w:rPr>
        <w:t>经费情况说明</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w:t>
      </w:r>
      <w:r>
        <w:rPr>
          <w:rFonts w:hint="default" w:ascii="Times New Roman" w:hAnsi="Times New Roman" w:eastAsia="方正楷体_GBK" w:cs="Times New Roman"/>
          <w:kern w:val="0"/>
          <w:sz w:val="32"/>
          <w:szCs w:val="32"/>
          <w:shd w:val="clear" w:fill="FFFFFF"/>
        </w:rPr>
        <w:t>“</w:t>
      </w:r>
      <w:r>
        <w:rPr>
          <w:rFonts w:hint="eastAsia" w:ascii="方正楷体_GBK" w:hAnsi="方正楷体_GBK" w:eastAsia="方正楷体_GBK" w:cs="方正楷体_GBK"/>
          <w:kern w:val="0"/>
          <w:sz w:val="32"/>
          <w:szCs w:val="32"/>
          <w:shd w:val="clear" w:fill="FFFFFF"/>
        </w:rPr>
        <w:t>三公</w:t>
      </w:r>
      <w:r>
        <w:rPr>
          <w:rFonts w:hint="default" w:ascii="Times New Roman" w:hAnsi="Times New Roman" w:eastAsia="方正楷体_GBK" w:cs="Times New Roman"/>
          <w:kern w:val="0"/>
          <w:sz w:val="32"/>
          <w:szCs w:val="32"/>
          <w:shd w:val="clear" w:fill="FFFFFF"/>
        </w:rPr>
        <w:t>”</w:t>
      </w:r>
      <w:r>
        <w:rPr>
          <w:rFonts w:hint="eastAsia" w:ascii="方正楷体_GBK" w:hAnsi="方正楷体_GBK" w:eastAsia="方正楷体_GBK" w:cs="方正楷体_GBK"/>
          <w:kern w:val="0"/>
          <w:sz w:val="32"/>
          <w:szCs w:val="32"/>
          <w:shd w:val="clear" w:fill="FFFFFF"/>
        </w:rPr>
        <w:t>经费支出总体情况说明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年度“三公”经费支出共计</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年度未发生“三公”经费支出。</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w:t>
      </w:r>
      <w:r>
        <w:rPr>
          <w:rFonts w:hint="default" w:ascii="Times New Roman" w:hAnsi="Times New Roman" w:eastAsia="方正楷体_GBK" w:cs="Times New Roman"/>
          <w:kern w:val="0"/>
          <w:sz w:val="32"/>
          <w:szCs w:val="32"/>
          <w:shd w:val="clear" w:fill="FFFFFF"/>
        </w:rPr>
        <w:t>“</w:t>
      </w:r>
      <w:r>
        <w:rPr>
          <w:rFonts w:hint="eastAsia" w:ascii="方正楷体_GBK" w:hAnsi="方正楷体_GBK" w:eastAsia="方正楷体_GBK" w:cs="方正楷体_GBK"/>
          <w:kern w:val="0"/>
          <w:sz w:val="32"/>
          <w:szCs w:val="32"/>
          <w:shd w:val="clear" w:fill="FFFFFF"/>
        </w:rPr>
        <w:t>三公</w:t>
      </w:r>
      <w:r>
        <w:rPr>
          <w:rFonts w:hint="default" w:ascii="Times New Roman" w:hAnsi="Times New Roman" w:eastAsia="方正楷体_GBK" w:cs="Times New Roman"/>
          <w:kern w:val="0"/>
          <w:sz w:val="32"/>
          <w:szCs w:val="32"/>
          <w:shd w:val="clear" w:fill="FFFFFF"/>
        </w:rPr>
        <w:t>”</w:t>
      </w:r>
      <w:r>
        <w:rPr>
          <w:rFonts w:hint="eastAsia" w:ascii="方正楷体_GBK" w:hAnsi="方正楷体_GBK" w:eastAsia="方正楷体_GBK" w:cs="方正楷体_GBK"/>
          <w:kern w:val="0"/>
          <w:sz w:val="32"/>
          <w:szCs w:val="32"/>
          <w:shd w:val="clear" w:fill="FFFFFF"/>
        </w:rPr>
        <w:t>经费分项支出情况</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年度本部门因公出国（境）费用</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年度未发生因公出国（境）费用。</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年度未发生公务车购置费用。</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公务车运行维护费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年度未发生公务车运行维护费用。</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年度未发生公务接待费用。</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w:t>
      </w:r>
      <w:r>
        <w:rPr>
          <w:rFonts w:hint="default" w:ascii="Times New Roman" w:hAnsi="Times New Roman" w:eastAsia="方正楷体_GBK" w:cs="Times New Roman"/>
          <w:kern w:val="0"/>
          <w:sz w:val="32"/>
          <w:szCs w:val="32"/>
          <w:shd w:val="clear" w:fill="FFFFFF"/>
        </w:rPr>
        <w:t>“</w:t>
      </w:r>
      <w:r>
        <w:rPr>
          <w:rFonts w:hint="eastAsia" w:ascii="方正楷体_GBK" w:hAnsi="方正楷体_GBK" w:eastAsia="方正楷体_GBK" w:cs="方正楷体_GBK"/>
          <w:kern w:val="0"/>
          <w:sz w:val="32"/>
          <w:szCs w:val="32"/>
          <w:shd w:val="clear" w:fill="FFFFFF"/>
        </w:rPr>
        <w:t>三公</w:t>
      </w:r>
      <w:r>
        <w:rPr>
          <w:rFonts w:hint="default" w:ascii="Times New Roman" w:hAnsi="Times New Roman" w:eastAsia="方正楷体_GBK" w:cs="Times New Roman"/>
          <w:kern w:val="0"/>
          <w:sz w:val="32"/>
          <w:szCs w:val="32"/>
          <w:shd w:val="clear" w:fill="FFFFFF"/>
        </w:rPr>
        <w:t>”</w:t>
      </w:r>
      <w:r>
        <w:rPr>
          <w:rFonts w:hint="eastAsia" w:ascii="方正楷体_GBK" w:hAnsi="方正楷体_GBK" w:eastAsia="方正楷体_GBK" w:cs="方正楷体_GBK"/>
          <w:kern w:val="0"/>
          <w:sz w:val="32"/>
          <w:szCs w:val="32"/>
          <w:shd w:val="clear" w:fill="FFFFFF"/>
        </w:rPr>
        <w:t>经费实物量情况</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年度本部门因公出国（境）共计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个团组，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人；公务用车购置</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辆，公务车保有量为</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辆；国内公务接待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人，其中：国内外事接待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人；国（境）外公务接待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年本部门人均接待费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元，车均购置费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万元，车均维护费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四、其他需要说明的事项</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（一）财政拨款会议费和培训费情况说明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本年度会议费支出</w:t>
      </w:r>
      <w:r>
        <w:rPr>
          <w:rFonts w:hint="default" w:ascii="Times New Roman" w:hAnsi="Times New Roman" w:eastAsia="方正仿宋_GBK" w:cs="Times New Roman"/>
          <w:kern w:val="0"/>
          <w:sz w:val="32"/>
          <w:szCs w:val="32"/>
          <w:shd w:val="clear" w:fill="FFFFFF"/>
        </w:rPr>
        <w:t>0.12</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0.12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，主要原因是为衔接预算管理一体化，乡镇由统一核算改为独立核算，本年度为新增单位，无上年度数据。本年度培训费支出</w:t>
      </w:r>
      <w:r>
        <w:rPr>
          <w:rFonts w:hint="default" w:ascii="Times New Roman" w:hAnsi="Times New Roman" w:eastAsia="方正仿宋_GBK" w:cs="Times New Roman"/>
          <w:kern w:val="0"/>
          <w:sz w:val="32"/>
          <w:szCs w:val="32"/>
          <w:shd w:val="clear" w:fill="FFFFFF"/>
        </w:rPr>
        <w:t>0.51</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0.51</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（二）机关运行经费支出情况说明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（三）国有资产占用情况说明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截至</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月</w:t>
      </w:r>
      <w:r>
        <w:rPr>
          <w:rFonts w:hint="default" w:ascii="Times New Roman" w:hAnsi="Times New Roman" w:eastAsia="方正仿宋_GBK" w:cs="Times New Roman"/>
          <w:kern w:val="0"/>
          <w:sz w:val="32"/>
          <w:szCs w:val="32"/>
          <w:shd w:val="clear" w:fill="FFFFFF"/>
        </w:rPr>
        <w:t>31</w:t>
      </w:r>
      <w:r>
        <w:rPr>
          <w:rFonts w:hint="eastAsia" w:ascii="方正仿宋_GBK" w:hAnsi="方正仿宋_GBK" w:eastAsia="方正仿宋_GBK" w:cs="方正仿宋_GBK"/>
          <w:kern w:val="0"/>
          <w:sz w:val="32"/>
          <w:szCs w:val="32"/>
          <w:shd w:val="clear" w:fill="FFFFFF"/>
        </w:rPr>
        <w:t>日，本部门共有车辆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辆，其中，副部（省）级及以上领导用车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辆、主要领导干部用车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辆、机要通信用车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辆、应急保障用车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辆、执法执勤用车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辆，特种专业技术用车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辆，离退休干部用车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辆，其他用车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辆，单价</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万元（含）以上设备（不含车辆）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台（套）。</w:t>
      </w:r>
    </w:p>
    <w:p>
      <w:pPr>
        <w:pStyle w:val="21"/>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（四）政府采购支出说明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年度我单位未发生政府采购事项，无相关经费支出。</w:t>
      </w:r>
    </w:p>
    <w:p>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五、预算绩效管理情况说明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kern w:val="0"/>
          <w:sz w:val="32"/>
          <w:szCs w:val="32"/>
          <w:shd w:val="clear" w:fill="FFFFFF"/>
        </w:rPr>
        <w:t>本单位为通惠街道办事处下属二级预算单位，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年度无项目支出，未开展预算绩效管理。</w:t>
      </w:r>
    </w:p>
    <w:p>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六、专业名词解释</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（一）财政拨款收入：指本年度从本级财政部门取得的财政拨款，包括一般公共预算财政拨款和政府性基金预算财政拨款。</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（二）事业收入：指事业单位开展专业业务活动及其辅助活动取得的现金流入；事业单位收到的财政专户实际核拨的教育收费等资金在此反映。</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（三）经营收入：指事业单位在专业业务活动及其辅助活动之外开展非独立核算经营活动取得的现金流入。</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（五）使用非财政拨款结余：指单位在当年的“财政拨款收入”、“事业收入”、“经营收入”、“其他收入”等不足以安排当年支出的情况下，使用以前年度积累的非财政拨款结余弥补本年度收支缺口的资金。</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（六）年初结转和结余：指单位上年结转本年使用的基本支出结转、项目支出结转和结余、经营结余。</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（七）结余分配：指单位按照国家有关规定，缴纳所得税、提取专用基金、转入非财政拨款结余等当年结余的分配情况。</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（八）年末结转和结余：指单位结转下年的基本支出结转、项目支出结转和结余、经营结余。</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（十）项目支出：指在基本支出之外为完成特定行政任务和事业发展目标所发生的支出。</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（十一）经营支出：指事业单位在专业业务活动及其辅助活动之外开展非独立核算经营活动发生的支出。</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（十二）</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（十五）商品和服务支出（支出经济分类科目类级）：反映单位购买商品和服务的支出（不包括用于购置固定资产的支出、战略性和应急储备支出）。</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（十六）对个人和家庭的补助（支出经济分类科目类级）：反映用于对个人和家庭的补助支出。</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七、决算公开联系方式及信息反馈渠道</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8"/>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朱梦婷</w:t>
      </w:r>
      <w:r>
        <w:rPr>
          <w:rFonts w:hint="eastAsia" w:ascii="Times New Roman" w:hAnsi="Times New Roman" w:eastAsia="方正仿宋_GBK" w:cs="Times New Roman"/>
          <w:kern w:val="0"/>
          <w:sz w:val="32"/>
          <w:szCs w:val="32"/>
          <w:shd w:val="clear" w:fill="FFFFFF"/>
        </w:rPr>
        <w:t xml:space="preserve">   </w:t>
      </w:r>
      <w:r>
        <w:rPr>
          <w:rFonts w:hint="default" w:ascii="Times New Roman" w:hAnsi="Times New Roman" w:eastAsia="方正仿宋_GBK" w:cs="Times New Roman"/>
          <w:kern w:val="0"/>
          <w:sz w:val="32"/>
          <w:szCs w:val="32"/>
          <w:shd w:val="clear" w:fill="FFFFFF"/>
        </w:rPr>
        <w:t>023-48882728</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2ZhZjUzMmMwOTEyMjZkYzM4ODMyNTY5ODBhYzQifQ=="/>
  </w:docVars>
  <w:rsids>
    <w:rsidRoot w:val="00000000"/>
    <w:rsid w:val="21202963"/>
    <w:rsid w:val="48FA17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方正仿宋_GBK" w:hAnsi="方正仿宋_GBK" w:eastAsia="方正仿宋_GBK" w:cs="方正仿宋_GBK"/>
      <w:kern w:val="0"/>
      <w:sz w:val="24"/>
      <w:szCs w:val="24"/>
      <w:lang w:val="en-US" w:eastAsia="zh-CN" w:bidi="ar"/>
    </w:rPr>
  </w:style>
  <w:style w:type="paragraph" w:styleId="2">
    <w:name w:val="heading 1"/>
    <w:basedOn w:val="1"/>
    <w:next w:val="1"/>
    <w:qFormat/>
    <w:uiPriority w:val="0"/>
    <w:pPr>
      <w:spacing w:before="0" w:beforeAutospacing="1" w:after="0" w:afterAutospacing="1" w:line="600" w:lineRule="exact"/>
      <w:ind w:left="0" w:right="0" w:firstLine="480" w:firstLineChars="200"/>
      <w:jc w:val="left"/>
      <w:outlineLvl w:val="0"/>
    </w:pPr>
    <w:rPr>
      <w:rFonts w:hint="eastAsia" w:ascii="宋体" w:hAnsi="宋体" w:eastAsia="方正黑体_GBK" w:cs="宋体"/>
      <w:kern w:val="44"/>
      <w:sz w:val="32"/>
      <w:szCs w:val="32"/>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方正仿宋_GBK" w:hAnsi="方正仿宋_GBK" w:eastAsia="方正仿宋_GBK" w:cs="方正仿宋_GBK"/>
      <w:kern w:val="0"/>
      <w:sz w:val="24"/>
      <w:szCs w:val="24"/>
      <w:lang w:val="en-US" w:eastAsia="zh-CN" w:bidi="ar"/>
    </w:rPr>
  </w:style>
  <w:style w:type="character" w:customStyle="1" w:styleId="12">
    <w:name w:val="15"/>
    <w:basedOn w:val="11"/>
    <w:uiPriority w:val="0"/>
    <w:rPr>
      <w:rFonts w:hint="default" w:ascii="Times New Roman" w:hAnsi="Times New Roman" w:cs="Times New Roman"/>
      <w:b/>
      <w:bCs/>
    </w:rPr>
  </w:style>
  <w:style w:type="paragraph" w:customStyle="1" w:styleId="13">
    <w:name w:val="普通(网站) Char"/>
    <w:basedOn w:val="1"/>
    <w:uiPriority w:val="0"/>
    <w:pPr>
      <w:spacing w:before="0" w:beforeAutospacing="1" w:after="0" w:afterAutospacing="1"/>
      <w:ind w:left="0" w:right="0"/>
      <w:jc w:val="left"/>
    </w:pPr>
    <w:rPr>
      <w:rFonts w:hint="eastAsia" w:ascii="方正仿宋_GBK" w:hAnsi="方正仿宋_GBK" w:eastAsia="方正仿宋_GBK" w:cs="方正仿宋_GBK"/>
      <w:kern w:val="0"/>
      <w:sz w:val="24"/>
      <w:szCs w:val="24"/>
      <w:lang w:val="en-US" w:eastAsia="zh-CN" w:bidi="ar"/>
    </w:rPr>
  </w:style>
  <w:style w:type="character" w:customStyle="1" w:styleId="14">
    <w:name w:val="16"/>
    <w:basedOn w:val="11"/>
    <w:uiPriority w:val="0"/>
    <w:rPr>
      <w:rFonts w:hint="default" w:ascii="Times New Roman" w:hAnsi="Times New Roman" w:cs="Times New Roman"/>
    </w:rPr>
  </w:style>
  <w:style w:type="character" w:customStyle="1" w:styleId="15">
    <w:name w:val="10"/>
    <w:basedOn w:val="11"/>
    <w:uiPriority w:val="0"/>
    <w:rPr>
      <w:rFonts w:hint="default" w:ascii="Times New Roman" w:hAnsi="Times New Roman" w:cs="Times New Roman"/>
    </w:rPr>
  </w:style>
  <w:style w:type="paragraph" w:customStyle="1" w:styleId="16">
    <w:name w:val="p Char"/>
    <w:basedOn w:val="1"/>
    <w:uiPriority w:val="0"/>
    <w:pPr>
      <w:spacing w:before="0" w:beforeAutospacing="1" w:after="0" w:afterAutospacing="1"/>
      <w:ind w:left="0" w:right="0"/>
      <w:jc w:val="left"/>
    </w:pPr>
    <w:rPr>
      <w:rFonts w:hint="eastAsia" w:ascii="方正仿宋_GBK" w:hAnsi="方正仿宋_GBK" w:eastAsia="方正仿宋_GBK" w:cs="方正仿宋_GBK"/>
      <w:kern w:val="0"/>
      <w:sz w:val="24"/>
      <w:szCs w:val="24"/>
      <w:lang w:val="en-US" w:eastAsia="zh-CN" w:bidi="ar"/>
    </w:rPr>
  </w:style>
  <w:style w:type="character" w:customStyle="1" w:styleId="17">
    <w:name w:val="17"/>
    <w:basedOn w:val="11"/>
    <w:uiPriority w:val="0"/>
    <w:rPr>
      <w:rFonts w:hint="default" w:ascii="Times New Roman" w:hAnsi="Times New Roman" w:cs="Times New Roman"/>
    </w:rPr>
  </w:style>
  <w:style w:type="paragraph" w:customStyle="1" w:styleId="18">
    <w:name w:val="公文正文"/>
    <w:basedOn w:val="19"/>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仿宋_GBK" w:cs="Times New Roman"/>
      <w:kern w:val="0"/>
      <w:sz w:val="32"/>
      <w:szCs w:val="32"/>
      <w:shd w:val="clear" w:fill="auto"/>
      <w:lang w:val="en-US" w:eastAsia="zh-CN" w:bidi="ar"/>
    </w:rPr>
  </w:style>
  <w:style w:type="paragraph" w:customStyle="1" w:styleId="19">
    <w:name w:val="一级标题"/>
    <w:basedOn w:val="1"/>
    <w:uiPriority w:val="0"/>
    <w:pPr>
      <w:shd w:val="clear" w:fill="FFFFFF"/>
      <w:spacing w:before="0" w:beforeAutospacing="0" w:after="0" w:afterAutospacing="1" w:line="600" w:lineRule="atLeast"/>
      <w:ind w:left="0" w:right="0" w:firstLine="880" w:firstLineChars="200"/>
      <w:jc w:val="left"/>
    </w:pPr>
    <w:rPr>
      <w:rFonts w:hint="eastAsia" w:ascii="Times New Roman" w:hAnsi="Times New Roman" w:eastAsia="方正黑体_GBK" w:cs="Times New Roman"/>
      <w:kern w:val="0"/>
      <w:sz w:val="32"/>
      <w:szCs w:val="32"/>
      <w:lang w:val="en-US" w:eastAsia="zh-CN" w:bidi="ar"/>
    </w:rPr>
  </w:style>
  <w:style w:type="paragraph" w:customStyle="1" w:styleId="20">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二级标题"/>
    <w:basedOn w:val="1"/>
    <w:next w:val="1"/>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楷体_GBK" w:cs="Times New Roman"/>
      <w:kern w:val="0"/>
      <w:sz w:val="32"/>
      <w:szCs w:val="32"/>
      <w:lang w:val="en-US" w:eastAsia="zh-CN" w:bidi="ar"/>
    </w:rPr>
  </w:style>
  <w:style w:type="paragraph" w:customStyle="1" w:styleId="22">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2023-10-26T08:34:58Z</dcterms:created>
  <dc:creator>Administrator</dc:creator>
  <cp:lastModifiedBy>asus</cp:lastModifiedBy>
  <dcterms:modified xsi:type="dcterms:W3CDTF">2023-10-26T08:35:32Z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2DF330A0F4204970BF0C88B7502E3344_13</vt:lpwstr>
  </property>
</Properties>
</file>