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ind w:left="0" w:leftChars="0" w:firstLine="0" w:firstLineChars="0"/>
        <w:jc w:val="center"/>
        <w:textAlignment w:val="auto"/>
        <w:rPr>
          <w:rFonts w:hint="eastAsia" w:ascii="方正小标宋_GBK" w:hAnsi="方正小标宋_GBK" w:eastAsia="方正小标宋_GBK" w:cs="方正小标宋_GBK"/>
          <w:kern w:val="0"/>
          <w:sz w:val="44"/>
          <w:szCs w:val="44"/>
        </w:rPr>
      </w:pPr>
      <w:bookmarkStart w:id="0" w:name="_GoBack"/>
      <w:r>
        <w:rPr>
          <w:rStyle w:val="19"/>
          <w:rFonts w:hint="eastAsia" w:ascii="方正小标宋_GBK" w:hAnsi="方正小标宋_GBK" w:eastAsia="方正小标宋_GBK" w:cs="方正小标宋_GBK"/>
          <w:b/>
          <w:bCs/>
          <w:sz w:val="44"/>
          <w:szCs w:val="44"/>
          <w:shd w:val="clear" w:fill="FFFFFF"/>
        </w:rPr>
        <w:t>重庆市綦江区通惠街道农业服务中心</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ind w:left="0" w:leftChars="0" w:firstLine="0" w:firstLineChars="0"/>
        <w:jc w:val="center"/>
        <w:textAlignment w:val="auto"/>
        <w:rPr>
          <w:rFonts w:hint="eastAsia" w:ascii="方正小标宋_GBK" w:hAnsi="方正小标宋_GBK" w:eastAsia="方正小标宋_GBK" w:cs="方正小标宋_GBK"/>
          <w:kern w:val="0"/>
          <w:sz w:val="44"/>
          <w:szCs w:val="44"/>
        </w:rPr>
      </w:pPr>
      <w:r>
        <w:rPr>
          <w:rStyle w:val="19"/>
          <w:rFonts w:hint="eastAsia" w:ascii="方正小标宋_GBK" w:hAnsi="方正小标宋_GBK" w:eastAsia="方正小标宋_GBK" w:cs="方正小标宋_GBK"/>
          <w:b/>
          <w:bCs/>
          <w:sz w:val="44"/>
          <w:szCs w:val="44"/>
          <w:shd w:val="clear" w:fill="FFFFFF"/>
        </w:rPr>
        <w:t>2022年度部门决算情况说明</w:t>
      </w:r>
    </w:p>
    <w:bookmarkEnd w:id="0"/>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宋体" w:hAnsi="宋体" w:eastAsia="方正黑体_GBK" w:cs="宋体"/>
          <w:b w:val="0"/>
          <w:bCs w:val="0"/>
          <w:kern w:val="44"/>
          <w:sz w:val="32"/>
          <w:szCs w:val="32"/>
        </w:rPr>
      </w:pPr>
      <w:r>
        <w:rPr>
          <w:rFonts w:hint="eastAsia" w:ascii="方正黑体_GBK" w:hAnsi="方正黑体_GBK" w:eastAsia="方正黑体_GBK" w:cs="方正黑体_GBK"/>
          <w:b w:val="0"/>
          <w:bCs w:val="0"/>
          <w:kern w:val="44"/>
          <w:sz w:val="32"/>
          <w:szCs w:val="32"/>
        </w:rPr>
        <w:t>一、部门基本情况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（一）职能职责</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根据《中共重庆市綦江区委机构编制委员会关于印发</w:t>
      </w:r>
      <w:r>
        <w:rPr>
          <w:rFonts w:hint="default" w:ascii="Calibri" w:hAnsi="Calibri" w:eastAsia="方正仿宋_GBK" w:cs="Calibri"/>
          <w:kern w:val="0"/>
          <w:sz w:val="32"/>
          <w:szCs w:val="32"/>
        </w:rPr>
        <w:t>&lt;</w:t>
      </w:r>
      <w:r>
        <w:rPr>
          <w:rFonts w:hint="eastAsia" w:ascii="方正仿宋_GBK" w:hAnsi="方正仿宋_GBK" w:eastAsia="方正仿宋_GBK" w:cs="方正仿宋_GBK"/>
          <w:kern w:val="0"/>
          <w:sz w:val="32"/>
          <w:szCs w:val="32"/>
        </w:rPr>
        <w:t>重庆市綦江区通惠街道综合办事机构和事业单位机构编制方案</w:t>
      </w:r>
      <w:r>
        <w:rPr>
          <w:rFonts w:hint="default" w:ascii="Calibri" w:hAnsi="Calibri" w:eastAsia="方正仿宋_GBK" w:cs="Calibri"/>
          <w:kern w:val="0"/>
          <w:sz w:val="32"/>
          <w:szCs w:val="32"/>
        </w:rPr>
        <w:t>&gt;</w:t>
      </w:r>
      <w:r>
        <w:rPr>
          <w:rFonts w:hint="eastAsia" w:ascii="方正仿宋_GBK" w:hAnsi="方正仿宋_GBK" w:eastAsia="方正仿宋_GBK" w:cs="方正仿宋_GBK"/>
          <w:kern w:val="0"/>
          <w:sz w:val="32"/>
          <w:szCs w:val="32"/>
        </w:rPr>
        <w:t>的通知》（綦委编【</w:t>
      </w:r>
      <w:r>
        <w:rPr>
          <w:rFonts w:hint="default" w:ascii="Calibri" w:hAnsi="Calibri" w:eastAsia="方正仿宋_GBK" w:cs="Calibri"/>
          <w:kern w:val="0"/>
          <w:sz w:val="32"/>
          <w:szCs w:val="32"/>
        </w:rPr>
        <w:t>2020</w:t>
      </w: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2</w:t>
      </w:r>
      <w:r>
        <w:rPr>
          <w:rFonts w:hint="eastAsia" w:ascii="方正仿宋_GBK" w:hAnsi="方正仿宋_GBK" w:eastAsia="方正仿宋_GBK" w:cs="方正仿宋_GBK"/>
          <w:kern w:val="0"/>
          <w:sz w:val="32"/>
          <w:szCs w:val="32"/>
        </w:rPr>
        <w:t>号）文件精神，本单位主要职能职责有：</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承担农机、农产品质量、农村清洁能源（沼气、太阳能）、渔业船舶、林业、水利、防汛抗旱、水产、畜牧兽医、气象等方面的事务性工作；承担农村经营管理、重大技术推广、信息服务、资源环境保护、灾害防治等方面的事务性工作；承担农村土地承包管理、农民负担监督管理、农村集体资产管理等方面的事务性工作；承担扶贫开发、乡村振兴方面的事务性工作；协助开展惠农资金补贴工作。</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（二）机构设置</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根据《中共重庆市綦江区委机构编制委员会关于印发</w:t>
      </w:r>
      <w:r>
        <w:rPr>
          <w:rFonts w:hint="default" w:ascii="Calibri" w:hAnsi="Calibri" w:eastAsia="方正仿宋_GBK" w:cs="Calibri"/>
          <w:kern w:val="0"/>
          <w:sz w:val="32"/>
          <w:szCs w:val="32"/>
        </w:rPr>
        <w:t>&lt;</w:t>
      </w:r>
      <w:r>
        <w:rPr>
          <w:rFonts w:hint="eastAsia" w:ascii="方正仿宋_GBK" w:hAnsi="方正仿宋_GBK" w:eastAsia="方正仿宋_GBK" w:cs="方正仿宋_GBK"/>
          <w:kern w:val="0"/>
          <w:sz w:val="32"/>
          <w:szCs w:val="32"/>
        </w:rPr>
        <w:t>重庆市綦江区通惠街道综合办事机构和事业单位机构编制方案</w:t>
      </w:r>
      <w:r>
        <w:rPr>
          <w:rFonts w:hint="default" w:ascii="Calibri" w:hAnsi="Calibri" w:eastAsia="方正仿宋_GBK" w:cs="Calibri"/>
          <w:kern w:val="0"/>
          <w:sz w:val="32"/>
          <w:szCs w:val="32"/>
        </w:rPr>
        <w:t>&gt;</w:t>
      </w:r>
      <w:r>
        <w:rPr>
          <w:rFonts w:hint="eastAsia" w:ascii="方正仿宋_GBK" w:hAnsi="方正仿宋_GBK" w:eastAsia="方正仿宋_GBK" w:cs="方正仿宋_GBK"/>
          <w:kern w:val="0"/>
          <w:sz w:val="32"/>
          <w:szCs w:val="32"/>
        </w:rPr>
        <w:t>的通知》（綦委编</w:t>
      </w:r>
      <w:r>
        <w:rPr>
          <w:rFonts w:hint="default" w:ascii="Calibri" w:hAnsi="Calibri" w:eastAsia="方正仿宋_GBK" w:cs="Calibri"/>
          <w:kern w:val="0"/>
          <w:sz w:val="32"/>
          <w:szCs w:val="32"/>
        </w:rPr>
        <w:t>[2020]2</w:t>
      </w:r>
      <w:r>
        <w:rPr>
          <w:rFonts w:hint="eastAsia" w:ascii="方正仿宋_GBK" w:hAnsi="方正仿宋_GBK" w:eastAsia="方正仿宋_GBK" w:cs="方正仿宋_GBK"/>
          <w:kern w:val="0"/>
          <w:sz w:val="32"/>
          <w:szCs w:val="32"/>
        </w:rPr>
        <w:t>号）文件精神，本单位内设事业单位</w:t>
      </w:r>
      <w:r>
        <w:rPr>
          <w:rFonts w:hint="default" w:ascii="Calibri" w:hAnsi="Calibri" w:eastAsia="方正仿宋_GBK" w:cs="Calibri"/>
          <w:kern w:val="0"/>
          <w:sz w:val="32"/>
          <w:szCs w:val="32"/>
        </w:rPr>
        <w:t>1</w:t>
      </w:r>
      <w:r>
        <w:rPr>
          <w:rFonts w:hint="eastAsia" w:ascii="方正仿宋_GBK" w:hAnsi="方正仿宋_GBK" w:eastAsia="方正仿宋_GBK" w:cs="方正仿宋_GBK"/>
          <w:kern w:val="0"/>
          <w:sz w:val="32"/>
          <w:szCs w:val="32"/>
        </w:rPr>
        <w:t>个，即农业服务中心。</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宋体" w:hAnsi="宋体" w:eastAsia="方正黑体_GBK" w:cs="宋体"/>
          <w:b w:val="0"/>
          <w:bCs w:val="0"/>
          <w:kern w:val="44"/>
          <w:sz w:val="32"/>
          <w:szCs w:val="32"/>
        </w:rPr>
      </w:pPr>
      <w:r>
        <w:rPr>
          <w:rFonts w:hint="eastAsia" w:ascii="方正黑体_GBK" w:hAnsi="方正黑体_GBK" w:eastAsia="方正黑体_GBK" w:cs="方正黑体_GBK"/>
          <w:b w:val="0"/>
          <w:bCs w:val="0"/>
          <w:kern w:val="44"/>
          <w:sz w:val="32"/>
          <w:szCs w:val="32"/>
        </w:rPr>
        <w:t>二、部门决算情况说明</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（一）收入支出决算总体情况说明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总体情况。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年度收入总计</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万元，支出总计</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万元。收支较上年决算数增加</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年度收入合计</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，主要原因是为衔接预算管理一体化，乡镇由统一核算改为独立核算，本年度为新增单位，无上年度数据。其中：财政拨款收入</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年度支出合计</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万元，较上年决算增加</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，主要原因是为衔接预算管理一体化，乡镇由统一核算改为独立核算，本年度为新增单位，无上年度数据。其中：基本支出</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年度年末无结转结余。</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（二）财政拨款收入支出决算总体情况说明</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2022年度财政拨款收、支总计457.55万元。与2021年相比，财政拨款收、支总计各增加457.55万元，增长100.0%。主要原因是为衔接预算管理一体化，乡镇由统一核算改为独立核算，本年度为新增单位，无上年度数据。</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（三）一般公共预算财政拨款收入支出决算情况说明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年度一般公共预算财政拨款收入</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。主要原因是为衔接预算管理一体化，乡镇由统一核算改为独立核算，本年度为新增单位，无上年度数据。较年初预算数增加</w:t>
      </w:r>
      <w:r>
        <w:rPr>
          <w:rFonts w:hint="default" w:ascii="Times New Roman" w:hAnsi="Times New Roman" w:eastAsia="方正仿宋_GBK" w:cs="Times New Roman"/>
          <w:kern w:val="0"/>
          <w:sz w:val="32"/>
          <w:szCs w:val="32"/>
          <w:shd w:val="clear" w:fill="FFFFFF"/>
        </w:rPr>
        <w:t>23.24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5.4%</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年度调标增资，相关工资、五险一金等人员类经费增加。此外，年初财政拨款结转和结余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。主要原因是为衔接预算管理一体化，乡镇由统一核算改为独立核算，本年度为新增单位，无上年度数据。较年初预算数增加</w:t>
      </w:r>
      <w:r>
        <w:rPr>
          <w:rFonts w:hint="default" w:ascii="Times New Roman" w:hAnsi="Times New Roman" w:eastAsia="方正仿宋_GBK" w:cs="Times New Roman"/>
          <w:kern w:val="0"/>
          <w:sz w:val="32"/>
          <w:szCs w:val="32"/>
          <w:shd w:val="clear" w:fill="FFFFFF"/>
        </w:rPr>
        <w:t>23.24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5.4%</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年度调标增资，相关工资、五险一金等人员类经费增加。</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年度年末一般公共预算财政拨款结转和结余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年度年末无一般公共预算财政拨款结转和结余。</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比较情况。本部门</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年度一般公共预算财政拨款支出主要用于以下几个方面：</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）社会保障与就业支出</w:t>
      </w:r>
      <w:r>
        <w:rPr>
          <w:rFonts w:hint="default" w:ascii="Times New Roman" w:hAnsi="Times New Roman" w:eastAsia="方正仿宋_GBK" w:cs="Times New Roman"/>
          <w:kern w:val="0"/>
          <w:sz w:val="32"/>
          <w:szCs w:val="32"/>
          <w:shd w:val="clear" w:fill="FFFFFF"/>
        </w:rPr>
        <w:t>99.29</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21.7%</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19.67</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24.7%</w:t>
      </w:r>
      <w:r>
        <w:rPr>
          <w:rFonts w:hint="eastAsia" w:ascii="方正仿宋_GBK" w:hAnsi="方正仿宋_GBK" w:eastAsia="方正仿宋_GBK" w:cs="方正仿宋_GBK"/>
          <w:kern w:val="0"/>
          <w:sz w:val="32"/>
          <w:szCs w:val="32"/>
          <w:shd w:val="clear" w:fill="FFFFFF"/>
        </w:rPr>
        <w:t>，主要原因是离退休人员综合目标考核支出增加。</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）卫生健康支出</w:t>
      </w:r>
      <w:r>
        <w:rPr>
          <w:rFonts w:hint="default" w:ascii="Times New Roman" w:hAnsi="Times New Roman" w:eastAsia="方正仿宋_GBK" w:cs="Times New Roman"/>
          <w:kern w:val="0"/>
          <w:sz w:val="32"/>
          <w:szCs w:val="32"/>
          <w:shd w:val="clear" w:fill="FFFFFF"/>
        </w:rPr>
        <w:t>19.41</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4.2%</w:t>
      </w:r>
      <w:r>
        <w:rPr>
          <w:rFonts w:hint="eastAsia" w:ascii="方正仿宋_GBK" w:hAnsi="方正仿宋_GBK" w:eastAsia="方正仿宋_GBK" w:cs="方正仿宋_GBK"/>
          <w:kern w:val="0"/>
          <w:sz w:val="32"/>
          <w:szCs w:val="32"/>
          <w:shd w:val="clear" w:fill="FFFFFF"/>
        </w:rPr>
        <w:t>，较年初预算数减少</w:t>
      </w:r>
      <w:r>
        <w:rPr>
          <w:rFonts w:hint="default" w:ascii="Times New Roman" w:hAnsi="Times New Roman" w:eastAsia="方正仿宋_GBK" w:cs="Times New Roman"/>
          <w:kern w:val="0"/>
          <w:sz w:val="32"/>
          <w:szCs w:val="32"/>
          <w:shd w:val="clear" w:fill="FFFFFF"/>
        </w:rPr>
        <w:t>2.66</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12.1%</w:t>
      </w:r>
      <w:r>
        <w:rPr>
          <w:rFonts w:hint="eastAsia" w:ascii="方正仿宋_GBK" w:hAnsi="方正仿宋_GBK" w:eastAsia="方正仿宋_GBK" w:cs="方正仿宋_GBK"/>
          <w:kern w:val="0"/>
          <w:sz w:val="32"/>
          <w:szCs w:val="32"/>
          <w:shd w:val="clear" w:fill="FFFFFF"/>
        </w:rPr>
        <w:t>，主要原因是人员变动医疗补助支出减少。</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）农林水支出</w:t>
      </w:r>
      <w:r>
        <w:rPr>
          <w:rFonts w:hint="default" w:ascii="Times New Roman" w:hAnsi="Times New Roman" w:eastAsia="方正仿宋_GBK" w:cs="Times New Roman"/>
          <w:kern w:val="0"/>
          <w:sz w:val="32"/>
          <w:szCs w:val="32"/>
          <w:shd w:val="clear" w:fill="FFFFFF"/>
        </w:rPr>
        <w:t>319.80</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69.9%</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5.28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1.7%</w:t>
      </w:r>
      <w:r>
        <w:rPr>
          <w:rFonts w:hint="eastAsia" w:ascii="方正仿宋_GBK" w:hAnsi="方正仿宋_GBK" w:eastAsia="方正仿宋_GBK" w:cs="方正仿宋_GBK"/>
          <w:kern w:val="0"/>
          <w:sz w:val="32"/>
          <w:szCs w:val="32"/>
          <w:shd w:val="clear" w:fill="FFFFFF"/>
        </w:rPr>
        <w:t>，主要原因是调标增资，相关薪酬类人员经费支出增加。</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）住房保障支出</w:t>
      </w:r>
      <w:r>
        <w:rPr>
          <w:rFonts w:hint="default" w:ascii="Times New Roman" w:hAnsi="Times New Roman" w:eastAsia="方正仿宋_GBK" w:cs="Times New Roman"/>
          <w:kern w:val="0"/>
          <w:sz w:val="32"/>
          <w:szCs w:val="32"/>
          <w:shd w:val="clear" w:fill="FFFFFF"/>
        </w:rPr>
        <w:t>19.04</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4.2%</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0.95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5.3%</w:t>
      </w:r>
      <w:r>
        <w:rPr>
          <w:rFonts w:hint="eastAsia" w:ascii="方正仿宋_GBK" w:hAnsi="方正仿宋_GBK" w:eastAsia="方正仿宋_GBK" w:cs="方正仿宋_GBK"/>
          <w:kern w:val="0"/>
          <w:sz w:val="32"/>
          <w:szCs w:val="32"/>
          <w:shd w:val="clear" w:fill="FFFFFF"/>
        </w:rPr>
        <w:t>，主要原因是住房公积金费用较年初预算数增加。</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（四）一般公共预算财政拨款基本支出决算情况说明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Calibri" w:hAnsi="Calibri" w:eastAsia="方正仿宋_GBK" w:cs="宋体"/>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年度一般公共预算财政拨款基本支出</w:t>
      </w:r>
      <w:r>
        <w:rPr>
          <w:rFonts w:hint="default" w:ascii="Times New Roman" w:hAnsi="Times New Roman" w:eastAsia="方正仿宋_GBK" w:cs="Times New Roman"/>
          <w:kern w:val="0"/>
          <w:sz w:val="32"/>
          <w:szCs w:val="32"/>
          <w:shd w:val="clear" w:fill="FFFFFF"/>
        </w:rPr>
        <w:t>457.55</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387.84</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387.84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，主要原因是为衔接预算管理一体化，乡镇由统一核算改为独立核算，本年度为新增单位，无上年度数据。人员经费用途主要包括人员工资、绩效、津补贴、社保和公积金等。公用经费</w:t>
      </w:r>
      <w:r>
        <w:rPr>
          <w:rFonts w:hint="default" w:ascii="Times New Roman" w:hAnsi="Times New Roman" w:eastAsia="方正仿宋_GBK" w:cs="Times New Roman"/>
          <w:kern w:val="0"/>
          <w:sz w:val="32"/>
          <w:szCs w:val="32"/>
          <w:shd w:val="clear" w:fill="FFFFFF"/>
        </w:rPr>
        <w:t>69.71</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69.71</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，主要原因是为衔接预算管理一体化，乡镇由统一核算改为独立核算，本年度为新增单位，无上年度数据。公用经费用途主要包括办公费、会议费、培训费、印刷费、工会经费等。</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（五）政府性基金预算收支决算情况说明</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本单位</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年度无政府性基金预算财政拨款收支。</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（六）国有资本经营预算财政拨款支出决算情况说明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年度无国有资本经营预算财政拨款支出。</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三、“三公”经费情况说明</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（一）“三公”经费支出总体情况说明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经费支出共计</w:t>
      </w:r>
      <w:r>
        <w:rPr>
          <w:rFonts w:hint="default" w:ascii="Times New Roman" w:hAnsi="Times New Roman" w:eastAsia="方正仿宋_GBK" w:cs="Times New Roman"/>
          <w:kern w:val="0"/>
          <w:sz w:val="32"/>
          <w:szCs w:val="32"/>
          <w:shd w:val="clear" w:fill="FFFFFF"/>
        </w:rPr>
        <w:t>6.50</w:t>
      </w:r>
      <w:r>
        <w:rPr>
          <w:rFonts w:hint="eastAsia" w:ascii="方正仿宋_GBK" w:hAnsi="方正仿宋_GBK" w:eastAsia="方正仿宋_GBK" w:cs="方正仿宋_GBK"/>
          <w:kern w:val="0"/>
          <w:sz w:val="32"/>
          <w:szCs w:val="32"/>
          <w:shd w:val="clear" w:fill="FFFFFF"/>
        </w:rPr>
        <w:t>万元，较年初预算数增加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万元，与年初预算数持平。较上年支出数增加</w:t>
      </w:r>
      <w:r>
        <w:rPr>
          <w:rFonts w:hint="default" w:ascii="Times New Roman" w:hAnsi="Times New Roman" w:eastAsia="方正仿宋_GBK" w:cs="Times New Roman"/>
          <w:kern w:val="0"/>
          <w:sz w:val="32"/>
          <w:szCs w:val="32"/>
          <w:shd w:val="clear" w:fill="FFFFFF"/>
        </w:rPr>
        <w:t>6.50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（二）“三公”经费分项支出情况</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年度本部门因公出国（境）费用</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年度未发生因公出国（境）费用。</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年度未发生公务车购置费用。</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公务车运行维护费</w:t>
      </w:r>
      <w:r>
        <w:rPr>
          <w:rFonts w:hint="default" w:ascii="Times New Roman" w:hAnsi="Times New Roman" w:eastAsia="方正仿宋_GBK" w:cs="Times New Roman"/>
          <w:kern w:val="0"/>
          <w:sz w:val="32"/>
          <w:szCs w:val="32"/>
          <w:shd w:val="clear" w:fill="FFFFFF"/>
        </w:rPr>
        <w:t>6.50</w:t>
      </w:r>
      <w:r>
        <w:rPr>
          <w:rFonts w:hint="eastAsia" w:ascii="方正仿宋_GBK" w:hAnsi="方正仿宋_GBK" w:eastAsia="方正仿宋_GBK" w:cs="方正仿宋_GBK"/>
          <w:kern w:val="0"/>
          <w:sz w:val="32"/>
          <w:szCs w:val="32"/>
          <w:shd w:val="clear" w:fill="FFFFFF"/>
        </w:rPr>
        <w:t>万元，主要用于机要文件传递、因公出行、下村检查等工作所需车辆的燃料费、维修费、过桥过路费、保险费等。费用支出较年初预算数增加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万元，与年初预算数持平。较上年支出数增加</w:t>
      </w:r>
      <w:r>
        <w:rPr>
          <w:rFonts w:hint="default" w:ascii="Times New Roman" w:hAnsi="Times New Roman" w:eastAsia="方正仿宋_GBK" w:cs="Times New Roman"/>
          <w:kern w:val="0"/>
          <w:sz w:val="32"/>
          <w:szCs w:val="32"/>
          <w:shd w:val="clear" w:fill="FFFFFF"/>
        </w:rPr>
        <w:t>6.50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年度未发生公务接待费用。</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（三）“三公”经费实物量情况</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年度本部门因公出国（境）共计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个团组，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人；公务用车购置</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辆，公务车保有量为</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辆；国内公务接待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人，其中：国内外事接待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人；国（境）外公务接待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年本部门人均接待费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元，车均购置费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万元，车均维护费</w:t>
      </w:r>
      <w:r>
        <w:rPr>
          <w:rFonts w:hint="default" w:ascii="Times New Roman" w:hAnsi="Times New Roman" w:eastAsia="方正仿宋_GBK" w:cs="Times New Roman"/>
          <w:kern w:val="0"/>
          <w:sz w:val="32"/>
          <w:szCs w:val="32"/>
          <w:shd w:val="clear" w:fill="FFFFFF"/>
        </w:rPr>
        <w:t>6.50</w:t>
      </w:r>
      <w:r>
        <w:rPr>
          <w:rFonts w:hint="eastAsia" w:ascii="方正仿宋_GBK" w:hAnsi="方正仿宋_GBK" w:eastAsia="方正仿宋_GBK" w:cs="方正仿宋_GBK"/>
          <w:kern w:val="0"/>
          <w:sz w:val="32"/>
          <w:szCs w:val="32"/>
          <w:shd w:val="clear" w:fill="FFFFFF"/>
        </w:rPr>
        <w:t>万元。</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四、其他需要说明的事项</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（一）财政拨款会议费和培训费情况说明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本年度会议费支出</w:t>
      </w:r>
      <w:r>
        <w:rPr>
          <w:rFonts w:hint="default" w:ascii="Times New Roman" w:hAnsi="Times New Roman" w:eastAsia="方正仿宋_GBK" w:cs="Times New Roman"/>
          <w:kern w:val="0"/>
          <w:sz w:val="32"/>
          <w:szCs w:val="32"/>
          <w:shd w:val="clear" w:fill="FFFFFF"/>
        </w:rPr>
        <w:t>0.54</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0.54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，主要原因是为衔接预算管理一体化，乡镇由统一核算改为独立核算，本年度为新增单位，无上年度数据。本年度培训费支出</w:t>
      </w:r>
      <w:r>
        <w:rPr>
          <w:rFonts w:hint="default" w:ascii="Times New Roman" w:hAnsi="Times New Roman" w:eastAsia="方正仿宋_GBK" w:cs="Times New Roman"/>
          <w:kern w:val="0"/>
          <w:sz w:val="32"/>
          <w:szCs w:val="32"/>
          <w:shd w:val="clear" w:fill="FFFFFF"/>
        </w:rPr>
        <w:t>2.80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2.80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（二）机关运行经费支出情况说明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（三）国有资产占用情况说明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截至</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月</w:t>
      </w:r>
      <w:r>
        <w:rPr>
          <w:rFonts w:hint="default" w:ascii="Times New Roman" w:hAnsi="Times New Roman" w:eastAsia="方正仿宋_GBK" w:cs="Times New Roman"/>
          <w:kern w:val="0"/>
          <w:sz w:val="32"/>
          <w:szCs w:val="32"/>
          <w:shd w:val="clear" w:fill="FFFFFF"/>
        </w:rPr>
        <w:t>31</w:t>
      </w:r>
      <w:r>
        <w:rPr>
          <w:rFonts w:hint="eastAsia" w:ascii="方正仿宋_GBK" w:hAnsi="方正仿宋_GBK" w:eastAsia="方正仿宋_GBK" w:cs="方正仿宋_GBK"/>
          <w:kern w:val="0"/>
          <w:sz w:val="32"/>
          <w:szCs w:val="32"/>
          <w:shd w:val="clear" w:fill="FFFFFF"/>
        </w:rPr>
        <w:t>日，本部门共有车辆</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辆，其中，副部（省）级及以上领导用车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辆、主要领导干部用车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辆、机要通信用车</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辆、应急保障用车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辆、执法执勤用车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辆，特种专业技术用车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辆，离退休干部用车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辆，其他用车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辆。单价</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万元（含）以上设备（不含车辆）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台（套）。</w:t>
      </w:r>
    </w:p>
    <w:p>
      <w:pPr>
        <w:pStyle w:val="24"/>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（四）政府采购支出说明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年度我单位未发生政府采购事项，无相关经费支出。</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五、预算绩效管理情况说明</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本单位为通惠街道办事处下属二级预算单位，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年度无项目支出，未开展预算绩效管理。</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六、专业名词解释</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（一）财政拨款收入：指本年度从本级财政部门取得的财政拨款，包括一般公共预算财政拨款和政府性基金预算财政拨款。</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（二）事业收入：指事业单位开展专业业务活动及其辅助活动取得的现金流入；事业单位收到的财政专户实际核拨的教育收费等资金在此反映。</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（三）经营收入：指事业单位在专业业务活动及其辅助活动之外开展非独立核算经营活动取得的现金流入。</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（四）其他收入：指单位取得的除</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财政拨款收入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事业收入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经营收入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（五）使用非财政拨款结余：指单位在当年的</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财政拨款收入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事业收入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经营收入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其他收入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等不足以安排当年支出的情况下，使用以前年度积累的非财政拨款结余弥补本年度收支缺口的资金。</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（六）年初结转和结余：指单位上年结转本年使用的基本支出结转、项目支出结转和结余、经营结余。</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（七）结余分配：指单位按照国家有关规定，缴纳所得税、提取专用基金、转入非财政拨款结余等当年结余的分配情况。</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（八）年末结转和结余：指单位结转下年的基本支出结转、项目支出结转和结余、经营结余。</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（九）基本支出：指为保障机构正常运转、完成日常工作任务而发生的人员经费和公用经费。其中：人员经费指政府收支分类经济科目中的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工资福利支出</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和</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对个人和家庭的补助</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；公用经费指政府收支分类经济科目中除</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工资福利支出</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和</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对个人和家庭的补助</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外的其他支出。</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（十）项目支出：指在基本支出之外为完成特定行政任务和事业发展目标所发生的支出。</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（十一）经营支出：指事业单位在专业业务活动及其辅助活动之外开展非独立核算经营活动发生的支出。</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（十二）</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（十五）商品和服务支出（支出经济分类科目类级）：反映单位购买商品和服务的支出（不包括用于购置固定资产的支出、战略性和应急储备支出）。</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（十六）对个人和家庭的补助（支出经济分类科目类级）：反映用于对个人和家庭的补助支出。</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七、决算公开联系方式及信息反馈渠道</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25"/>
        <w:keepNext w:val="0"/>
        <w:keepLines w:val="0"/>
        <w:pageBreakBefore w:val="0"/>
        <w:widowControl/>
        <w:suppressLineNumbers w:val="0"/>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朱梦婷</w:t>
      </w:r>
      <w:r>
        <w:rPr>
          <w:rFonts w:hint="default" w:ascii="Times New Roman" w:hAnsi="Times New Roman" w:eastAsia="方正仿宋_GBK" w:cs="Times New Roman"/>
          <w:kern w:val="0"/>
          <w:sz w:val="32"/>
          <w:szCs w:val="32"/>
          <w:shd w:val="clear" w:fill="FFFFFF"/>
        </w:rPr>
        <w:t xml:space="preserve">   023-48882728</w:t>
      </w:r>
    </w:p>
    <w:sectPr>
      <w:pgSz w:w="11915" w:h="16851"/>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2ZhZjUzMmMwOTEyMjZkYzM4ODMyNTY5ODBhYzQifQ=="/>
  </w:docVars>
  <w:rsids>
    <w:rsidRoot w:val="00000000"/>
    <w:rsid w:val="00835B2F"/>
    <w:rsid w:val="59E3411B"/>
    <w:rsid w:val="7CD22A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line="600" w:lineRule="exact"/>
      <w:ind w:left="0" w:right="0" w:firstLine="883" w:firstLineChars="200"/>
      <w:jc w:val="left"/>
    </w:pPr>
    <w:rPr>
      <w:rFonts w:hint="default" w:ascii="Calibri" w:hAnsi="Calibri" w:eastAsia="方正仿宋_GBK" w:cs="宋体"/>
      <w:kern w:val="0"/>
      <w:sz w:val="32"/>
      <w:szCs w:val="32"/>
      <w:lang w:val="en-US" w:eastAsia="zh-CN" w:bidi="ar"/>
    </w:rPr>
  </w:style>
  <w:style w:type="paragraph" w:styleId="2">
    <w:name w:val="heading 1"/>
    <w:basedOn w:val="1"/>
    <w:next w:val="1"/>
    <w:qFormat/>
    <w:uiPriority w:val="0"/>
    <w:pPr>
      <w:spacing w:before="0" w:beforeAutospacing="1" w:after="0" w:afterAutospacing="1" w:line="600" w:lineRule="exact"/>
      <w:ind w:left="0" w:right="0" w:firstLine="883" w:firstLineChars="200"/>
      <w:jc w:val="left"/>
      <w:outlineLvl w:val="0"/>
    </w:pPr>
    <w:rPr>
      <w:rFonts w:hint="eastAsia" w:ascii="宋体" w:hAnsi="宋体" w:eastAsia="方正黑体_GBK" w:cs="宋体"/>
      <w:b/>
      <w:bCs/>
      <w:kern w:val="44"/>
      <w:sz w:val="32"/>
      <w:szCs w:val="32"/>
      <w:lang w:val="en-US" w:eastAsia="zh-CN" w:bidi="ar"/>
    </w:rPr>
  </w:style>
  <w:style w:type="paragraph" w:styleId="3">
    <w:name w:val="heading 2"/>
    <w:basedOn w:val="1"/>
    <w:next w:val="1"/>
    <w:qFormat/>
    <w:uiPriority w:val="0"/>
    <w:pPr>
      <w:spacing w:before="0" w:beforeAutospacing="1" w:after="0" w:afterAutospacing="1" w:line="600" w:lineRule="exact"/>
      <w:ind w:left="0" w:right="0" w:firstLine="883" w:firstLineChars="200"/>
      <w:jc w:val="left"/>
      <w:outlineLvl w:val="1"/>
    </w:pPr>
    <w:rPr>
      <w:rFonts w:hint="eastAsia" w:ascii="宋体" w:hAnsi="宋体" w:eastAsia="方正楷体_GBK" w:cs="宋体"/>
      <w:b/>
      <w:bCs/>
      <w:kern w:val="0"/>
      <w:sz w:val="32"/>
      <w:szCs w:val="32"/>
      <w:lang w:val="en-US" w:eastAsia="zh-CN" w:bidi="ar"/>
    </w:rPr>
  </w:style>
  <w:style w:type="paragraph" w:styleId="4">
    <w:name w:val="heading 3"/>
    <w:basedOn w:val="1"/>
    <w:next w:val="1"/>
    <w:qFormat/>
    <w:uiPriority w:val="0"/>
    <w:pPr>
      <w:spacing w:before="0" w:beforeAutospacing="1" w:after="0" w:afterAutospacing="1" w:line="600" w:lineRule="exact"/>
      <w:ind w:left="0" w:right="0" w:firstLine="883" w:firstLineChars="20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line="600" w:lineRule="exact"/>
      <w:ind w:left="0" w:right="0" w:firstLine="883" w:firstLineChars="20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line="600" w:lineRule="exact"/>
      <w:ind w:left="0" w:right="0" w:firstLine="883" w:firstLineChars="20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line="600" w:lineRule="exact"/>
      <w:ind w:left="0" w:right="0" w:firstLine="883" w:firstLineChars="20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line="240" w:lineRule="auto"/>
      <w:ind w:left="0" w:right="0" w:firstLine="0" w:firstLineChars="0"/>
      <w:jc w:val="left"/>
    </w:pPr>
    <w:rPr>
      <w:rFonts w:hint="default" w:ascii="Calibri" w:hAnsi="Calibri" w:eastAsia="方正仿宋_GBK" w:cs="宋体"/>
      <w:kern w:val="0"/>
      <w:sz w:val="24"/>
      <w:szCs w:val="24"/>
      <w:lang w:val="en-US" w:eastAsia="zh-CN" w:bidi="ar"/>
    </w:rPr>
  </w:style>
  <w:style w:type="character" w:customStyle="1" w:styleId="12">
    <w:name w:val="17"/>
    <w:basedOn w:val="11"/>
    <w:qFormat/>
    <w:uiPriority w:val="0"/>
    <w:rPr>
      <w:rFonts w:hint="default" w:ascii="Times New Roman" w:hAnsi="Times New Roman" w:cs="Times New Roman"/>
    </w:rPr>
  </w:style>
  <w:style w:type="paragraph" w:customStyle="1" w:styleId="13">
    <w:name w:val="一级标题"/>
    <w:basedOn w:val="1"/>
    <w:qFormat/>
    <w:uiPriority w:val="0"/>
    <w:pPr>
      <w:shd w:val="clear" w:fill="FFFFFF"/>
      <w:spacing w:before="0" w:beforeAutospacing="0" w:after="0" w:afterAutospacing="1" w:line="600" w:lineRule="exact"/>
      <w:ind w:left="0" w:right="0" w:firstLine="883" w:firstLineChars="200"/>
      <w:jc w:val="left"/>
    </w:pPr>
    <w:rPr>
      <w:rFonts w:hint="eastAsia" w:ascii="Times New Roman" w:hAnsi="Times New Roman" w:eastAsia="方正黑体_GBK" w:cs="Times New Roman"/>
      <w:kern w:val="0"/>
      <w:sz w:val="32"/>
      <w:szCs w:val="32"/>
      <w:lang w:val="en-US" w:eastAsia="zh-CN" w:bidi="ar"/>
    </w:rPr>
  </w:style>
  <w:style w:type="paragraph" w:customStyle="1" w:styleId="14">
    <w:name w:val="HTML 预设格式 Char Char"/>
    <w:basedOn w:val="1"/>
    <w:qFormat/>
    <w:uiPriority w:val="0"/>
    <w:pPr>
      <w:spacing w:before="0" w:beforeAutospacing="0" w:after="0" w:afterAutospacing="0" w:line="240" w:lineRule="auto"/>
      <w:ind w:left="0" w:right="0" w:firstLine="0" w:firstLineChars="0"/>
      <w:jc w:val="left"/>
    </w:pPr>
    <w:rPr>
      <w:rFonts w:hint="eastAsia" w:ascii="宋体" w:hAnsi="宋体" w:eastAsia="宋体" w:cs="宋体"/>
      <w:kern w:val="0"/>
      <w:sz w:val="24"/>
      <w:szCs w:val="24"/>
      <w:lang w:val="en-US" w:eastAsia="zh-CN" w:bidi="ar"/>
    </w:rPr>
  </w:style>
  <w:style w:type="character" w:customStyle="1" w:styleId="15">
    <w:name w:val="10"/>
    <w:basedOn w:val="11"/>
    <w:qFormat/>
    <w:uiPriority w:val="0"/>
    <w:rPr>
      <w:rFonts w:hint="default" w:ascii="Times New Roman" w:hAnsi="Times New Roman" w:cs="Times New Roman"/>
    </w:rPr>
  </w:style>
  <w:style w:type="character" w:customStyle="1" w:styleId="16">
    <w:name w:val="19"/>
    <w:basedOn w:val="11"/>
    <w:qFormat/>
    <w:uiPriority w:val="0"/>
    <w:rPr>
      <w:rFonts w:hint="eastAsia" w:ascii="宋体" w:hAnsi="宋体" w:eastAsia="方正楷体_GBK" w:cs="宋体"/>
    </w:rPr>
  </w:style>
  <w:style w:type="character" w:customStyle="1" w:styleId="17">
    <w:name w:val="15"/>
    <w:basedOn w:val="11"/>
    <w:uiPriority w:val="0"/>
    <w:rPr>
      <w:rFonts w:hint="default" w:ascii="Times New Roman" w:hAnsi="Times New Roman" w:cs="Times New Roman"/>
    </w:rPr>
  </w:style>
  <w:style w:type="character" w:customStyle="1" w:styleId="18">
    <w:name w:val="16"/>
    <w:basedOn w:val="11"/>
    <w:uiPriority w:val="0"/>
    <w:rPr>
      <w:rFonts w:hint="default" w:ascii="Times New Roman" w:hAnsi="Times New Roman" w:cs="Times New Roman"/>
    </w:rPr>
  </w:style>
  <w:style w:type="character" w:customStyle="1" w:styleId="19">
    <w:name w:val="20"/>
    <w:basedOn w:val="11"/>
    <w:uiPriority w:val="0"/>
    <w:rPr>
      <w:rFonts w:hint="default" w:ascii="Times New Roman" w:hAnsi="Times New Roman" w:cs="Times New Roman"/>
      <w:b/>
      <w:bCs/>
    </w:rPr>
  </w:style>
  <w:style w:type="character" w:customStyle="1" w:styleId="20">
    <w:name w:val="18"/>
    <w:basedOn w:val="11"/>
    <w:uiPriority w:val="0"/>
    <w:rPr>
      <w:rFonts w:hint="default" w:ascii="Times New Roman" w:hAnsi="Times New Roman" w:cs="Times New Roman"/>
    </w:rPr>
  </w:style>
  <w:style w:type="paragraph" w:customStyle="1" w:styleId="21">
    <w:name w:val="普通(网站) Char"/>
    <w:basedOn w:val="1"/>
    <w:uiPriority w:val="0"/>
    <w:pPr>
      <w:spacing w:before="0" w:beforeAutospacing="1" w:after="0" w:afterAutospacing="1" w:line="600" w:lineRule="exact"/>
      <w:ind w:left="0" w:right="0" w:firstLine="883" w:firstLineChars="200"/>
      <w:jc w:val="left"/>
    </w:pPr>
    <w:rPr>
      <w:rFonts w:hint="default" w:ascii="Calibri" w:hAnsi="Calibri" w:eastAsia="方正仿宋_GBK" w:cs="宋体"/>
      <w:kern w:val="0"/>
      <w:sz w:val="24"/>
      <w:szCs w:val="24"/>
      <w:lang w:val="en-US" w:eastAsia="zh-CN" w:bidi="ar"/>
    </w:rPr>
  </w:style>
  <w:style w:type="paragraph" w:customStyle="1" w:styleId="22">
    <w:name w:val="HTML 预设格式 Char"/>
    <w:basedOn w:val="1"/>
    <w:uiPriority w:val="0"/>
    <w:pPr>
      <w:spacing w:before="0" w:beforeAutospacing="0" w:after="0" w:afterAutospacing="0" w:line="600" w:lineRule="exact"/>
      <w:ind w:left="0" w:right="0" w:firstLine="883" w:firstLineChars="200"/>
      <w:jc w:val="left"/>
    </w:pPr>
    <w:rPr>
      <w:rFonts w:hint="eastAsia" w:ascii="宋体" w:hAnsi="宋体" w:eastAsia="宋体" w:cs="宋体"/>
      <w:kern w:val="0"/>
      <w:sz w:val="24"/>
      <w:szCs w:val="24"/>
      <w:lang w:val="en-US" w:eastAsia="zh-CN" w:bidi="ar"/>
    </w:rPr>
  </w:style>
  <w:style w:type="paragraph" w:customStyle="1" w:styleId="23">
    <w:name w:val="HTML 预设格式 Char Char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right="0" w:firstLine="0" w:firstLineChars="0"/>
      <w:jc w:val="left"/>
    </w:pPr>
    <w:rPr>
      <w:rFonts w:hint="eastAsia" w:ascii="宋体" w:hAnsi="宋体" w:eastAsia="宋体" w:cs="宋体"/>
      <w:kern w:val="0"/>
      <w:sz w:val="24"/>
      <w:szCs w:val="24"/>
      <w:lang w:val="en-US" w:eastAsia="zh-CN" w:bidi="ar"/>
    </w:rPr>
  </w:style>
  <w:style w:type="paragraph" w:customStyle="1" w:styleId="24">
    <w:name w:val="二级标题"/>
    <w:basedOn w:val="1"/>
    <w:next w:val="1"/>
    <w:uiPriority w:val="0"/>
    <w:pPr>
      <w:shd w:val="clear" w:fill="FFFFFF"/>
      <w:spacing w:before="0" w:beforeAutospacing="0" w:after="0" w:afterAutospacing="1" w:line="600" w:lineRule="exact"/>
      <w:ind w:left="0" w:right="0" w:firstLine="883" w:firstLineChars="200"/>
      <w:jc w:val="left"/>
    </w:pPr>
    <w:rPr>
      <w:rFonts w:hint="eastAsia" w:ascii="Times New Roman" w:hAnsi="Times New Roman" w:eastAsia="方正楷体_GBK" w:cs="Times New Roman"/>
      <w:kern w:val="0"/>
      <w:sz w:val="32"/>
      <w:szCs w:val="32"/>
      <w:lang w:val="en-US" w:eastAsia="zh-CN" w:bidi="ar"/>
    </w:rPr>
  </w:style>
  <w:style w:type="paragraph" w:customStyle="1" w:styleId="25">
    <w:name w:val="公文正文"/>
    <w:basedOn w:val="13"/>
    <w:uiPriority w:val="0"/>
    <w:pPr>
      <w:shd w:val="clear" w:fill="FFFFFF"/>
      <w:spacing w:before="0" w:beforeAutospacing="0" w:after="0" w:afterAutospacing="1" w:line="600" w:lineRule="exact"/>
      <w:ind w:left="0" w:right="0" w:firstLine="883" w:firstLineChars="200"/>
      <w:jc w:val="left"/>
    </w:pPr>
    <w:rPr>
      <w:rFonts w:hint="eastAsia" w:ascii="Times New Roman" w:hAnsi="Times New Roman" w:eastAsia="方正仿宋_GBK" w:cs="Times New Roman"/>
      <w:kern w:val="0"/>
      <w:sz w:val="32"/>
      <w:szCs w:val="32"/>
      <w:shd w:val="clear" w:fill="auto"/>
      <w:lang w:val="en-US" w:eastAsia="zh-CN" w:bidi="ar"/>
    </w:rPr>
  </w:style>
  <w:style w:type="paragraph" w:customStyle="1" w:styleId="26">
    <w:name w:val="p Char"/>
    <w:basedOn w:val="1"/>
    <w:uiPriority w:val="0"/>
    <w:pPr>
      <w:spacing w:before="0" w:beforeAutospacing="1" w:after="0" w:afterAutospacing="1" w:line="240" w:lineRule="auto"/>
      <w:ind w:left="0" w:right="0" w:firstLine="0" w:firstLineChars="0"/>
      <w:jc w:val="left"/>
    </w:pPr>
    <w:rPr>
      <w:rFonts w:hint="default" w:ascii="Calibri" w:hAnsi="Calibri" w:eastAsia="方正仿宋_GBK" w:cs="宋体"/>
      <w:kern w:val="0"/>
      <w:sz w:val="24"/>
      <w:szCs w:val="24"/>
      <w:lang w:val="en-US" w:eastAsia="zh-CN" w:bidi="ar"/>
    </w:rPr>
  </w:style>
  <w:style w:type="paragraph" w:customStyle="1" w:styleId="27">
    <w:name w:val="pre Char Char"/>
    <w:basedOn w:val="1"/>
    <w:uiPriority w:val="0"/>
    <w:pPr>
      <w:spacing w:before="0" w:beforeAutospacing="0" w:after="0" w:afterAutospacing="0" w:line="240" w:lineRule="auto"/>
      <w:ind w:left="0" w:right="0" w:firstLine="0" w:firstLineChars="0"/>
      <w:jc w:val="left"/>
    </w:pPr>
    <w:rPr>
      <w:rFonts w:hint="eastAsia" w:ascii="宋体" w:hAnsi="宋体" w:eastAsia="宋体" w:cs="宋体"/>
      <w:kern w:val="0"/>
      <w:sz w:val="24"/>
      <w:szCs w:val="24"/>
      <w:lang w:val="en-US" w:eastAsia="zh-CN" w:bidi="ar"/>
    </w:rPr>
  </w:style>
  <w:style w:type="paragraph" w:customStyle="1" w:styleId="28">
    <w:name w:val="普通(网站) Char Char"/>
    <w:basedOn w:val="1"/>
    <w:uiPriority w:val="0"/>
    <w:pPr>
      <w:spacing w:before="0" w:beforeAutospacing="1" w:after="0" w:afterAutospacing="1" w:line="240" w:lineRule="auto"/>
      <w:ind w:left="0" w:right="0" w:firstLine="0" w:firstLineChars="0"/>
      <w:jc w:val="left"/>
    </w:pPr>
    <w:rPr>
      <w:rFonts w:hint="default" w:ascii="Calibri" w:hAnsi="Calibri" w:eastAsia="方正仿宋_GBK" w:cs="宋体"/>
      <w:kern w:val="0"/>
      <w:sz w:val="24"/>
      <w:szCs w:val="24"/>
      <w:lang w:val="en-US" w:eastAsia="zh-CN" w:bidi="ar"/>
    </w:rPr>
  </w:style>
  <w:style w:type="paragraph" w:customStyle="1" w:styleId="29">
    <w:name w:val="pre Char"/>
    <w:basedOn w:val="1"/>
    <w:uiPriority w:val="0"/>
    <w:pPr>
      <w:spacing w:before="0" w:beforeAutospacing="0" w:after="0" w:afterAutospacing="0" w:line="240" w:lineRule="auto"/>
      <w:ind w:left="0" w:right="0" w:firstLine="0" w:firstLineChars="0"/>
      <w:jc w:val="left"/>
    </w:pPr>
    <w:rPr>
      <w:rFonts w:hint="eastAsia" w:ascii="宋体" w:hAnsi="宋体" w:eastAsia="宋体" w:cs="宋体"/>
      <w:kern w:val="0"/>
      <w:sz w:val="24"/>
      <w:szCs w:val="24"/>
      <w:lang w:val="en-US" w:eastAsia="zh-CN" w:bidi="ar"/>
    </w:rPr>
  </w:style>
  <w:style w:type="paragraph" w:customStyle="1" w:styleId="30">
    <w:name w:val="普通(网站) Char Char Char"/>
    <w:basedOn w:val="1"/>
    <w:uiPriority w:val="0"/>
    <w:pPr>
      <w:spacing w:before="0" w:beforeAutospacing="1" w:after="0" w:afterAutospacing="1" w:line="240" w:lineRule="auto"/>
      <w:ind w:left="0" w:right="0" w:firstLine="0" w:firstLineChars="0"/>
      <w:jc w:val="left"/>
    </w:pPr>
    <w:rPr>
      <w:rFonts w:hint="default" w:ascii="Calibri" w:hAnsi="Calibri" w:eastAsia="方正仿宋_GBK"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2023-10-26T08:33:00Z</dcterms:created>
  <dc:creator>Administrator</dc:creator>
  <cp:lastModifiedBy>asus</cp:lastModifiedBy>
  <dcterms:modified xsi:type="dcterms:W3CDTF">2023-10-26T08:37:00Z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6D3F3535CB75421FA207583CC0869CCB_13</vt:lpwstr>
  </property>
</Properties>
</file>