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重庆市綦江区人民政府通惠街道办事处2024年度重大行政决策事项目录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3014"/>
        <w:gridCol w:w="3346"/>
        <w:gridCol w:w="319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tcPr>
          <w:p>
            <w:pPr>
              <w:jc w:val="center"/>
              <w:rPr>
                <w:rFonts w:hint="default"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序号</w:t>
            </w:r>
          </w:p>
        </w:tc>
        <w:tc>
          <w:tcPr>
            <w:tcW w:w="3014" w:type="dxa"/>
          </w:tcPr>
          <w:p>
            <w:pPr>
              <w:jc w:val="center"/>
              <w:rPr>
                <w:rFonts w:hint="default"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决策事项名称</w:t>
            </w:r>
          </w:p>
        </w:tc>
        <w:tc>
          <w:tcPr>
            <w:tcW w:w="3346" w:type="dxa"/>
          </w:tcPr>
          <w:p>
            <w:pPr>
              <w:jc w:val="center"/>
              <w:rPr>
                <w:rFonts w:hint="default" w:ascii="方正仿宋_GBK" w:hAnsi="方正仿宋_GBK" w:eastAsia="方正仿宋_GBK" w:cs="方正仿宋_GBK"/>
                <w:b/>
                <w:bCs/>
                <w:sz w:val="28"/>
                <w:szCs w:val="28"/>
                <w:vertAlign w:val="baseline"/>
                <w:lang w:val="en-US" w:eastAsia="zh-CN"/>
              </w:rPr>
            </w:pPr>
            <w:r>
              <w:rPr>
                <w:rFonts w:ascii="方正黑体_GBK" w:hAnsi="方正黑体_GBK" w:eastAsia="方正黑体_GBK" w:cs="方正黑体_GBK"/>
                <w:i w:val="0"/>
                <w:iCs w:val="0"/>
                <w:caps w:val="0"/>
                <w:color w:val="333333"/>
                <w:spacing w:val="0"/>
                <w:sz w:val="24"/>
                <w:szCs w:val="24"/>
                <w:shd w:val="clear" w:fill="FFFFFF"/>
              </w:rPr>
              <w:t>有关法律、法规、规章和政策依据</w:t>
            </w:r>
          </w:p>
        </w:tc>
        <w:tc>
          <w:tcPr>
            <w:tcW w:w="319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24"/>
                <w:szCs w:val="24"/>
                <w:shd w:val="clear" w:fill="FFFFFF"/>
              </w:rPr>
              <w:t>实施决策的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default" w:ascii="方正仿宋_GBK" w:hAnsi="方正仿宋_GBK" w:eastAsia="方正仿宋_GBK" w:cs="方正仿宋_GBK"/>
                <w:b/>
                <w:bCs/>
                <w:sz w:val="28"/>
                <w:szCs w:val="28"/>
                <w:vertAlign w:val="baseline"/>
                <w:lang w:val="en-US" w:eastAsia="zh-CN"/>
              </w:rPr>
            </w:pPr>
            <w:r>
              <w:rPr>
                <w:rFonts w:hint="eastAsia" w:ascii="方正黑体_GBK" w:hAnsi="方正黑体_GBK" w:eastAsia="方正黑体_GBK" w:cs="方正黑体_GBK"/>
                <w:i w:val="0"/>
                <w:iCs w:val="0"/>
                <w:caps w:val="0"/>
                <w:color w:val="333333"/>
                <w:spacing w:val="0"/>
                <w:sz w:val="24"/>
                <w:szCs w:val="24"/>
                <w:shd w:val="clear" w:fill="FFFFFF"/>
              </w:rPr>
              <w:t>必要性和可行性</w:t>
            </w:r>
          </w:p>
        </w:tc>
        <w:tc>
          <w:tcPr>
            <w:tcW w:w="2190" w:type="dxa"/>
          </w:tcPr>
          <w:p>
            <w:pPr>
              <w:jc w:val="center"/>
              <w:rPr>
                <w:rFonts w:hint="default"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拟完成时间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1</w:t>
            </w:r>
          </w:p>
        </w:tc>
        <w:tc>
          <w:tcPr>
            <w:tcW w:w="3014"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ascii="方正仿宋_GBK" w:hAnsi="方正仿宋_GBK" w:eastAsia="方正仿宋_GBK" w:cs="方正仿宋_GBK"/>
                <w:i w:val="0"/>
                <w:iCs w:val="0"/>
                <w:caps w:val="0"/>
                <w:color w:val="333333"/>
                <w:spacing w:val="0"/>
                <w:sz w:val="21"/>
                <w:szCs w:val="21"/>
                <w:shd w:val="clear" w:fill="FFFFFF"/>
              </w:rPr>
              <w:t>农村公路通畅工程</w:t>
            </w:r>
          </w:p>
        </w:tc>
        <w:tc>
          <w:tcPr>
            <w:tcW w:w="3346" w:type="dxa"/>
          </w:tcPr>
          <w:p>
            <w:pPr>
              <w:jc w:val="left"/>
              <w:rPr>
                <w:rFonts w:hint="eastAsia"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关于下达2024年第一批农村公路通畅工程建设计划的通知（綦江府办〔2024〕1号）</w:t>
            </w:r>
          </w:p>
        </w:tc>
        <w:tc>
          <w:tcPr>
            <w:tcW w:w="3195" w:type="dxa"/>
          </w:tcPr>
          <w:p>
            <w:pPr>
              <w:jc w:val="left"/>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i w:val="0"/>
                <w:iCs w:val="0"/>
                <w:caps w:val="0"/>
                <w:color w:val="333333"/>
                <w:spacing w:val="0"/>
                <w:sz w:val="21"/>
                <w:szCs w:val="21"/>
                <w:shd w:val="clear" w:fill="FFFFFF"/>
              </w:rPr>
              <w:t>为全面推进乡村振兴，统筹乡村基础设施和公共服务布局，建设宜居宜业和美乡村，促进</w:t>
            </w:r>
            <w:r>
              <w:rPr>
                <w:rFonts w:hint="eastAsia" w:ascii="方正仿宋_GBK" w:hAnsi="方正仿宋_GBK" w:eastAsia="方正仿宋_GBK" w:cs="方正仿宋_GBK"/>
                <w:i w:val="0"/>
                <w:iCs w:val="0"/>
                <w:caps w:val="0"/>
                <w:color w:val="333333"/>
                <w:spacing w:val="0"/>
                <w:sz w:val="21"/>
                <w:szCs w:val="21"/>
                <w:shd w:val="clear" w:fill="FFFFFF"/>
                <w:lang w:eastAsia="zh-CN"/>
              </w:rPr>
              <w:t>街道</w:t>
            </w:r>
            <w:r>
              <w:rPr>
                <w:rFonts w:hint="eastAsia" w:ascii="方正仿宋_GBK" w:hAnsi="方正仿宋_GBK" w:eastAsia="方正仿宋_GBK" w:cs="方正仿宋_GBK"/>
                <w:i w:val="0"/>
                <w:iCs w:val="0"/>
                <w:caps w:val="0"/>
                <w:color w:val="333333"/>
                <w:spacing w:val="0"/>
                <w:sz w:val="21"/>
                <w:szCs w:val="21"/>
                <w:shd w:val="clear" w:fill="FFFFFF"/>
              </w:rPr>
              <w:t>经济社会发展</w:t>
            </w:r>
          </w:p>
        </w:tc>
        <w:tc>
          <w:tcPr>
            <w:tcW w:w="2190"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w:t>
            </w:r>
          </w:p>
        </w:tc>
        <w:tc>
          <w:tcPr>
            <w:tcW w:w="3014" w:type="dxa"/>
          </w:tcPr>
          <w:p>
            <w:pPr>
              <w:jc w:val="center"/>
              <w:rPr>
                <w:rFonts w:hint="default" w:ascii="方正仿宋_GBK" w:hAnsi="方正仿宋_GBK" w:eastAsia="方正仿宋_GBK" w:cs="方正仿宋_GBK"/>
                <w:i w:val="0"/>
                <w:iCs w:val="0"/>
                <w:caps w:val="0"/>
                <w:color w:val="333333"/>
                <w:spacing w:val="0"/>
                <w:sz w:val="21"/>
                <w:szCs w:val="21"/>
                <w:shd w:val="clear" w:fill="FFFFFF"/>
                <w:lang w:val="en-US" w:eastAsia="zh-CN"/>
              </w:rPr>
            </w:pPr>
            <w:r>
              <w:rPr>
                <w:rFonts w:hint="eastAsia" w:ascii="方正仿宋_GBK" w:hAnsi="方正仿宋_GBK" w:eastAsia="方正仿宋_GBK" w:cs="方正仿宋_GBK"/>
                <w:i w:val="0"/>
                <w:iCs w:val="0"/>
                <w:caps w:val="0"/>
                <w:color w:val="333333"/>
                <w:spacing w:val="0"/>
                <w:sz w:val="21"/>
                <w:szCs w:val="21"/>
                <w:shd w:val="clear" w:fill="FFFFFF"/>
              </w:rPr>
              <w:t>高标准农田提升改造工程</w:t>
            </w:r>
          </w:p>
        </w:tc>
        <w:tc>
          <w:tcPr>
            <w:tcW w:w="3346" w:type="dxa"/>
          </w:tcPr>
          <w:p>
            <w:pPr>
              <w:jc w:val="left"/>
              <w:rPr>
                <w:rFonts w:hint="default" w:ascii="方正仿宋_GBK" w:hAnsi="方正仿宋_GBK" w:eastAsia="方正仿宋_GBK" w:cs="方正仿宋_GBK"/>
                <w:i w:val="0"/>
                <w:iCs w:val="0"/>
                <w:caps w:val="0"/>
                <w:color w:val="333333"/>
                <w:spacing w:val="0"/>
                <w:sz w:val="21"/>
                <w:szCs w:val="21"/>
                <w:shd w:val="clear" w:fill="FFFFFF"/>
                <w:lang w:val="en-US" w:eastAsia="zh-CN"/>
              </w:rPr>
            </w:pPr>
            <w:r>
              <w:rPr>
                <w:rFonts w:hint="eastAsia" w:ascii="方正仿宋_GBK" w:hAnsi="方正仿宋_GBK" w:eastAsia="方正仿宋_GBK" w:cs="方正仿宋_GBK"/>
                <w:i w:val="0"/>
                <w:iCs w:val="0"/>
                <w:caps w:val="0"/>
                <w:color w:val="333333"/>
                <w:spacing w:val="0"/>
                <w:sz w:val="21"/>
                <w:szCs w:val="21"/>
                <w:shd w:val="clear" w:fill="FFFFFF"/>
              </w:rPr>
              <w:t>重庆市农业农村委员会关于万州等36个区县丘陵山区高标准农田改造提升示范项目初步设计暨实施计划的批复（渝农〔2023〕34号）</w:t>
            </w:r>
          </w:p>
        </w:tc>
        <w:tc>
          <w:tcPr>
            <w:tcW w:w="3195" w:type="dxa"/>
          </w:tcPr>
          <w:p>
            <w:pPr>
              <w:jc w:val="left"/>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i w:val="0"/>
                <w:iCs w:val="0"/>
                <w:caps w:val="0"/>
                <w:color w:val="333333"/>
                <w:spacing w:val="0"/>
                <w:sz w:val="21"/>
                <w:szCs w:val="21"/>
                <w:shd w:val="clear" w:fill="FFFFFF"/>
              </w:rPr>
              <w:t>为改善农民生产生活条件，对于农业生产、农民生活和国家粮食安全具有重要意义</w:t>
            </w:r>
          </w:p>
        </w:tc>
        <w:tc>
          <w:tcPr>
            <w:tcW w:w="2190"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3</w:t>
            </w:r>
          </w:p>
        </w:tc>
        <w:tc>
          <w:tcPr>
            <w:tcW w:w="3014"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历史遗留矿山修复工程</w:t>
            </w:r>
          </w:p>
        </w:tc>
        <w:tc>
          <w:tcPr>
            <w:tcW w:w="3346" w:type="dxa"/>
          </w:tcPr>
          <w:p>
            <w:pPr>
              <w:jc w:val="left"/>
              <w:rPr>
                <w:rFonts w:hint="default" w:ascii="方正仿宋_GBK" w:hAnsi="方正仿宋_GBK" w:eastAsia="方正仿宋_GBK" w:cs="方正仿宋_GBK"/>
                <w:b w:val="0"/>
                <w:bCs w:val="0"/>
                <w:sz w:val="21"/>
                <w:szCs w:val="21"/>
                <w:vertAlign w:val="baseline"/>
                <w:lang w:val="en-US" w:eastAsia="zh-CN"/>
              </w:rPr>
            </w:pPr>
            <w:r>
              <w:rPr>
                <w:rFonts w:hint="default" w:ascii="方正仿宋_GBK" w:hAnsi="方正仿宋_GBK" w:eastAsia="方正仿宋_GBK" w:cs="方正仿宋_GBK"/>
                <w:b w:val="0"/>
                <w:bCs w:val="0"/>
                <w:sz w:val="21"/>
                <w:szCs w:val="21"/>
                <w:vertAlign w:val="baseline"/>
                <w:lang w:val="en-US" w:eastAsia="zh-CN"/>
              </w:rPr>
              <w:t>重庆市綦江区人民政府办公室关于下达2024年度历史遗留和关闭矿山生态修复任务的通知（綦江府办〔2024〕15号）</w:t>
            </w:r>
          </w:p>
        </w:tc>
        <w:tc>
          <w:tcPr>
            <w:tcW w:w="3195" w:type="dxa"/>
          </w:tcPr>
          <w:p>
            <w:pPr>
              <w:jc w:val="left"/>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为切实做好历史遗留和关闭矿山地质环境治理恢复与土地复垦工作，形成人与自然和谐发展新格局</w:t>
            </w:r>
          </w:p>
        </w:tc>
        <w:tc>
          <w:tcPr>
            <w:tcW w:w="2190"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5"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4</w:t>
            </w:r>
          </w:p>
        </w:tc>
        <w:tc>
          <w:tcPr>
            <w:tcW w:w="3014"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default" w:ascii="方正仿宋_GBK" w:hAnsi="方正仿宋_GBK" w:eastAsia="方正仿宋_GBK" w:cs="方正仿宋_GBK"/>
                <w:b w:val="0"/>
                <w:bCs w:val="0"/>
                <w:sz w:val="21"/>
                <w:szCs w:val="21"/>
                <w:vertAlign w:val="baseline"/>
                <w:lang w:val="en-US" w:eastAsia="zh-CN"/>
              </w:rPr>
              <w:t>人居环境整治提升项目</w:t>
            </w:r>
          </w:p>
        </w:tc>
        <w:tc>
          <w:tcPr>
            <w:tcW w:w="3346" w:type="dxa"/>
          </w:tcPr>
          <w:p>
            <w:pPr>
              <w:jc w:val="left"/>
              <w:rPr>
                <w:rFonts w:hint="default" w:ascii="方正仿宋_GBK" w:hAnsi="方正仿宋_GBK" w:eastAsia="方正仿宋_GBK" w:cs="方正仿宋_GBK"/>
                <w:b w:val="0"/>
                <w:bCs w:val="0"/>
                <w:sz w:val="21"/>
                <w:szCs w:val="21"/>
                <w:vertAlign w:val="baseline"/>
                <w:lang w:val="en-US" w:eastAsia="zh-CN"/>
              </w:rPr>
            </w:pPr>
            <w:r>
              <w:rPr>
                <w:rFonts w:hint="default" w:ascii="方正仿宋_GBK" w:hAnsi="方正仿宋_GBK" w:eastAsia="方正仿宋_GBK" w:cs="方正仿宋_GBK"/>
                <w:b w:val="0"/>
                <w:bCs w:val="0"/>
                <w:sz w:val="21"/>
                <w:szCs w:val="21"/>
                <w:vertAlign w:val="baseline"/>
                <w:lang w:val="en-US" w:eastAsia="zh-CN"/>
              </w:rPr>
              <w:t>《重庆市綦江区乡村振兴局重庆市綦江区财政局关于下达2024年度第一批衔接推进乡村振兴补助资金项目计划的通知》（綦乡振〔2023〕38号）</w:t>
            </w:r>
          </w:p>
        </w:tc>
        <w:tc>
          <w:tcPr>
            <w:tcW w:w="3195" w:type="dxa"/>
          </w:tcPr>
          <w:p>
            <w:pPr>
              <w:jc w:val="left"/>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改善通惠街道桥坝村1000余名村民出行条件，提高老百姓的生产生活质量。</w:t>
            </w:r>
          </w:p>
        </w:tc>
        <w:tc>
          <w:tcPr>
            <w:tcW w:w="2190" w:type="dxa"/>
          </w:tcPr>
          <w:p>
            <w:pPr>
              <w:jc w:val="center"/>
              <w:rPr>
                <w:rFonts w:hint="default" w:ascii="方正仿宋_GBK" w:hAnsi="方正仿宋_GBK" w:eastAsia="方正仿宋_GBK" w:cs="方正仿宋_GBK"/>
                <w:b w:val="0"/>
                <w:bCs w:val="0"/>
                <w:sz w:val="21"/>
                <w:szCs w:val="21"/>
                <w:vertAlign w:val="baseline"/>
                <w:lang w:val="en-US" w:eastAsia="zh-CN"/>
              </w:rPr>
            </w:pPr>
            <w:r>
              <w:rPr>
                <w:rFonts w:hint="eastAsia" w:ascii="方正仿宋_GBK" w:hAnsi="方正仿宋_GBK" w:eastAsia="方正仿宋_GBK" w:cs="方正仿宋_GBK"/>
                <w:b w:val="0"/>
                <w:bCs w:val="0"/>
                <w:sz w:val="21"/>
                <w:szCs w:val="21"/>
                <w:vertAlign w:val="baseline"/>
                <w:lang w:val="en-US" w:eastAsia="zh-CN"/>
              </w:rPr>
              <w:t>2024年12月</w:t>
            </w:r>
          </w:p>
        </w:tc>
      </w:tr>
    </w:tbl>
    <w:p>
      <w:pPr>
        <w:jc w:val="left"/>
        <w:rPr>
          <w:rFonts w:hint="default" w:ascii="方正仿宋_GBK" w:hAnsi="方正仿宋_GBK" w:eastAsia="方正仿宋_GBK" w:cs="方正仿宋_GBK"/>
          <w:b w:val="0"/>
          <w:bCs w:val="0"/>
          <w:sz w:val="32"/>
          <w:szCs w:val="32"/>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NDlhMjg0MWY3YjM1YjM0NTkwOTlkYjM4MjIxZjUifQ=="/>
  </w:docVars>
  <w:rsids>
    <w:rsidRoot w:val="00000000"/>
    <w:rsid w:val="148E7F90"/>
    <w:rsid w:val="4E7E368F"/>
    <w:rsid w:val="5CF449C3"/>
    <w:rsid w:val="70AD0425"/>
    <w:rsid w:val="F7A5A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2024-04-16T14:30:00Z</dcterms:created>
  <dc:creator>Administrator</dc:creator>
  <cp:lastModifiedBy>guest</cp:lastModifiedBy>
  <dcterms:modified xsi:type="dcterms:W3CDTF">2024-04-16T16:06:52Z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69EE6590973B49B6864713F6F7284F5C_12</vt:lpwstr>
  </property>
</Properties>
</file>