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32" w:rsidRPr="00921B32" w:rsidRDefault="00921B32" w:rsidP="00921B32">
      <w:pPr>
        <w:widowControl/>
        <w:spacing w:line="576" w:lineRule="exact"/>
        <w:ind w:firstLine="646"/>
        <w:jc w:val="center"/>
        <w:rPr>
          <w:rFonts w:ascii="方正大标宋_GBK" w:eastAsia="方正大标宋_GBK" w:hAnsi="Arial" w:cs="Arial" w:hint="eastAsia"/>
          <w:color w:val="000000"/>
          <w:kern w:val="0"/>
          <w:sz w:val="44"/>
          <w:szCs w:val="44"/>
        </w:rPr>
      </w:pPr>
      <w:r w:rsidRPr="00921B32">
        <w:rPr>
          <w:rFonts w:ascii="方正大标宋_GBK" w:eastAsia="方正大标宋_GBK" w:hAnsi="Arial" w:cs="Arial" w:hint="eastAsia"/>
          <w:color w:val="000000"/>
          <w:kern w:val="0"/>
          <w:sz w:val="44"/>
          <w:szCs w:val="44"/>
        </w:rPr>
        <w:t>重庆市綦江区人民政府文龙街道办事处2020年政府信息公开工作年度报告</w:t>
      </w:r>
    </w:p>
    <w:p w:rsidR="00921B32" w:rsidRDefault="00921B32" w:rsidP="00921B32">
      <w:pPr>
        <w:widowControl/>
        <w:spacing w:line="540" w:lineRule="atLeast"/>
        <w:ind w:firstLine="645"/>
        <w:jc w:val="left"/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</w:pPr>
    </w:p>
    <w:p w:rsidR="00921B32" w:rsidRPr="00921B32" w:rsidRDefault="00921B32" w:rsidP="00921B32">
      <w:pPr>
        <w:widowControl/>
        <w:spacing w:line="54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2020年，文龙街道在区委、区政府的正确领导下，按照</w:t>
      </w:r>
      <w:bookmarkStart w:id="0" w:name="_GoBack"/>
      <w:bookmarkEnd w:id="0"/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《中华人民共和国政府信息公开条例》要求，街道结合2020年政府信息公开工作实际情况，特编制了《文龙街道2020年政府信息公开度工作报告》。全文包括政府信息公开工作概述，主动公开政府信息情况，依申请公开政府信息办理情况，政府信息公开的收费及减免情况，政府信息公开申请行政复议、提起行政诉讼情况，存在的主要问题和改进措施六个部分。本报告中所列数据的统计期限自2020年1月1日至2020年12月31日止。如对本年度报告有疑问，请联系：文龙街道办事处党政办，电话：85880300，地址：重庆市綦江区文龙街道长生路10号。</w:t>
      </w:r>
    </w:p>
    <w:p w:rsidR="00921B32" w:rsidRPr="00921B32" w:rsidRDefault="00921B32" w:rsidP="00921B32">
      <w:pPr>
        <w:widowControl/>
        <w:spacing w:line="54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921B32">
        <w:rPr>
          <w:rFonts w:ascii="方正黑体_GBK" w:eastAsia="方正黑体_GBK" w:hAnsi="Arial" w:cs="Arial" w:hint="eastAsia"/>
          <w:color w:val="000000"/>
          <w:kern w:val="0"/>
          <w:sz w:val="32"/>
          <w:szCs w:val="32"/>
        </w:rPr>
        <w:t>一、工作概况</w:t>
      </w:r>
    </w:p>
    <w:p w:rsidR="00921B32" w:rsidRPr="00921B32" w:rsidRDefault="00921B32" w:rsidP="00921B32">
      <w:pPr>
        <w:widowControl/>
        <w:spacing w:line="54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推进政府信息公开工作是贯彻和落实《中华人民共和国政府信息公开条例》的重要举措，是建设“服务政府、责任政府、法治政府”的一项重要工作。文龙街道认真贯彻落实上级有关文件精神，做好政府信息公开工作。专人负责政务公开资料的收集、梳理、汇总及上传。进一步健全政府信息主动公开制度、依申请公开制度、发布保密审查制度等相关制度。健全政府信息公开的保密审查制度，明确职责分工，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lastRenderedPageBreak/>
        <w:t>制定审查程序和责任追究办法，对所有已发布的政府信息进行重新梳理检查，及时撤销涉密信息，确保不发生泄密问题。建立政府信息公开工作责任追究制度和经费保障制度，实行督促检查与落实奖惩相结合，切实加强对政府信息公开工作的监督和保障。</w:t>
      </w:r>
    </w:p>
    <w:p w:rsidR="00921B32" w:rsidRPr="00921B32" w:rsidRDefault="00921B32" w:rsidP="00921B32">
      <w:pPr>
        <w:widowControl/>
        <w:spacing w:line="54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921B32">
        <w:rPr>
          <w:rFonts w:ascii="方正黑体_GBK" w:eastAsia="方正黑体_GBK" w:hAnsi="Arial" w:cs="Arial" w:hint="eastAsia"/>
          <w:color w:val="000000"/>
          <w:kern w:val="0"/>
          <w:sz w:val="32"/>
          <w:szCs w:val="32"/>
        </w:rPr>
        <w:t>二、主动公开政府信息情况</w:t>
      </w:r>
    </w:p>
    <w:p w:rsidR="00921B32" w:rsidRPr="00921B32" w:rsidRDefault="00921B32" w:rsidP="00921B32">
      <w:pPr>
        <w:widowControl/>
        <w:spacing w:line="54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街道政府信息公开主要通过网站、微信、QQ、电子显示屏、公开栏、民生监测平台等形式，及时公开需要社会公众广泛知晓的相关信息。2020年街道对政府信息进行了梳理，累计主动公开政府信息307条（批次/个），其中，政府网站的文件政策、信息动态63条、公开栏51条、民生监测平台193批次（个），信息内容包括民生资金、卫生计生、扶贫等内容，公布的各类信息与人民群众生产、生活以及经济社会发展紧密相关，推进了政府办公透明化、公开化。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120"/>
        <w:gridCol w:w="1875"/>
        <w:gridCol w:w="306"/>
        <w:gridCol w:w="1269"/>
        <w:gridCol w:w="1881"/>
      </w:tblGrid>
      <w:tr w:rsidR="00921B32" w:rsidRPr="00921B32" w:rsidTr="00921B32">
        <w:trPr>
          <w:trHeight w:val="495"/>
          <w:jc w:val="center"/>
        </w:trPr>
        <w:tc>
          <w:tcPr>
            <w:tcW w:w="8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921B32" w:rsidRPr="00921B32" w:rsidTr="00921B32">
        <w:trPr>
          <w:trHeight w:val="885"/>
          <w:jc w:val="center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本年新</w:t>
            </w:r>
            <w:r w:rsidRPr="00921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br/>
            </w:r>
            <w:r w:rsidRPr="00921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 </w:t>
            </w:r>
            <w:r w:rsidRPr="00921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 </w:t>
            </w:r>
            <w:r w:rsidRPr="00921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 </w:t>
            </w: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本年新</w:t>
            </w:r>
            <w:r w:rsidRPr="00921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br/>
            </w:r>
            <w:r w:rsidRPr="00921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 </w:t>
            </w:r>
            <w:r w:rsidRPr="00921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 </w:t>
            </w:r>
            <w:r w:rsidRPr="00921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 </w:t>
            </w: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921B32" w:rsidRPr="00921B32" w:rsidTr="00921B32">
        <w:trPr>
          <w:trHeight w:val="525"/>
          <w:jc w:val="center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</w:tr>
      <w:tr w:rsidR="00921B32" w:rsidRPr="00921B32" w:rsidTr="00921B32">
        <w:trPr>
          <w:trHeight w:val="465"/>
          <w:jc w:val="center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</w:tr>
      <w:tr w:rsidR="00921B32" w:rsidRPr="00921B32" w:rsidTr="00921B32">
        <w:trPr>
          <w:trHeight w:val="480"/>
          <w:jc w:val="center"/>
        </w:trPr>
        <w:tc>
          <w:tcPr>
            <w:tcW w:w="81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921B32" w:rsidRPr="00921B32" w:rsidTr="00921B32">
        <w:trPr>
          <w:trHeight w:val="630"/>
          <w:jc w:val="center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921B32" w:rsidRPr="00921B32" w:rsidTr="00921B32">
        <w:trPr>
          <w:trHeight w:val="525"/>
          <w:jc w:val="center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</w:tr>
      <w:tr w:rsidR="00921B32" w:rsidRPr="00921B32" w:rsidTr="00921B32">
        <w:trPr>
          <w:trHeight w:val="555"/>
          <w:jc w:val="center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</w:tr>
      <w:tr w:rsidR="00921B32" w:rsidRPr="00921B32" w:rsidTr="00921B32">
        <w:trPr>
          <w:trHeight w:val="405"/>
          <w:jc w:val="center"/>
        </w:trPr>
        <w:tc>
          <w:tcPr>
            <w:tcW w:w="81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第二十条第（六）项</w:t>
            </w:r>
          </w:p>
        </w:tc>
      </w:tr>
      <w:tr w:rsidR="00921B32" w:rsidRPr="00921B32" w:rsidTr="00921B32">
        <w:trPr>
          <w:trHeight w:val="630"/>
          <w:jc w:val="center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921B32" w:rsidRPr="00921B32" w:rsidTr="00921B32">
        <w:trPr>
          <w:trHeight w:val="435"/>
          <w:jc w:val="center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</w:tr>
      <w:tr w:rsidR="00921B32" w:rsidRPr="00921B32" w:rsidTr="00921B32">
        <w:trPr>
          <w:trHeight w:val="405"/>
          <w:jc w:val="center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</w:tr>
      <w:tr w:rsidR="00921B32" w:rsidRPr="00921B32" w:rsidTr="00921B32">
        <w:trPr>
          <w:trHeight w:val="480"/>
          <w:jc w:val="center"/>
        </w:trPr>
        <w:tc>
          <w:tcPr>
            <w:tcW w:w="81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921B32" w:rsidRPr="00921B32" w:rsidTr="00921B32">
        <w:trPr>
          <w:trHeight w:val="270"/>
          <w:jc w:val="center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921B32" w:rsidRPr="00921B32" w:rsidTr="00921B32">
        <w:trPr>
          <w:trHeight w:val="555"/>
          <w:jc w:val="center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</w:tr>
      <w:tr w:rsidR="00921B32" w:rsidRPr="00921B32" w:rsidTr="00921B32">
        <w:trPr>
          <w:trHeight w:val="480"/>
          <w:jc w:val="center"/>
        </w:trPr>
        <w:tc>
          <w:tcPr>
            <w:tcW w:w="81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921B32" w:rsidRPr="00921B32" w:rsidTr="00921B32">
        <w:trPr>
          <w:trHeight w:val="585"/>
          <w:jc w:val="center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921B32" w:rsidRPr="00921B32" w:rsidTr="00921B32">
        <w:trPr>
          <w:trHeight w:val="540"/>
          <w:jc w:val="center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</w:tr>
      <w:tr w:rsidR="00921B32" w:rsidRPr="00921B32" w:rsidTr="00921B32">
        <w:trPr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</w:tr>
    </w:tbl>
    <w:p w:rsidR="00921B32" w:rsidRPr="00921B32" w:rsidRDefault="00921B32" w:rsidP="00921B32">
      <w:pPr>
        <w:widowControl/>
        <w:spacing w:line="54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921B32">
        <w:rPr>
          <w:rFonts w:ascii="方正黑体_GBK" w:eastAsia="方正黑体_GBK" w:hAnsi="Arial" w:cs="Arial" w:hint="eastAsia"/>
          <w:color w:val="000000"/>
          <w:kern w:val="0"/>
          <w:sz w:val="32"/>
          <w:szCs w:val="32"/>
        </w:rPr>
        <w:t>三、依申请公开政府信息办理情况</w:t>
      </w:r>
    </w:p>
    <w:p w:rsidR="00921B32" w:rsidRPr="00921B32" w:rsidRDefault="00921B32" w:rsidP="00921B32">
      <w:pPr>
        <w:widowControl/>
        <w:spacing w:line="54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2020年，街道未收到信息公开申请，没有提供依申请公开政府信息。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84"/>
        <w:gridCol w:w="849"/>
        <w:gridCol w:w="1936"/>
        <w:gridCol w:w="772"/>
        <w:gridCol w:w="720"/>
        <w:gridCol w:w="720"/>
        <w:gridCol w:w="772"/>
        <w:gridCol w:w="916"/>
        <w:gridCol w:w="680"/>
        <w:gridCol w:w="667"/>
      </w:tblGrid>
      <w:tr w:rsidR="00921B32" w:rsidRPr="00921B32" w:rsidTr="00921B32">
        <w:trPr>
          <w:jc w:val="center"/>
        </w:trPr>
        <w:tc>
          <w:tcPr>
            <w:tcW w:w="34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申请人情况</w:t>
            </w:r>
          </w:p>
        </w:tc>
      </w:tr>
      <w:tr w:rsidR="00921B32" w:rsidRPr="00921B32" w:rsidTr="00921B32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总计</w:t>
            </w:r>
          </w:p>
        </w:tc>
      </w:tr>
      <w:tr w:rsidR="00921B32" w:rsidRPr="00921B32" w:rsidTr="00921B32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</w:tr>
      <w:tr w:rsidR="00921B32" w:rsidRPr="00921B32" w:rsidTr="00921B32">
        <w:trPr>
          <w:jc w:val="center"/>
        </w:trPr>
        <w:tc>
          <w:tcPr>
            <w:tcW w:w="34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</w:tr>
      <w:tr w:rsidR="00921B32" w:rsidRPr="00921B32" w:rsidTr="00921B32">
        <w:trPr>
          <w:jc w:val="center"/>
        </w:trPr>
        <w:tc>
          <w:tcPr>
            <w:tcW w:w="34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</w:tr>
      <w:tr w:rsidR="00921B32" w:rsidRPr="00921B32" w:rsidTr="00921B32">
        <w:trPr>
          <w:jc w:val="center"/>
        </w:trPr>
        <w:tc>
          <w:tcPr>
            <w:tcW w:w="49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</w:tr>
      <w:tr w:rsidR="00921B32" w:rsidRPr="00921B32" w:rsidTr="00921B32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</w:tr>
      <w:tr w:rsidR="00921B32" w:rsidRPr="00921B32" w:rsidTr="00921B32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楷体" w:eastAsia="楷体" w:hAnsi="楷体" w:cs="Arial" w:hint="eastAsia"/>
                <w:color w:val="333333"/>
                <w:kern w:val="0"/>
                <w:sz w:val="20"/>
                <w:szCs w:val="20"/>
              </w:rPr>
              <w:t>1.</w:t>
            </w: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</w:tr>
      <w:tr w:rsidR="00921B32" w:rsidRPr="00921B32" w:rsidTr="00921B32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楷体" w:eastAsia="楷体" w:hAnsi="楷体" w:cs="Arial" w:hint="eastAsia"/>
                <w:color w:val="333333"/>
                <w:kern w:val="0"/>
                <w:sz w:val="20"/>
                <w:szCs w:val="20"/>
              </w:rPr>
              <w:t>2.</w:t>
            </w: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</w:tr>
      <w:tr w:rsidR="00921B32" w:rsidRPr="00921B32" w:rsidTr="00921B32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楷体" w:eastAsia="楷体" w:hAnsi="楷体" w:cs="Arial" w:hint="eastAsia"/>
                <w:color w:val="333333"/>
                <w:kern w:val="0"/>
                <w:sz w:val="20"/>
                <w:szCs w:val="20"/>
              </w:rPr>
              <w:t>3.</w:t>
            </w: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</w:tr>
      <w:tr w:rsidR="00921B32" w:rsidRPr="00921B32" w:rsidTr="00921B32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楷体" w:eastAsia="楷体" w:hAnsi="楷体" w:cs="Arial" w:hint="eastAsia"/>
                <w:color w:val="333333"/>
                <w:kern w:val="0"/>
                <w:sz w:val="20"/>
                <w:szCs w:val="20"/>
              </w:rPr>
              <w:t>4.</w:t>
            </w: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保护第三方合法</w:t>
            </w: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lastRenderedPageBreak/>
              <w:t>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</w:tr>
      <w:tr w:rsidR="00921B32" w:rsidRPr="00921B32" w:rsidTr="00921B32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楷体" w:eastAsia="楷体" w:hAnsi="楷体" w:cs="Arial" w:hint="eastAsia"/>
                <w:color w:val="333333"/>
                <w:kern w:val="0"/>
                <w:sz w:val="20"/>
                <w:szCs w:val="20"/>
              </w:rPr>
              <w:t>5.</w:t>
            </w: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</w:tr>
      <w:tr w:rsidR="00921B32" w:rsidRPr="00921B32" w:rsidTr="00921B32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楷体" w:eastAsia="楷体" w:hAnsi="楷体" w:cs="Arial" w:hint="eastAsia"/>
                <w:color w:val="333333"/>
                <w:kern w:val="0"/>
                <w:sz w:val="20"/>
                <w:szCs w:val="20"/>
              </w:rPr>
              <w:t>6.</w:t>
            </w: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</w:tr>
      <w:tr w:rsidR="00921B32" w:rsidRPr="00921B32" w:rsidTr="00921B32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楷体" w:eastAsia="楷体" w:hAnsi="楷体" w:cs="Arial" w:hint="eastAsia"/>
                <w:color w:val="333333"/>
                <w:kern w:val="0"/>
                <w:sz w:val="20"/>
                <w:szCs w:val="20"/>
              </w:rPr>
              <w:t>7.</w:t>
            </w: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</w:tr>
      <w:tr w:rsidR="00921B32" w:rsidRPr="00921B32" w:rsidTr="00921B32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楷体" w:eastAsia="楷体" w:hAnsi="楷体" w:cs="Arial" w:hint="eastAsia"/>
                <w:color w:val="333333"/>
                <w:kern w:val="0"/>
                <w:sz w:val="20"/>
                <w:szCs w:val="20"/>
              </w:rPr>
              <w:t>8.</w:t>
            </w: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</w:tr>
      <w:tr w:rsidR="00921B32" w:rsidRPr="00921B32" w:rsidTr="00921B32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楷体" w:eastAsia="楷体" w:hAnsi="楷体" w:cs="Arial" w:hint="eastAsia"/>
                <w:color w:val="333333"/>
                <w:kern w:val="0"/>
                <w:sz w:val="20"/>
                <w:szCs w:val="20"/>
              </w:rPr>
              <w:t>1.</w:t>
            </w: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</w:tr>
      <w:tr w:rsidR="00921B32" w:rsidRPr="00921B32" w:rsidTr="00921B32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楷体" w:eastAsia="楷体" w:hAnsi="楷体" w:cs="Arial" w:hint="eastAsia"/>
                <w:color w:val="333333"/>
                <w:kern w:val="0"/>
                <w:sz w:val="20"/>
                <w:szCs w:val="20"/>
              </w:rPr>
              <w:t>2.</w:t>
            </w: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</w:tr>
      <w:tr w:rsidR="00921B32" w:rsidRPr="00921B32" w:rsidTr="00921B32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楷体" w:eastAsia="楷体" w:hAnsi="楷体" w:cs="Arial" w:hint="eastAsia"/>
                <w:color w:val="333333"/>
                <w:kern w:val="0"/>
                <w:sz w:val="20"/>
                <w:szCs w:val="20"/>
              </w:rPr>
              <w:t>3.</w:t>
            </w: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</w:tr>
      <w:tr w:rsidR="00921B32" w:rsidRPr="00921B32" w:rsidTr="00921B32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楷体" w:eastAsia="楷体" w:hAnsi="楷体" w:cs="Arial" w:hint="eastAsia"/>
                <w:color w:val="333333"/>
                <w:kern w:val="0"/>
                <w:sz w:val="20"/>
                <w:szCs w:val="20"/>
              </w:rPr>
              <w:t>1.</w:t>
            </w: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</w:tr>
      <w:tr w:rsidR="00921B32" w:rsidRPr="00921B32" w:rsidTr="00921B32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楷体" w:eastAsia="楷体" w:hAnsi="楷体" w:cs="Arial" w:hint="eastAsia"/>
                <w:color w:val="333333"/>
                <w:kern w:val="0"/>
                <w:sz w:val="20"/>
                <w:szCs w:val="20"/>
              </w:rPr>
              <w:t>2.</w:t>
            </w: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</w:tr>
      <w:tr w:rsidR="00921B32" w:rsidRPr="00921B32" w:rsidTr="00921B32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楷体" w:eastAsia="楷体" w:hAnsi="楷体" w:cs="Arial" w:hint="eastAsia"/>
                <w:color w:val="333333"/>
                <w:kern w:val="0"/>
                <w:sz w:val="20"/>
                <w:szCs w:val="20"/>
              </w:rPr>
              <w:t>3.</w:t>
            </w: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</w:tr>
      <w:tr w:rsidR="00921B32" w:rsidRPr="00921B32" w:rsidTr="00921B32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楷体" w:eastAsia="楷体" w:hAnsi="楷体" w:cs="Arial" w:hint="eastAsia"/>
                <w:color w:val="333333"/>
                <w:kern w:val="0"/>
                <w:sz w:val="20"/>
                <w:szCs w:val="20"/>
              </w:rPr>
              <w:t>4.</w:t>
            </w: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</w:tr>
      <w:tr w:rsidR="00921B32" w:rsidRPr="00921B32" w:rsidTr="00921B32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楷体" w:eastAsia="楷体" w:hAnsi="楷体" w:cs="Arial" w:hint="eastAsia"/>
                <w:color w:val="333333"/>
                <w:kern w:val="0"/>
                <w:sz w:val="20"/>
                <w:szCs w:val="20"/>
              </w:rPr>
              <w:t>5.</w:t>
            </w: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</w:tr>
      <w:tr w:rsidR="00921B32" w:rsidRPr="00921B32" w:rsidTr="00921B32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</w:tr>
      <w:tr w:rsidR="00921B32" w:rsidRPr="00921B32" w:rsidTr="00921B32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</w:tr>
      <w:tr w:rsidR="00921B32" w:rsidRPr="00921B32" w:rsidTr="00921B32">
        <w:trPr>
          <w:jc w:val="center"/>
        </w:trPr>
        <w:tc>
          <w:tcPr>
            <w:tcW w:w="34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</w:tr>
    </w:tbl>
    <w:p w:rsidR="00921B32" w:rsidRPr="00921B32" w:rsidRDefault="00921B32" w:rsidP="00921B32">
      <w:pPr>
        <w:widowControl/>
        <w:spacing w:line="54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921B32">
        <w:rPr>
          <w:rFonts w:ascii="方正黑体_GBK" w:eastAsia="方正黑体_GBK" w:hAnsi="Arial" w:cs="Arial" w:hint="eastAsia"/>
          <w:color w:val="000000"/>
          <w:kern w:val="0"/>
          <w:sz w:val="32"/>
          <w:szCs w:val="32"/>
        </w:rPr>
        <w:t>四、因政府信息公开申请行政复议、提起行政诉讼情况</w:t>
      </w:r>
    </w:p>
    <w:p w:rsidR="00921B32" w:rsidRPr="00921B32" w:rsidRDefault="00921B32" w:rsidP="00921B32">
      <w:pPr>
        <w:widowControl/>
        <w:spacing w:line="54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lastRenderedPageBreak/>
        <w:t>2020年，街道没有因政府信息公开申请行政复议、提起行政诉讼的案件发生。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63"/>
        <w:gridCol w:w="563"/>
        <w:gridCol w:w="563"/>
        <w:gridCol w:w="564"/>
        <w:gridCol w:w="624"/>
        <w:gridCol w:w="527"/>
        <w:gridCol w:w="564"/>
        <w:gridCol w:w="564"/>
        <w:gridCol w:w="564"/>
        <w:gridCol w:w="576"/>
        <w:gridCol w:w="564"/>
        <w:gridCol w:w="564"/>
        <w:gridCol w:w="564"/>
        <w:gridCol w:w="564"/>
        <w:gridCol w:w="588"/>
      </w:tblGrid>
      <w:tr w:rsidR="00921B32" w:rsidRPr="00921B32" w:rsidTr="00921B32">
        <w:trPr>
          <w:jc w:val="center"/>
        </w:trPr>
        <w:tc>
          <w:tcPr>
            <w:tcW w:w="3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行政诉讼</w:t>
            </w:r>
          </w:p>
        </w:tc>
      </w:tr>
      <w:tr w:rsidR="00921B32" w:rsidRPr="00921B32" w:rsidTr="00921B32"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复议后起诉</w:t>
            </w:r>
          </w:p>
        </w:tc>
      </w:tr>
      <w:tr w:rsidR="00921B32" w:rsidRPr="00921B32" w:rsidTr="00921B32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B32" w:rsidRPr="00921B32" w:rsidRDefault="00921B32" w:rsidP="00921B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spacing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921B32" w:rsidRPr="00921B32" w:rsidTr="00921B32">
        <w:trPr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B32" w:rsidRPr="00921B32" w:rsidRDefault="00921B32" w:rsidP="00921B3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21B3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</w:tr>
    </w:tbl>
    <w:p w:rsidR="00921B32" w:rsidRPr="00921B32" w:rsidRDefault="00921B32" w:rsidP="00921B32">
      <w:pPr>
        <w:widowControl/>
        <w:spacing w:line="54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921B32">
        <w:rPr>
          <w:rFonts w:ascii="方正黑体_GBK" w:eastAsia="方正黑体_GBK" w:hAnsi="Arial" w:cs="Arial" w:hint="eastAsia"/>
          <w:color w:val="000000"/>
          <w:kern w:val="0"/>
          <w:sz w:val="32"/>
          <w:szCs w:val="32"/>
        </w:rPr>
        <w:t>五、政府信息公开工作存在的主要问题及改进措施</w:t>
      </w:r>
    </w:p>
    <w:p w:rsidR="00921B32" w:rsidRPr="00921B32" w:rsidRDefault="00921B32" w:rsidP="00921B32">
      <w:pPr>
        <w:widowControl/>
        <w:spacing w:line="54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921B32">
        <w:rPr>
          <w:rFonts w:ascii="方正楷体_GBK" w:eastAsia="方正楷体_GBK" w:hAnsi="Arial" w:cs="Arial" w:hint="eastAsia"/>
          <w:color w:val="000000"/>
          <w:kern w:val="0"/>
          <w:sz w:val="32"/>
          <w:szCs w:val="32"/>
        </w:rPr>
        <w:t>（一）存在的主要问题</w:t>
      </w:r>
    </w:p>
    <w:p w:rsidR="00921B32" w:rsidRPr="00921B32" w:rsidRDefault="00921B32" w:rsidP="00921B32">
      <w:pPr>
        <w:widowControl/>
        <w:spacing w:line="54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一是由于经办人员均为兼职，工作业务性不够强，开展工作有难度。二是公开内容还不够及时，内容形式单一。</w:t>
      </w:r>
    </w:p>
    <w:p w:rsidR="00921B32" w:rsidRPr="00921B32" w:rsidRDefault="00921B32" w:rsidP="00921B32">
      <w:pPr>
        <w:widowControl/>
        <w:spacing w:line="54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921B32">
        <w:rPr>
          <w:rFonts w:ascii="方正楷体_GBK" w:eastAsia="方正楷体_GBK" w:hAnsi="Arial" w:cs="Arial" w:hint="eastAsia"/>
          <w:color w:val="000000"/>
          <w:kern w:val="0"/>
          <w:sz w:val="32"/>
          <w:szCs w:val="32"/>
        </w:rPr>
        <w:t>（二）改进措施</w:t>
      </w:r>
    </w:p>
    <w:p w:rsidR="00921B32" w:rsidRPr="00921B32" w:rsidRDefault="00921B32" w:rsidP="00921B32">
      <w:pPr>
        <w:widowControl/>
        <w:spacing w:line="54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921B32">
        <w:rPr>
          <w:rFonts w:ascii="方正仿宋_GBK" w:eastAsia="方正仿宋_GBK" w:hAnsi="Arial" w:cs="Arial" w:hint="eastAsia"/>
          <w:b/>
          <w:bCs/>
          <w:color w:val="000000"/>
          <w:kern w:val="0"/>
          <w:sz w:val="32"/>
          <w:szCs w:val="32"/>
        </w:rPr>
        <w:t>一是充实信息公开内容。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加大对政务信息的公开力度，将群众最关心、反应最强烈的民生问题、民生事项的资金使用等的事项作为政府信息公开的主要内容，切实发挥好信息公开平台的桥梁作用。</w:t>
      </w:r>
    </w:p>
    <w:p w:rsidR="00921B32" w:rsidRPr="00921B32" w:rsidRDefault="00921B32" w:rsidP="00921B32">
      <w:pPr>
        <w:widowControl/>
        <w:spacing w:line="54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921B32">
        <w:rPr>
          <w:rFonts w:ascii="方正仿宋_GBK" w:eastAsia="方正仿宋_GBK" w:hAnsi="Arial" w:cs="Arial" w:hint="eastAsia"/>
          <w:b/>
          <w:bCs/>
          <w:color w:val="000000"/>
          <w:kern w:val="0"/>
          <w:sz w:val="32"/>
          <w:szCs w:val="32"/>
        </w:rPr>
        <w:t>二是拓展信息公开形式。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继续加强档案管理，提高政府信息集中查阅服务功能，加强政府信息公开渠道向社区等基层领域的延伸，并继续强化政府网站作为政府信息公开主渠道的功能。</w:t>
      </w:r>
    </w:p>
    <w:p w:rsidR="00921B32" w:rsidRPr="00921B32" w:rsidRDefault="00921B32" w:rsidP="00921B32">
      <w:pPr>
        <w:widowControl/>
        <w:spacing w:line="54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921B32">
        <w:rPr>
          <w:rFonts w:ascii="方正仿宋_GBK" w:eastAsia="方正仿宋_GBK" w:hAnsi="Arial" w:cs="Arial" w:hint="eastAsia"/>
          <w:b/>
          <w:bCs/>
          <w:color w:val="000000"/>
          <w:kern w:val="0"/>
          <w:sz w:val="32"/>
          <w:szCs w:val="32"/>
        </w:rPr>
        <w:t>三是加大信息公开宣传。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街道将结合实际，把《条例》内容纳入普法工作中去，加大对信息公开工作的宣传力度。同时，不断严格公开时限、创新公开方法、拓宽公开渠道、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lastRenderedPageBreak/>
        <w:t>丰富公开形式，强化各村（社区）公开栏的更新和管理，及时主动公开政府信息。</w:t>
      </w:r>
    </w:p>
    <w:p w:rsidR="00921B32" w:rsidRPr="00921B32" w:rsidRDefault="00921B32" w:rsidP="00921B32">
      <w:pPr>
        <w:widowControl/>
        <w:spacing w:line="54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921B32">
        <w:rPr>
          <w:rFonts w:ascii="方正黑体_GBK" w:eastAsia="方正黑体_GBK" w:hAnsi="Arial" w:cs="Arial" w:hint="eastAsia"/>
          <w:color w:val="000000"/>
          <w:kern w:val="0"/>
          <w:sz w:val="32"/>
          <w:szCs w:val="32"/>
        </w:rPr>
        <w:t>六、其他需要报告的事项</w:t>
      </w:r>
    </w:p>
    <w:p w:rsidR="00921B32" w:rsidRPr="00921B32" w:rsidRDefault="00921B32" w:rsidP="00921B32">
      <w:pPr>
        <w:widowControl/>
        <w:spacing w:line="54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截至目前，暂无其他需要报告的事项。</w:t>
      </w:r>
    </w:p>
    <w:p w:rsidR="00921B32" w:rsidRPr="00921B32" w:rsidRDefault="00921B32" w:rsidP="00921B32">
      <w:pPr>
        <w:widowControl/>
        <w:spacing w:line="54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</w:p>
    <w:p w:rsidR="00921B32" w:rsidRPr="00921B32" w:rsidRDefault="00921B32" w:rsidP="00921B32">
      <w:pPr>
        <w:widowControl/>
        <w:spacing w:line="54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</w:p>
    <w:p w:rsidR="00921B32" w:rsidRPr="00921B32" w:rsidRDefault="00921B32" w:rsidP="00921B32">
      <w:pPr>
        <w:widowControl/>
        <w:spacing w:line="540" w:lineRule="atLeast"/>
        <w:jc w:val="righ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重庆市綦江区人民政府文龙街道办事处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921B3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2021年1月27日</w:t>
      </w:r>
    </w:p>
    <w:p w:rsidR="002C0BAA" w:rsidRDefault="002C0BAA"/>
    <w:sectPr w:rsidR="002C0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E7"/>
    <w:rsid w:val="002C0BAA"/>
    <w:rsid w:val="003022E7"/>
    <w:rsid w:val="0092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B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21B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B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21B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文龙街道</dc:creator>
  <cp:keywords/>
  <dc:description/>
  <cp:lastModifiedBy>文龙街道</cp:lastModifiedBy>
  <cp:revision>2</cp:revision>
  <dcterms:created xsi:type="dcterms:W3CDTF">2023-02-14T03:16:00Z</dcterms:created>
  <dcterms:modified xsi:type="dcterms:W3CDTF">2023-02-14T03:18:00Z</dcterms:modified>
</cp:coreProperties>
</file>