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20"/>
          <w:b/>
          <w:bCs/>
          <w:sz w:val="30"/>
          <w:szCs w:val="30"/>
          <w:lang w:val="en-US"/>
        </w:rPr>
        <w:t>12500222450516709U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20"/>
          <w:b/>
          <w:bCs/>
          <w:sz w:val="30"/>
          <w:szCs w:val="30"/>
          <w:lang w:val="en-US"/>
        </w:rPr>
        <w:t>2017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1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</w:rPr>
              <w:t>重庆市綦江区人民医院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重庆市綦江区人民医院（重庆市急救中心綦江分中心）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为人民身体健康提供医疗与护理保健服务。为急症病患者提供急救医疗服务。　医疗护理　医学教学　医学研究　卫生医疗人员培训　卫生技术人员继续教育　保健与健康教育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重庆市綦江区古南街道沱湾支路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54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王江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4278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财政补助（差额补贴）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重庆市綦江区卫生和计划生育委员会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1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33654.8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34738.2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重庆市綦江区人民医院</w:t>
            </w: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.</w:t>
            </w: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1"/>
                <w:sz w:val="32"/>
                <w:szCs w:val="24"/>
                <w:bdr w:val="none" w:color="auto" w:sz="0" w:space="0"/>
                <w:lang w:val="en-US"/>
              </w:rPr>
              <w:t>1324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一、 执行本单位章程情况 全面贯彻党的十九大精神，以区卫生计生委“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12345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”总体思路为引领，围绕医院年初制定的“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1433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”工作目标，继续深化医药卫生体制改革，全面提升医院综合能力。二、开展业务活动情况 贯穿一条主线，实施“五控两考核”，医院提质增效。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 1. 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重视质量控制，医护质量不断提升（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）是加强质量与安全管理。 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）严格规范诊疗服务行为，开展“三合理一规范。 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）召开新技术新项目准入评审会，评定通过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55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个项目。 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）继续推行临床路径管理，现有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25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个专业、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115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个路径、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 504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个病种纳入了临床路径管理（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）继续推进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DRGs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工作，各项指标在市卫计委调查的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19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家三级综合医院中位列第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3 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）创新护理管理模式，提升护理质量。实行成分输血，成分输血率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99.87%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，人均用血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0.32U/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人。 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8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）提高应急响应能力，开展院内应急培训演练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8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次，参与区级应急演练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次。成为国家卫生计生委敏感性指标直报单位，对护理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65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项敏感指标进行目标监控。 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9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）是加强医疗安全（不良）事件管理，重新修订并下发了《医疗安全（不良）事件报告及奖惩制度》，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2017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年共上报医疗安全（不良）事件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511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例，奖励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15330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元。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 2. 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加强药品控制，药品管理提档升位（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）通过国家药物临床试验机构（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GCP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）资格认定，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个临床专业获资格认定，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87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人取得国家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GCP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资格证书（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）继续实施药品零差率及两票制管理工作，严格执行国家基本药物双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45%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管理规定，现基药品规数为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1166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个，占全院药品品规数为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50.26%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，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 2017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年基本药物使用金额占比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48.88%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）加强药品使用监控，对药品使用排名靠前且使用量异常增长药品进行限量或停药处理，对使用排名前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300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位药品进行限量，替代药品替代使用。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 3. 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严格耗材控制，耗材管理成效初显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 4.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关注成本控制，成本管控规范有效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 5. 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落实费用控制，遏制医疗费用不合理增长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6.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强化临床医技科室主任和医务人员记分考核 （ 三、社会效益 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）选派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名医疗专家分批赴西藏察雅县人民医院开展为期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个月的援藏工作。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2018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年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月再次派出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名管理干部、医疗专家赴藏支援一年半。 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）弘扬红十字精神，董治华无私捐献造血干细胞，并成为中国造血干细胞捐献者资料库重庆市分库建库以来的第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73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位捐献者，也是綦江区卫生系统首位捐献者。 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）实施健康扶贫救助，落实“三个一批”的救助政策，继续实施“三减两免”，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 2017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年救助住院患者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282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人次，救助金为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6.4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万元；救助门诊患者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204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人次，救助金额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4806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元。红十字会、慈善救助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9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人，救助金额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5.86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万元，道路交通救助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19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人，报回金额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157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万元。 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）深入推进健康促进区创建工作，全面开展健康促进医院建设，开展健康大讲堂“六进”活动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131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次。 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）开展文明城区创建，成立专项工作组，做好动员、宣传工作。 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 xml:space="preserve">）贯彻落实各项基本公共卫生政策，如疾病预防控制、妇幼卫生管理、预防接种管理、计划生育管理等，各项指标均达到上级要求。 四、存在的不足及改进措施 （一）党的建设和思想政治工作还存在薄弱环节，尤其是新形势下如何加强医院文化建设还需要深度研究。 （二）医院运营效益未达到预期目标，还需提高发展意识。 （三）医疗服务质量未达到同质化，医务人员的职责及责任感有待进一步加强，思想观念有待进一步提高。 （四）“五控”力度还需加强，“名科”影响力未充分凸显，特色学科品牌效应不明显，缺乏区域竞争优势。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《事业单位法人证书》有效期自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2016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年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29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日至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2021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年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29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日 《医疗机构执业许可证》有效期自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2016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年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日至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2031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年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>月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绩效考核合格，无惩处，无诉讼投诉情况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21"/>
          <w:rFonts w:hint="eastAsia" w:ascii="楷体_GB2312" w:eastAsia="楷体_GB2312" w:cs="楷体_GB2312"/>
          <w:sz w:val="28"/>
          <w:szCs w:val="28"/>
          <w:lang w:eastAsia="zh-CN"/>
        </w:rPr>
        <w:t>王成佳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21"/>
          <w:rFonts w:hint="eastAsia" w:ascii="楷体_GB2312" w:eastAsia="楷体_GB2312" w:cs="楷体_GB2312"/>
          <w:sz w:val="28"/>
          <w:szCs w:val="28"/>
          <w:lang w:val="en-US"/>
        </w:rPr>
        <w:t xml:space="preserve">15320518120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21"/>
          <w:rFonts w:hint="eastAsia" w:ascii="楷体_GB2312" w:eastAsia="楷体_GB2312" w:cs="楷体_GB2312"/>
          <w:b/>
          <w:bCs/>
          <w:sz w:val="28"/>
          <w:szCs w:val="28"/>
          <w:lang w:val="en-US"/>
        </w:rPr>
        <w:t>2018</w:t>
      </w:r>
      <w:r>
        <w:rPr>
          <w:rStyle w:val="21"/>
          <w:rFonts w:hint="eastAsia" w:ascii="楷体_GB2312" w:eastAsia="楷体_GB2312" w:cs="楷体_GB2312"/>
          <w:b/>
          <w:bCs/>
          <w:sz w:val="28"/>
          <w:szCs w:val="28"/>
          <w:lang w:eastAsia="zh-CN"/>
        </w:rPr>
        <w:t>年</w:t>
      </w:r>
      <w:r>
        <w:rPr>
          <w:rStyle w:val="21"/>
          <w:rFonts w:hint="eastAsia" w:ascii="楷体_GB2312" w:eastAsia="楷体_GB2312" w:cs="楷体_GB2312"/>
          <w:b/>
          <w:bCs/>
          <w:sz w:val="28"/>
          <w:szCs w:val="28"/>
          <w:lang w:val="en-US"/>
        </w:rPr>
        <w:t>03</w:t>
      </w:r>
      <w:r>
        <w:rPr>
          <w:rStyle w:val="21"/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月</w:t>
      </w:r>
      <w:r>
        <w:rPr>
          <w:rStyle w:val="21"/>
          <w:rFonts w:hint="eastAsia" w:ascii="楷体_GB2312" w:eastAsia="楷体_GB2312" w:cs="楷体_GB2312"/>
          <w:b/>
          <w:bCs/>
          <w:sz w:val="28"/>
          <w:szCs w:val="28"/>
          <w:lang w:val="en-US"/>
        </w:rPr>
        <w:t>06</w:t>
      </w:r>
      <w:r>
        <w:rPr>
          <w:rStyle w:val="21"/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altName w:val="宋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jE0YTA1OWJlZjUyNmY4NTY2MDVjZjgzZWNmNGIifQ=="/>
  </w:docVars>
  <w:rsids>
    <w:rsidRoot w:val="00000000"/>
    <w:rsid w:val="01C25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uiPriority w:val="0"/>
  </w:style>
  <w:style w:type="table" w:default="1" w:styleId="12">
    <w:name w:val="Normal Table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paragraph" w:customStyle="1" w:styleId="15">
    <w:name w:val="msochpdefaul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1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1768</Words>
  <Characters>1928</Characters>
  <Lines>15</Lines>
  <Paragraphs>4</Paragraphs>
  <TotalTime>45052.6562500016</TotalTime>
  <ScaleCrop>false</ScaleCrop>
  <LinksUpToDate>false</LinksUpToDate>
  <CharactersWithSpaces>2006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李科</cp:lastModifiedBy>
  <dcterms:modified xsi:type="dcterms:W3CDTF">2023-05-06T08:03:19Z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6A4769B1C1C54A1FB41ADE24883B95F8_13</vt:lpwstr>
  </property>
</Properties>
</file>