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125002223587249780</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2017</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重庆市綦江区非公有制经济发展服务中心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重庆市綦江区非公有制经济发展服务中心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 xml:space="preserve">提供非公有制经济政策、金融、思想教育、维权等服务，保障全区非公有制经济健康发展。非公有制经济人士思想政治工作 引导会员企业转变发展方式 协调非公有制企业与区级部门经济事务 反映会员企业意见建议 提供融资维权对外等服务 指导街镇商会行业高会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重庆市綦江区古南街道北街88号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蹇正琴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3</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重庆市綦江区工商业联合会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1.8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重庆市綦江区非公有制经济发展服务中心.公益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一、深入开展守法诚信理想信念教育实践活动 （一）注重思想引领，增强发展信心 按照中央统战部、全国工商联及市委统战部、市工商联以“守法诚信、坚定信心”为重点深入开展理想信念教育实践活动安排部署，结合我区实际，制定下发了“守法诚信、坚定信心”为主题的理想信念教育实践活动方案，把理想信念教育实践活动作为统领工商联工作的主线，让教育实践活动真正融入到工商联各项工作实践之中，相互促进、相互提高。在二届二次执委会上对理想信念教育实践活动进行动员部署；召开专题学习会议，认真学习党的十九大精神，学习习近平总书记治国理政新理念新思想新战略，学习俞正声主席在全国年轻一代民营企业家理想信念报告会上讲话精神，市第五次党代会及市工商联（总商会）第五次代表大会精神。引导广大非公有制经济人士深刻领会精神实质，帮助企业认清形势、转变观念，找准突破困局的方法和转型升级的方向，提振发展信心。 （二）注重教育引导，促进素质提升 近年来，区工商联形成了培训常态化机制，实施民营企业家素质提升工程。举办理想信念报告会，邀请重庆市工商联（总商会）副会长、重庆德源集团董事长曹春林同志作《坚定理想信念 成就企业梦想》报告；连续2年组织企业家赴中国人民大学学习培训；把新生代企业家的教育培训纳入到民营经济人才工作的整体规划，有针对性、计划性开展培训，不断提升新生代企业家的政治素养和企业经营管理水平；齿轮商会邀请中国齿轮协会专家来綦作“精益化推动转型升级”的专题培训；区工商联还积极推荐企业家参加市工商联组织的民营企业带头人培训、法律培训班、民营企业转型升级研修班，组织企业家走出去学习，赴桐梓县学习考察马鬃乡农旅融合项目，帮助广大非公经济人士更新发展观念。通过培训、考察、学习，提升民营企业家和干部素质，进一步适应发展形势、完善发展思路、明确发展目的，助推綦江“四区一城”建设。 （三）注重典型引路，发挥示范引领作用 重点在守法诚信经营、企业文化建设、奉献社会，积极转型升级等方面选树一批有代表性和感染力的先进企业和商会。主要依托《綦商》会刊、全球渝商app等自有媒体和市级媒体对创业创新、转型脱困、履职尽责的王伟、翁春梅、李坤园、凌有良等17个企业家先进典型进行大力宣传；推荐航墙铝业、海塑建材、荆江汽车半轴、永跃齿轮等4家企业参加直辖20年?綦江新名片评选活动，广泛宣传我区民营企业，塑造綦商良好形象。向市委宣传部、市工商联推荐左瑞禄、赵模章进行公益慈善人物宣传。 二、不断强化非公经济服务工作 （一）探索“互联网+”服务，拓展服务渠道 积极向基层商会、会员企业和广大非公有制经济人士推广“綦商”公众微信号，进一步完善公众微信号服务功能；及时发布基层动态信息、民营经济发展政策措施、法律法规知识等，开辟服务基层、服务企业的便捷通道，通过公众微信号、微信群、QQ群共发布讯息400余条；编印发行第五期《綦商》会刊1000本，利用会刊较好地宣传了工商联、基层商会和会员企业的工作情况，进一步扩大了工商联及企业家的社会影响力。向各基层商会印发了《基层商会宣传信息工作方案》，明确工作任务，提升宣传工作水平；向全国、市、区级媒体报送信息61篇，其中《中华工商时报》采用6篇。 （二）注重机制创新，增强服务本领 创新会员工作机制，探索实践“会员提出-工商联组织主导-社会力量承办-会员参与”的活动开展机制，成功举办了“古剑山杯”綦江区第一届美业文化艺术节；探索建立民营企业评价政府部门工作绩效、政府部门评价民营企业守法诚信的“双向评价”机制，目前该方案已初步完成，并提交区委办、区府办。年初，全区开展了非公有制经济代表人士综合评价，首批52家企业纳入评价，16家企业获得B以上评价，率先实现了部门评价企业。 （三）优化经济发展服务平台 多途径支持企业做大做强。推动綦商抱团发展，重点帮助綦商集团完善治理结构、调整发展战略，争取政府政策支持，积极协调商会大厦建设项目落地，使其尽快走上健康发展轨道；积极探索企业产销对接模式，组织齿轮商会与广东国际商会汽摩委员会开展产销对接，组织区内企业与中峰镇开展项目对接活动，帮助企业寻找新的发展项目；鼓励企业“走出去”发展，组织企业参加泰国投资机遇推介会，开拓企业思维和视野；开展重庆自贸区建设调研和参与“一带一路”情况调研，了解我区企业走出去现状；把友好工商联请进来交流，邀请桐梓县工商联、云阳县工商联等来綦交流考察，互通信息，学习好的发展和服务思路；加强与外地商会联系沟通，协助工业园区管委会开展“三个100工程”活动和招商引资工作，促进工业园区发展。 推动上市融资品牌建设逐步出成效。区工商联通过借智借力，搭建民企上市融资服务平台，积极助推企业挂牌上市融资。加强与区金融办、诺牛资本、天风证券的联系，充分发挥各自优势，挖掘民营上市后备企业资源，宣传挂牌上市政策，协调解决上市难题，有效组织中介机构与民营企业开展对接；拓展与全国股权交易中心和重庆股转中心等区域性交易市场的合作，推动民营企业上市直接融资。今年，多味多、远程铝业与诺牛资本签订了挂牌服务协议，弘捷实业公司已完成股改，争取年底挂牌，宏洋齿轮公司也积极向资本市场靠拢，源泉机电集团进行股权改制，规范完善集团管理。 今年，我会积极呼吁成立区民营经济发展领导小组，加强对非公有制经济发展的领导，助推非公有制经济健康稳定发展。 （四）强化法律服务平台 联合区法学会打造法律服务品牌。深入工业园区商会、齿轮商会开展法律需求摸底调研，全面真实了解企业在法律服务方面的需求，现场解答企业遇到的法律问题，收集相关意见建议10余条。积极与法学会对接，深入探讨法律服务平台运行机制，拟定初步实施方案--《重庆市綦江区非公经济市场主体法律事务“三方联动”服务平台实施方案》；区工商联继续深化与区法院、永登律师事务所的合作，充分发挥“民营企业商事纠纷调解中心”作用，开展送法进基层活动，邀请永登律师事务所律师走进东溪镇商会开展法制宣讲；积极参加法律知识竞赛，组织基层商会、会员企业300余人参加市普法办、市工商联举办的守法诚信法律知识竞赛；积极推行商事仲裁，广泛宣传推行仲裁法律制度，大力倡导通过重庆市工商联（总商会）仲裁中心仲裁的途径，多渠道化解非公有制经济领域的矛盾纠纷，更好地服务我区非公有制经济发展。 深入推进和谐劳动关系构建，促进社会和谐稳定。深化“三方四家”工作机制，与人社局、教委、总工会共同举办现场招聘周暨就业创业政策宣传活动，现场提供用工岗位300余个，开展就业咨询服务200人次。推荐荆江汽车半轴和海塑建材、民生村镇银行和航墙铝业公司分别申报市级3A级、2A级和谐劳动关系企业，选定永新镇作为綦江区构建和谐劳动关系示范点，并积极推进创建工作。推荐荆江汽车半轴、赛之源公司等2家企业参加市工商联和市总工会举办的《重庆市集体合同条例》培训班，推荐永跃齿轮参加市联组织的法律培训班学习；指导企业加强管理，荆江汽车半轴荣获全国厂务公开民主管理工作先进单位称号；争取群团服务项目经费10万元，切实保障法律服务工作的正常开展。 （五）坚持问题导向，深入民营企业开展专题调研 走访调研餐饮商会抱团发展项目??时代美食广场、回龙湾市场发展情况，深入綦江石油、港华燃气、润庆置业、源泉机电、赛之源等会员企业调研企业发展情况，收集意见建议20条。开展“深化四信教育，引导两个健康成长”专题调研，形成《深化“四信”教育，促进“两个健康”》调研报告；对我区106位非公有制经济代表人士开展综合评价，有效掌握了解我区非公有制经济人士的综合素质；完成规模以上民营企业的调研工作，开展实体经济降成本调研、“关于支持民企参与脱贫攻坚有关政策落实情况”调研、非公有制企业挂牌上市情况调研、警商共建调查；形成《2016年民营经济发展报告》报区委、区政府。 （六）努力推动建立政企沟通机制 搭建政企沟通平台，组织召开了民营企业发展座谈会，收集民企发展过程中的困难和问题，收集意见建议12条，并形成《綦江区民营企业发展座谈会意见建议情况汇报》，报区政府办公室；区工商联携手区地税局，继续深化民营企业评地税活动，搭建起税企常态化沟通桥梁；联合区公安局组织召开服务民营经济发展座谈会，贯彻落实《服务民营经济发展30条》，为非公有制经济发展营造安全稳定的社会环境；积极推动建立和完善政企沟通协调制度、区级领导联系重点民营企业制度等，争取政企沟通形成常态化、制度化，夯实政企沟通基础，增进政企互信，构建“亲”、“清”良好政商关系。 （七）不断加强部门协作 加强与政府有关部门的交流联系，建立横向联络的部门协作机制，进一步落实对口联系工作。积极协助区委统战部筹备召开了街镇服务非公有制经济发展经验交流座谈会；与区经信委、区金融办联合制定了《重庆市綦江区经信委、金融办与工商联对口联系工作制度》，与经信委联合开展了民营企业项目库建设工作，共收集完善210户企业信息，与金融办联合开展了打击非法集资集中宣传、金融政策宣传等活动，向金融办推荐了8户有融资需求的小微企业作为银监局金融服务联系的候选对象；加强与兴农担保公司的联系，向会员宣传企业发展基金，帮助会员企业解决过桥贷资金。 三、积极推动光彩事业 积极引导全区非公企业投身扶贫攻坚、送温暖、献爱心等活动。我区百家企业结对帮扶45个重点村，工商联机关干部结对帮扶5户贫困户，每季度开展走访慰问帮扶活动。光促会每年向中峰镇中峰村捐赠10万元，助力中峰村发展李子产业和通过合作社+农户的模式发展蜜蜂养殖，帮扶32户脱贫户发展蜜蜂养殖128箱，通过多种产业扶贫项目确保脱贫户稳定收入，巩固中峰村脱贫成果。藻渡煤矿捐赠东溪永乐村修建乡村公路、长风齿轮集团捐赠中峰镇中峰村助村脱贫。安稳镇商会、成远煤业公司分别向安稳教育促进会、万隆教育促进会捐款42万元，助力教育扶贫。各基层商会积极组织会员企业参与社会慈善事业，齿轮商会筹集近4万元善款，帮助尿毒症</w:t>
            </w:r>
            <w:r>
              <w:rPr>
                <w:rStyle w:val="15"/>
                <w:rFonts w:hint="eastAsia" w:ascii="楷体_GB2312" w:eastAsia="楷体_GB2312" w:cs="楷体_GB2312"/>
                <w:sz w:val="28"/>
                <w:szCs w:val="24"/>
                <w:bdr w:val="none" w:color="auto" w:sz="0" w:space="0"/>
                <w:lang w:val="en-US"/>
              </w:rPr>
              <w:t xml:space="preserve">患者渡难关，建材商会举行了爱心送考公益活动，赛之源资助社区、老年协会添置办公、活动设备，重配齿轮、力缆电线、源泉机电、永跃齿轮、海塑建材等企业长期资助困难学生和贫困老人。今年来，光促会、各基层商会和会员企业向社会捐赠共计320余万元，展示了我区民营企业认真履行社会责任的良好形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《事业单位法人证书》 有效期自2015年10月29日至2020年10月29日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绩效考核合格，无惩处，无诉讼投诉情况。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范洁</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13272649968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2018年03月05日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宋体"/>
    <w:panose1 w:val="02010609030101010101"/>
    <w:charset w:val="86"/>
    <w:family w:val="auto"/>
    <w:pitch w:val="fixed"/>
    <w:sig w:usb0="00000001" w:usb1="080E0000" w:usb2="0000001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6FF" w:usb1="420024FF" w:usb2="02000000" w:usb3="00000000" w:csb0="2000019F" w:csb1="00000000"/>
  </w:font>
  <w:font w:name="楷体_GB2312">
    <w:altName w:val="楷体"/>
    <w:panose1 w:val="02010609030101010101"/>
    <w:charset w:val="86"/>
    <w:family w:val="auto"/>
    <w:pitch w:val="fixed"/>
    <w:sig w:usb0="00000001" w:usb1="080E0000" w:usb2="00000010" w:usb3="00000000" w:csb0="00040000" w:csb1="00000000"/>
  </w:font>
  <w:font w:name="@宋体">
    <w:panose1 w:val="02010600030101010101"/>
    <w:charset w:val="86"/>
    <w:family w:val="auto"/>
    <w:pitch w:val="variable"/>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DI5ZDUxM2NjMTA2ZTNlZmY4ZGE1MmRkZDVkMDQifQ=="/>
  </w:docVars>
  <w:rsids>
    <w:rsidRoot w:val="00000000"/>
    <w:rsid w:val="2BFB5136"/>
    <w:rsid w:val="33A92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3</TotalTime>
  <ScaleCrop>false</ScaleCrop>
  <LinksUpToDate>false</LinksUpToDate>
  <CharactersWithSpaces>658</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~＇Silence＇＇</cp:lastModifiedBy>
  <dcterms:modified xsi:type="dcterms:W3CDTF">2023-08-16T08:18:30Z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CB7D5EFC17014A77ABCAD7F14B520F9E_13</vt:lpwstr>
  </property>
</Properties>
</file>